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68F3" w:rsidRPr="00CC5C6B" w:rsidP="000C7C7C">
      <w:pPr>
        <w:pBdr>
          <w:bottom w:val="single" w:sz="12" w:space="1" w:color="auto"/>
        </w:pBdr>
        <w:bidi w:val="0"/>
        <w:spacing w:before="120" w:after="0"/>
        <w:jc w:val="center"/>
        <w:rPr>
          <w:rFonts w:ascii="Book Antiqua" w:hAnsi="Book Antiqua"/>
          <w:b/>
          <w:bCs/>
          <w:spacing w:val="20"/>
        </w:rPr>
      </w:pPr>
      <w:r w:rsidRPr="00CC5C6B">
        <w:rPr>
          <w:rFonts w:ascii="Book Antiqua" w:hAnsi="Book Antiqua"/>
          <w:b/>
          <w:bCs/>
          <w:spacing w:val="20"/>
        </w:rPr>
        <w:t>NÁRODNÁ  RADA  SLOVENSKEJ  REPUBLIKY</w:t>
      </w:r>
    </w:p>
    <w:p w:rsidR="00A768F3" w:rsidP="000C7C7C">
      <w:pPr>
        <w:bidi w:val="0"/>
        <w:spacing w:before="120" w:after="0"/>
        <w:jc w:val="center"/>
        <w:rPr>
          <w:rFonts w:ascii="Book Antiqua" w:hAnsi="Book Antiqua"/>
          <w:spacing w:val="20"/>
        </w:rPr>
      </w:pP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  <w:spacing w:val="20"/>
        </w:rPr>
      </w:pPr>
      <w:r w:rsidRPr="00CC5C6B">
        <w:rPr>
          <w:rFonts w:ascii="Book Antiqua" w:hAnsi="Book Antiqua"/>
          <w:spacing w:val="20"/>
        </w:rPr>
        <w:t>VI. volebné obdobie</w:t>
      </w: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  <w:b/>
          <w:bCs/>
          <w:spacing w:val="30"/>
        </w:rPr>
      </w:pPr>
      <w:r w:rsidRPr="00CC5C6B">
        <w:rPr>
          <w:rFonts w:ascii="Book Antiqua" w:hAnsi="Book Antiqua"/>
          <w:b/>
          <w:bCs/>
          <w:spacing w:val="30"/>
        </w:rPr>
        <w:t xml:space="preserve">Návrh </w:t>
      </w: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CC5C6B">
        <w:rPr>
          <w:rFonts w:ascii="Book Antiqua" w:hAnsi="Book Antiqua"/>
          <w:b/>
          <w:bCs/>
          <w:caps/>
          <w:spacing w:val="30"/>
        </w:rPr>
        <w:t>zákon</w:t>
      </w:r>
    </w:p>
    <w:p w:rsidR="00A768F3" w:rsidRPr="00CC5C6B" w:rsidP="000C7C7C">
      <w:pPr>
        <w:bidi w:val="0"/>
        <w:spacing w:before="120" w:after="0"/>
        <w:jc w:val="center"/>
        <w:rPr>
          <w:rFonts w:ascii="Book Antiqua" w:hAnsi="Book Antiqua"/>
        </w:rPr>
      </w:pPr>
    </w:p>
    <w:p w:rsidR="00F217BE" w:rsidRPr="00740732" w:rsidP="000C7C7C">
      <w:pPr>
        <w:bidi w:val="0"/>
        <w:spacing w:before="120" w:after="0"/>
        <w:jc w:val="center"/>
        <w:rPr>
          <w:rFonts w:ascii="Book Antiqua" w:hAnsi="Book Antiqua"/>
        </w:rPr>
      </w:pPr>
      <w:r w:rsidRPr="00740732" w:rsidR="00A768F3">
        <w:rPr>
          <w:rFonts w:ascii="Book Antiqua" w:hAnsi="Book Antiqua"/>
        </w:rPr>
        <w:t>z ... 2014,</w:t>
      </w:r>
    </w:p>
    <w:p w:rsidR="00F217BE" w:rsidRPr="00740732" w:rsidP="000C7C7C">
      <w:pPr>
        <w:bidi w:val="0"/>
        <w:spacing w:before="120" w:after="0"/>
        <w:rPr>
          <w:rFonts w:ascii="Book Antiqua" w:hAnsi="Book Antiqua"/>
        </w:rPr>
      </w:pPr>
    </w:p>
    <w:p w:rsidR="00F217BE" w:rsidRPr="001C33C8" w:rsidP="000C7C7C">
      <w:pPr>
        <w:bidi w:val="0"/>
        <w:spacing w:before="120" w:after="0"/>
        <w:jc w:val="center"/>
        <w:rPr>
          <w:rFonts w:ascii="Book Antiqua" w:hAnsi="Book Antiqua"/>
        </w:rPr>
      </w:pPr>
      <w:r w:rsidRPr="00740732">
        <w:rPr>
          <w:rFonts w:ascii="Book Antiqua" w:hAnsi="Book Antiqua"/>
          <w:b/>
        </w:rPr>
        <w:t xml:space="preserve">ktorým sa mení a dopĺňa zákon č. </w:t>
      </w:r>
      <w:r w:rsidRPr="00740732" w:rsidR="00DF457C">
        <w:rPr>
          <w:rFonts w:ascii="Book Antiqua" w:hAnsi="Book Antiqua"/>
          <w:b/>
        </w:rPr>
        <w:t>108/2000 Z. z. o ochrane spotrebiteľa pri podomovom predaji a zásielkovom predaji</w:t>
      </w:r>
      <w:r w:rsidRPr="00740732">
        <w:rPr>
          <w:rFonts w:ascii="Book Antiqua" w:hAnsi="Book Antiqua"/>
          <w:b/>
        </w:rPr>
        <w:t xml:space="preserve"> </w:t>
      </w:r>
      <w:r w:rsidRPr="00740732" w:rsidR="005B02C5">
        <w:rPr>
          <w:rFonts w:ascii="Book Antiqua" w:hAnsi="Book Antiqua"/>
          <w:b/>
        </w:rPr>
        <w:t xml:space="preserve">v znení neskorších predpisov </w:t>
      </w:r>
      <w:r w:rsidRPr="00740732" w:rsidR="00A768F3">
        <w:rPr>
          <w:rFonts w:ascii="Book Antiqua" w:hAnsi="Book Antiqua"/>
          <w:b/>
        </w:rPr>
        <w:t xml:space="preserve">a ktorým sa </w:t>
      </w:r>
      <w:r w:rsidRPr="00740732" w:rsidR="005B02C5">
        <w:rPr>
          <w:rFonts w:ascii="Book Antiqua" w:hAnsi="Book Antiqua"/>
          <w:b/>
        </w:rPr>
        <w:t xml:space="preserve">dopĺňa zákon </w:t>
      </w:r>
      <w:r w:rsidR="000E1909">
        <w:rPr>
          <w:rFonts w:ascii="Book Antiqua" w:hAnsi="Book Antiqua"/>
          <w:b/>
        </w:rPr>
        <w:t xml:space="preserve">      </w:t>
      </w:r>
      <w:r w:rsidRPr="00740732" w:rsidR="005B02C5">
        <w:rPr>
          <w:rFonts w:ascii="Book Antiqua" w:hAnsi="Book Antiqua"/>
          <w:b/>
        </w:rPr>
        <w:t>č. 147/2001 Z. z. o reklame a o zmene a doplnení niektorých zákonov v znení neskorších predpisov</w:t>
      </w:r>
    </w:p>
    <w:p w:rsidR="00F217BE" w:rsidRPr="00DF457C" w:rsidP="000C7C7C">
      <w:pPr>
        <w:bidi w:val="0"/>
        <w:spacing w:before="120" w:after="0"/>
        <w:jc w:val="both"/>
        <w:rPr>
          <w:rFonts w:ascii="Book Antiqua" w:hAnsi="Book Antiqua"/>
          <w:color w:val="FF0000"/>
        </w:rPr>
      </w:pPr>
    </w:p>
    <w:p w:rsidR="00F217BE" w:rsidRPr="001C33C8" w:rsidP="000C7C7C">
      <w:pPr>
        <w:bidi w:val="0"/>
        <w:spacing w:before="120" w:after="0"/>
        <w:jc w:val="both"/>
        <w:rPr>
          <w:rFonts w:ascii="Book Antiqua" w:hAnsi="Book Antiqua"/>
        </w:rPr>
      </w:pPr>
      <w:r w:rsidRPr="001C33C8">
        <w:rPr>
          <w:rFonts w:ascii="Book Antiqua" w:hAnsi="Book Antiqua"/>
        </w:rPr>
        <w:t>Národná rada Slovenskej republiky sa uzniesla na tomto zákone:</w:t>
      </w:r>
    </w:p>
    <w:p w:rsidR="00F217BE" w:rsidRPr="001C33C8" w:rsidP="000C7C7C">
      <w:pPr>
        <w:bidi w:val="0"/>
        <w:spacing w:before="120" w:after="0"/>
        <w:jc w:val="both"/>
        <w:rPr>
          <w:rFonts w:ascii="Book Antiqua" w:hAnsi="Book Antiqua"/>
        </w:rPr>
      </w:pPr>
    </w:p>
    <w:p w:rsidR="00F217BE" w:rsidRPr="001C33C8" w:rsidP="000C7C7C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C33C8">
        <w:rPr>
          <w:rFonts w:ascii="Book Antiqua" w:hAnsi="Book Antiqua"/>
          <w:b/>
        </w:rPr>
        <w:t>Čl. I</w:t>
      </w:r>
    </w:p>
    <w:p w:rsidR="00B84D0C" w:rsidRPr="001C33C8" w:rsidP="000C7C7C">
      <w:pPr>
        <w:bidi w:val="0"/>
        <w:spacing w:before="120" w:after="0"/>
        <w:ind w:firstLine="360"/>
        <w:jc w:val="both"/>
        <w:rPr>
          <w:rFonts w:ascii="Book Antiqua" w:hAnsi="Book Antiqua"/>
        </w:rPr>
      </w:pPr>
      <w:r w:rsidRPr="001C33C8" w:rsidR="00F217BE">
        <w:rPr>
          <w:rFonts w:ascii="Book Antiqua" w:hAnsi="Book Antiqua"/>
        </w:rPr>
        <w:t xml:space="preserve">Zákon </w:t>
      </w:r>
      <w:r w:rsidRPr="001C33C8" w:rsidR="003E6DD0">
        <w:rPr>
          <w:rFonts w:ascii="Book Antiqua" w:hAnsi="Book Antiqua"/>
        </w:rPr>
        <w:t xml:space="preserve">č. </w:t>
      </w:r>
      <w:r w:rsidR="00DF457C">
        <w:rPr>
          <w:rFonts w:ascii="Book Antiqua" w:hAnsi="Book Antiqua"/>
        </w:rPr>
        <w:t>108/2000</w:t>
      </w:r>
      <w:r w:rsidRPr="001C33C8" w:rsidR="003E6DD0">
        <w:rPr>
          <w:rFonts w:ascii="Book Antiqua" w:hAnsi="Book Antiqua"/>
        </w:rPr>
        <w:t xml:space="preserve"> Z. z. o</w:t>
      </w:r>
      <w:r w:rsidR="00DF457C">
        <w:rPr>
          <w:rFonts w:ascii="Book Antiqua" w:hAnsi="Book Antiqua"/>
        </w:rPr>
        <w:t> ochrane spotrebiteľa pri podomovom predaji a zásielkovom predaji v znení zákona č. 266/2005 Z. z., zákona č. 118/2006 Z. z., zákona č. 343/2007 Z. z. a zákona č. 402/2009 Z. z.</w:t>
      </w:r>
      <w:r w:rsidRPr="001C33C8" w:rsidR="00F217BE">
        <w:rPr>
          <w:rFonts w:ascii="Book Antiqua" w:hAnsi="Book Antiqua"/>
        </w:rPr>
        <w:t xml:space="preserve"> </w:t>
      </w:r>
      <w:r w:rsidRPr="00B84D0C" w:rsidR="00F217BE">
        <w:rPr>
          <w:rFonts w:ascii="Book Antiqua" w:hAnsi="Book Antiqua"/>
        </w:rPr>
        <w:t xml:space="preserve">sa </w:t>
      </w:r>
      <w:r w:rsidRPr="00B84D0C">
        <w:rPr>
          <w:rFonts w:ascii="Book Antiqua" w:hAnsi="Book Antiqua"/>
        </w:rPr>
        <w:t xml:space="preserve">mení a dopĺňa </w:t>
      </w:r>
      <w:r w:rsidR="00F875F2">
        <w:rPr>
          <w:rFonts w:ascii="Book Antiqua" w:hAnsi="Book Antiqua"/>
        </w:rPr>
        <w:t>takto:</w:t>
      </w:r>
    </w:p>
    <w:p w:rsidR="00FD52EE" w:rsidP="00FD52EE">
      <w:pPr>
        <w:pStyle w:val="ListParagraph"/>
        <w:numPr>
          <w:numId w:val="11"/>
        </w:numPr>
        <w:bidi w:val="0"/>
        <w:spacing w:before="120" w:after="0"/>
        <w:jc w:val="both"/>
        <w:rPr>
          <w:rFonts w:ascii="Book Antiqua" w:hAnsi="Book Antiqua"/>
        </w:rPr>
      </w:pPr>
      <w:r w:rsidRPr="00FD52EE" w:rsidR="00E05D04">
        <w:rPr>
          <w:rFonts w:ascii="Book Antiqua" w:hAnsi="Book Antiqua"/>
        </w:rPr>
        <w:t>V § 10 ods. 2 sa slovo „identitu“ nahrádza slovom „totožnosť“.</w:t>
      </w:r>
    </w:p>
    <w:p w:rsidR="002D3A9D" w:rsidRPr="002D3A9D" w:rsidP="002D3A9D">
      <w:pPr>
        <w:pStyle w:val="ListParagraph"/>
        <w:numPr>
          <w:numId w:val="11"/>
        </w:numPr>
        <w:bidi w:val="0"/>
        <w:spacing w:before="120" w:after="0"/>
        <w:jc w:val="both"/>
        <w:rPr>
          <w:rFonts w:ascii="Book Antiqua" w:hAnsi="Book Antiqua"/>
        </w:rPr>
      </w:pPr>
      <w:r w:rsidRPr="00FD52EE" w:rsidR="004A08C1">
        <w:rPr>
          <w:rFonts w:ascii="Book Antiqua" w:hAnsi="Book Antiqua"/>
        </w:rPr>
        <w:t xml:space="preserve">V § 10 ods. 2 sa </w:t>
      </w:r>
      <w:r w:rsidRPr="00FD52EE" w:rsidR="000C7C7C">
        <w:rPr>
          <w:rFonts w:ascii="Book Antiqua" w:hAnsi="Book Antiqua"/>
        </w:rPr>
        <w:t>za slovo „</w:t>
      </w:r>
      <w:r w:rsidRPr="00FD52EE" w:rsidR="00E05D04">
        <w:rPr>
          <w:rFonts w:ascii="Book Antiqua" w:hAnsi="Book Antiqua"/>
        </w:rPr>
        <w:t>totožnosť</w:t>
      </w:r>
      <w:r w:rsidRPr="00FD52EE" w:rsidR="000C7C7C">
        <w:rPr>
          <w:rFonts w:ascii="Book Antiqua" w:hAnsi="Book Antiqua"/>
        </w:rPr>
        <w:t>“ vkladá čiarka a slová „spôsob získania telefónneho čísla spotrebiteľa“.</w:t>
      </w:r>
    </w:p>
    <w:p w:rsidR="000826CE" w:rsidRPr="00B84D0C" w:rsidP="000C7C7C">
      <w:pPr>
        <w:pStyle w:val="ListParagraph"/>
        <w:tabs>
          <w:tab w:val="left" w:pos="426"/>
        </w:tabs>
        <w:bidi w:val="0"/>
        <w:spacing w:before="120" w:after="0"/>
        <w:jc w:val="both"/>
        <w:rPr>
          <w:rFonts w:ascii="Book Antiqua" w:hAnsi="Book Antiqua"/>
        </w:rPr>
      </w:pPr>
    </w:p>
    <w:p w:rsidR="00F217BE" w:rsidP="000C7C7C">
      <w:pPr>
        <w:bidi w:val="0"/>
        <w:spacing w:before="120" w:after="0"/>
        <w:jc w:val="center"/>
        <w:rPr>
          <w:rFonts w:ascii="Book Antiqua" w:hAnsi="Book Antiqua"/>
          <w:b/>
        </w:rPr>
      </w:pPr>
      <w:r w:rsidRPr="001C33C8">
        <w:rPr>
          <w:rFonts w:ascii="Book Antiqua" w:hAnsi="Book Antiqua"/>
          <w:b/>
        </w:rPr>
        <w:t>Čl. I</w:t>
      </w:r>
      <w:r w:rsidRPr="001C33C8" w:rsidR="00835180">
        <w:rPr>
          <w:rFonts w:ascii="Book Antiqua" w:hAnsi="Book Antiqua"/>
          <w:b/>
        </w:rPr>
        <w:t>I</w:t>
      </w:r>
    </w:p>
    <w:p w:rsidR="00592D5B" w:rsidP="00FD52EE">
      <w:pPr>
        <w:bidi w:val="0"/>
        <w:spacing w:before="120" w:after="0"/>
        <w:ind w:firstLine="426"/>
        <w:jc w:val="both"/>
        <w:rPr>
          <w:rFonts w:ascii="Book Antiqua" w:hAnsi="Book Antiqua"/>
        </w:rPr>
      </w:pPr>
      <w:r w:rsidRPr="001C33C8" w:rsidR="00AA34CB">
        <w:rPr>
          <w:rFonts w:ascii="Book Antiqua" w:hAnsi="Book Antiqua"/>
        </w:rPr>
        <w:t xml:space="preserve">Zákon č. </w:t>
      </w:r>
      <w:r w:rsidR="00AA34CB">
        <w:rPr>
          <w:rFonts w:ascii="Book Antiqua" w:hAnsi="Book Antiqua"/>
        </w:rPr>
        <w:t xml:space="preserve">147/2001 Z. z. o reklame a o zmene a doplnení niektorých zákonov v znení zákona č. </w:t>
      </w:r>
      <w:r w:rsidRPr="00AA34CB" w:rsidR="00AA34CB">
        <w:rPr>
          <w:rFonts w:ascii="Book Antiqua" w:hAnsi="Book Antiqua"/>
        </w:rPr>
        <w:t>23/2002 Z. z., zákona č. 525/2005 Z. z., zákona č. 282/2006</w:t>
      </w:r>
      <w:r w:rsidR="00AA34CB">
        <w:rPr>
          <w:rFonts w:ascii="Book Antiqua" w:hAnsi="Book Antiqua"/>
        </w:rPr>
        <w:t xml:space="preserve"> </w:t>
      </w:r>
      <w:r w:rsidRPr="00AA34CB" w:rsidR="00AA34CB">
        <w:rPr>
          <w:rFonts w:ascii="Book Antiqua" w:hAnsi="Book Antiqua"/>
        </w:rPr>
        <w:t xml:space="preserve">Z. z., zákona </w:t>
      </w:r>
      <w:r w:rsidR="00E05D04">
        <w:rPr>
          <w:rFonts w:ascii="Book Antiqua" w:hAnsi="Book Antiqua"/>
        </w:rPr>
        <w:t xml:space="preserve">                 </w:t>
      </w:r>
      <w:r w:rsidRPr="00AA34CB" w:rsidR="00AA34CB">
        <w:rPr>
          <w:rFonts w:ascii="Book Antiqua" w:hAnsi="Book Antiqua"/>
        </w:rPr>
        <w:t>č. 342/2006 Z. z., zákona č. 102/2007</w:t>
      </w:r>
      <w:r w:rsidR="00AA34CB">
        <w:rPr>
          <w:rFonts w:ascii="Book Antiqua" w:hAnsi="Book Antiqua"/>
        </w:rPr>
        <w:t xml:space="preserve"> </w:t>
      </w:r>
      <w:r w:rsidRPr="00AA34CB" w:rsidR="00AA34CB">
        <w:rPr>
          <w:rFonts w:ascii="Book Antiqua" w:hAnsi="Book Antiqua"/>
        </w:rPr>
        <w:t>Z. z., zákona č. 648/2007 Z. z., zákona č. 402/2009</w:t>
      </w:r>
      <w:r w:rsidR="00AA34CB">
        <w:rPr>
          <w:rFonts w:ascii="Book Antiqua" w:hAnsi="Book Antiqua"/>
        </w:rPr>
        <w:t xml:space="preserve"> </w:t>
      </w:r>
      <w:r w:rsidRPr="00AA34CB" w:rsidR="00AA34CB">
        <w:rPr>
          <w:rFonts w:ascii="Book Antiqua" w:hAnsi="Book Antiqua"/>
        </w:rPr>
        <w:t>Z. z., zákona č. 182/2011 Z. z., zákona č. 362/2011</w:t>
      </w:r>
      <w:r w:rsidR="00AA34CB">
        <w:rPr>
          <w:rFonts w:ascii="Book Antiqua" w:hAnsi="Book Antiqua"/>
        </w:rPr>
        <w:t xml:space="preserve"> </w:t>
      </w:r>
      <w:r w:rsidRPr="00AA34CB" w:rsidR="00AA34CB">
        <w:rPr>
          <w:rFonts w:ascii="Book Antiqua" w:hAnsi="Book Antiqua"/>
        </w:rPr>
        <w:t>Z. z</w:t>
      </w:r>
      <w:r w:rsidR="00AA34CB">
        <w:rPr>
          <w:rFonts w:ascii="Book Antiqua" w:hAnsi="Book Antiqua"/>
        </w:rPr>
        <w:t>.,</w:t>
      </w:r>
      <w:r w:rsidRPr="00AA34CB" w:rsidR="00AA34CB">
        <w:rPr>
          <w:rFonts w:ascii="Book Antiqua" w:hAnsi="Book Antiqua"/>
        </w:rPr>
        <w:t xml:space="preserve"> zákona č. 313/2012 Z. z.</w:t>
      </w:r>
      <w:r w:rsidRPr="001C33C8" w:rsidR="00AA34CB">
        <w:rPr>
          <w:rFonts w:ascii="Book Antiqua" w:hAnsi="Book Antiqua"/>
        </w:rPr>
        <w:t xml:space="preserve"> </w:t>
      </w:r>
      <w:r w:rsidR="00AA34CB">
        <w:rPr>
          <w:rFonts w:ascii="Book Antiqua" w:hAnsi="Book Antiqua"/>
        </w:rPr>
        <w:t xml:space="preserve">a zákona </w:t>
      </w:r>
      <w:r w:rsidR="00E05D04">
        <w:rPr>
          <w:rFonts w:ascii="Book Antiqua" w:hAnsi="Book Antiqua"/>
        </w:rPr>
        <w:t xml:space="preserve">              </w:t>
      </w:r>
      <w:r w:rsidR="00AA34CB">
        <w:rPr>
          <w:rFonts w:ascii="Book Antiqua" w:hAnsi="Book Antiqua"/>
        </w:rPr>
        <w:t xml:space="preserve">č. 459/2012 </w:t>
      </w:r>
      <w:r w:rsidRPr="00B84D0C" w:rsidR="00AA34CB">
        <w:rPr>
          <w:rFonts w:ascii="Book Antiqua" w:hAnsi="Book Antiqua"/>
        </w:rPr>
        <w:t>sa dopĺňa takto:</w:t>
      </w:r>
    </w:p>
    <w:p w:rsidR="00FD52EE" w:rsidP="00FD52EE">
      <w:pPr>
        <w:pStyle w:val="ListParagraph"/>
        <w:numPr>
          <w:numId w:val="12"/>
        </w:numPr>
        <w:bidi w:val="0"/>
        <w:spacing w:before="120" w:after="0"/>
        <w:jc w:val="both"/>
        <w:rPr>
          <w:rFonts w:ascii="Book Antiqua" w:hAnsi="Book Antiqua"/>
        </w:rPr>
      </w:pPr>
      <w:r w:rsidRPr="00FD52EE" w:rsidR="00753587">
        <w:rPr>
          <w:rFonts w:ascii="Book Antiqua" w:hAnsi="Book Antiqua"/>
        </w:rPr>
        <w:t>V § 3 ods. 7 sa za slovo „systémom“ vkladá čiarka a slovo „telefónom“</w:t>
      </w:r>
      <w:r>
        <w:rPr>
          <w:rFonts w:ascii="Book Antiqua" w:hAnsi="Book Antiqua"/>
        </w:rPr>
        <w:t>.</w:t>
      </w:r>
    </w:p>
    <w:p w:rsidR="00FD52EE" w:rsidP="00FD52EE">
      <w:pPr>
        <w:pStyle w:val="ListParagraph"/>
        <w:numPr>
          <w:numId w:val="12"/>
        </w:numPr>
        <w:bidi w:val="0"/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V § 3 ods. 7 sa na konci vkladá čiarka a pripájajú sa tieto slová: „pričom tento súhlas musí byť preukázateľný“.</w:t>
      </w:r>
    </w:p>
    <w:p w:rsidR="00FD52EE" w:rsidRPr="00FD52EE" w:rsidP="00FD52EE">
      <w:pPr>
        <w:pStyle w:val="ListParagraph"/>
        <w:numPr>
          <w:numId w:val="12"/>
        </w:numPr>
        <w:bidi w:val="0"/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V § 3 ods. 7 sa na konci pripája táto veta: „Udelený súhlas možno kedykoľvek odvolať.“</w:t>
      </w:r>
      <w:r w:rsidR="00AD4073">
        <w:rPr>
          <w:rFonts w:ascii="Book Antiqua" w:hAnsi="Book Antiqua"/>
        </w:rPr>
        <w:t>.</w:t>
      </w:r>
    </w:p>
    <w:p w:rsidR="00B84D0C" w:rsidP="000C7C7C">
      <w:pPr>
        <w:tabs>
          <w:tab w:val="left" w:pos="630"/>
        </w:tabs>
        <w:bidi w:val="0"/>
        <w:spacing w:before="120" w:after="0"/>
        <w:rPr>
          <w:rFonts w:ascii="Book Antiqua" w:hAnsi="Book Antiqua"/>
          <w:b/>
        </w:rPr>
      </w:pPr>
    </w:p>
    <w:p w:rsidR="00FD52EE" w:rsidP="00FD52EE">
      <w:pPr>
        <w:bidi w:val="0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Čl. III</w:t>
      </w:r>
    </w:p>
    <w:p w:rsidR="00F217BE" w:rsidRPr="001C33C8" w:rsidP="00FD52EE">
      <w:pPr>
        <w:bidi w:val="0"/>
        <w:spacing w:before="120" w:after="0"/>
        <w:ind w:firstLine="708"/>
        <w:rPr>
          <w:rFonts w:ascii="Book Antiqua" w:hAnsi="Book Antiqua"/>
        </w:rPr>
      </w:pPr>
      <w:r w:rsidRPr="00855BF0">
        <w:rPr>
          <w:rFonts w:ascii="Book Antiqua" w:hAnsi="Book Antiqua"/>
        </w:rPr>
        <w:t xml:space="preserve">Tento zákon nadobúda účinnosť 1. </w:t>
      </w:r>
      <w:r w:rsidR="00E35A00">
        <w:rPr>
          <w:rFonts w:ascii="Book Antiqua" w:hAnsi="Book Antiqua"/>
        </w:rPr>
        <w:t>apríl</w:t>
      </w:r>
      <w:r w:rsidR="000D30A1">
        <w:rPr>
          <w:rFonts w:ascii="Book Antiqua" w:hAnsi="Book Antiqua"/>
        </w:rPr>
        <w:t>a</w:t>
      </w:r>
      <w:r w:rsidRPr="00855BF0">
        <w:rPr>
          <w:rFonts w:ascii="Book Antiqua" w:hAnsi="Book Antiqua"/>
        </w:rPr>
        <w:t xml:space="preserve"> 2014.</w:t>
      </w:r>
    </w:p>
    <w:p w:rsidR="00C77A3A" w:rsidRPr="001C33C8" w:rsidP="000C7C7C">
      <w:pPr>
        <w:bidi w:val="0"/>
        <w:spacing w:before="120" w:after="0"/>
        <w:rPr>
          <w:rFonts w:ascii="Book Antiqua" w:hAnsi="Book Antiqua"/>
        </w:rPr>
      </w:pPr>
    </w:p>
    <w:sectPr w:rsidSect="00566BC5">
      <w:footerReference w:type="default" r:id="rId5"/>
      <w:footerReference w:type="firs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BE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F217B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BE">
    <w:pPr>
      <w:pStyle w:val="Footer"/>
      <w:bidi w:val="0"/>
      <w:jc w:val="right"/>
    </w:pPr>
  </w:p>
  <w:p w:rsidR="00F217B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2C"/>
    <w:multiLevelType w:val="hybridMultilevel"/>
    <w:tmpl w:val="511C0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7BA3572"/>
    <w:multiLevelType w:val="hybridMultilevel"/>
    <w:tmpl w:val="2C42690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23B3691"/>
    <w:multiLevelType w:val="hybridMultilevel"/>
    <w:tmpl w:val="15FCB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EF5A1E"/>
    <w:rsid w:val="00001456"/>
    <w:rsid w:val="00026FF8"/>
    <w:rsid w:val="000356C1"/>
    <w:rsid w:val="00043215"/>
    <w:rsid w:val="00071E8D"/>
    <w:rsid w:val="000826CE"/>
    <w:rsid w:val="00092E5A"/>
    <w:rsid w:val="000C7C7C"/>
    <w:rsid w:val="000D30A1"/>
    <w:rsid w:val="000E1909"/>
    <w:rsid w:val="000E6F8E"/>
    <w:rsid w:val="000F46E3"/>
    <w:rsid w:val="00122D0E"/>
    <w:rsid w:val="001261F3"/>
    <w:rsid w:val="001670E0"/>
    <w:rsid w:val="001717B1"/>
    <w:rsid w:val="0017438F"/>
    <w:rsid w:val="001773F1"/>
    <w:rsid w:val="00183AC1"/>
    <w:rsid w:val="001A1945"/>
    <w:rsid w:val="001B732B"/>
    <w:rsid w:val="001C33C8"/>
    <w:rsid w:val="001D785F"/>
    <w:rsid w:val="001E58AC"/>
    <w:rsid w:val="00210245"/>
    <w:rsid w:val="00230F17"/>
    <w:rsid w:val="00236298"/>
    <w:rsid w:val="00252134"/>
    <w:rsid w:val="002545D0"/>
    <w:rsid w:val="002602C3"/>
    <w:rsid w:val="00261AD3"/>
    <w:rsid w:val="002637A5"/>
    <w:rsid w:val="002913CB"/>
    <w:rsid w:val="002967AE"/>
    <w:rsid w:val="002A2841"/>
    <w:rsid w:val="002A73FD"/>
    <w:rsid w:val="002A7B27"/>
    <w:rsid w:val="002B5D3A"/>
    <w:rsid w:val="002D3A9D"/>
    <w:rsid w:val="002E04AD"/>
    <w:rsid w:val="002E3456"/>
    <w:rsid w:val="00317BCA"/>
    <w:rsid w:val="0032546A"/>
    <w:rsid w:val="003261CD"/>
    <w:rsid w:val="00346B04"/>
    <w:rsid w:val="0039188D"/>
    <w:rsid w:val="003A059D"/>
    <w:rsid w:val="003A0CCC"/>
    <w:rsid w:val="003C0907"/>
    <w:rsid w:val="003D5991"/>
    <w:rsid w:val="003E6DD0"/>
    <w:rsid w:val="003F7910"/>
    <w:rsid w:val="004120CA"/>
    <w:rsid w:val="00430ED9"/>
    <w:rsid w:val="004321AC"/>
    <w:rsid w:val="00456319"/>
    <w:rsid w:val="00463EEF"/>
    <w:rsid w:val="0047577E"/>
    <w:rsid w:val="00480D3A"/>
    <w:rsid w:val="00485805"/>
    <w:rsid w:val="004A08C1"/>
    <w:rsid w:val="004D1093"/>
    <w:rsid w:val="004E5BB6"/>
    <w:rsid w:val="004E7BAD"/>
    <w:rsid w:val="004F3495"/>
    <w:rsid w:val="004F6B9E"/>
    <w:rsid w:val="00500F6D"/>
    <w:rsid w:val="00505873"/>
    <w:rsid w:val="00514307"/>
    <w:rsid w:val="00547CA0"/>
    <w:rsid w:val="00566BC5"/>
    <w:rsid w:val="00573C96"/>
    <w:rsid w:val="00576945"/>
    <w:rsid w:val="0058782D"/>
    <w:rsid w:val="00592D5B"/>
    <w:rsid w:val="005A391D"/>
    <w:rsid w:val="005B02C5"/>
    <w:rsid w:val="005D4D80"/>
    <w:rsid w:val="005E30B2"/>
    <w:rsid w:val="005E4C42"/>
    <w:rsid w:val="005F104F"/>
    <w:rsid w:val="005F74F7"/>
    <w:rsid w:val="00610399"/>
    <w:rsid w:val="00612413"/>
    <w:rsid w:val="00624D3F"/>
    <w:rsid w:val="00684B7A"/>
    <w:rsid w:val="00693E92"/>
    <w:rsid w:val="006A1F86"/>
    <w:rsid w:val="006C2481"/>
    <w:rsid w:val="006E0467"/>
    <w:rsid w:val="006F3290"/>
    <w:rsid w:val="007248CF"/>
    <w:rsid w:val="00724CD1"/>
    <w:rsid w:val="00726592"/>
    <w:rsid w:val="00740732"/>
    <w:rsid w:val="00740E04"/>
    <w:rsid w:val="00747643"/>
    <w:rsid w:val="00753587"/>
    <w:rsid w:val="00766C87"/>
    <w:rsid w:val="0077023C"/>
    <w:rsid w:val="00775E9C"/>
    <w:rsid w:val="007C6940"/>
    <w:rsid w:val="007D73F6"/>
    <w:rsid w:val="007F28E2"/>
    <w:rsid w:val="00835180"/>
    <w:rsid w:val="0083615C"/>
    <w:rsid w:val="00844AD5"/>
    <w:rsid w:val="00844DDA"/>
    <w:rsid w:val="00855BF0"/>
    <w:rsid w:val="00860B8E"/>
    <w:rsid w:val="00894BB1"/>
    <w:rsid w:val="008A1CA9"/>
    <w:rsid w:val="00901092"/>
    <w:rsid w:val="00926CC8"/>
    <w:rsid w:val="00931862"/>
    <w:rsid w:val="0093295B"/>
    <w:rsid w:val="00935221"/>
    <w:rsid w:val="0094671B"/>
    <w:rsid w:val="00950F19"/>
    <w:rsid w:val="0096274A"/>
    <w:rsid w:val="00972668"/>
    <w:rsid w:val="009D2121"/>
    <w:rsid w:val="00A51CD6"/>
    <w:rsid w:val="00A768F3"/>
    <w:rsid w:val="00A81147"/>
    <w:rsid w:val="00AA34CB"/>
    <w:rsid w:val="00AD4073"/>
    <w:rsid w:val="00B05E00"/>
    <w:rsid w:val="00B15F2B"/>
    <w:rsid w:val="00B16FB6"/>
    <w:rsid w:val="00B7147F"/>
    <w:rsid w:val="00B75E7F"/>
    <w:rsid w:val="00B7755E"/>
    <w:rsid w:val="00B84D0C"/>
    <w:rsid w:val="00BB401E"/>
    <w:rsid w:val="00BD17CC"/>
    <w:rsid w:val="00BD4954"/>
    <w:rsid w:val="00BD70D5"/>
    <w:rsid w:val="00BD7CAD"/>
    <w:rsid w:val="00BF5B70"/>
    <w:rsid w:val="00C12581"/>
    <w:rsid w:val="00C1753A"/>
    <w:rsid w:val="00C210C5"/>
    <w:rsid w:val="00C345A4"/>
    <w:rsid w:val="00C371B9"/>
    <w:rsid w:val="00C371DB"/>
    <w:rsid w:val="00C6630B"/>
    <w:rsid w:val="00C66C16"/>
    <w:rsid w:val="00C77A3A"/>
    <w:rsid w:val="00C8322A"/>
    <w:rsid w:val="00C8332C"/>
    <w:rsid w:val="00C842BA"/>
    <w:rsid w:val="00C95DF2"/>
    <w:rsid w:val="00CB0736"/>
    <w:rsid w:val="00CB3EAB"/>
    <w:rsid w:val="00CB72B5"/>
    <w:rsid w:val="00CC5C6B"/>
    <w:rsid w:val="00CD1D92"/>
    <w:rsid w:val="00CD283B"/>
    <w:rsid w:val="00D006CF"/>
    <w:rsid w:val="00D013EF"/>
    <w:rsid w:val="00D25652"/>
    <w:rsid w:val="00D30598"/>
    <w:rsid w:val="00D363F0"/>
    <w:rsid w:val="00D44689"/>
    <w:rsid w:val="00D54053"/>
    <w:rsid w:val="00D664C3"/>
    <w:rsid w:val="00DA29B6"/>
    <w:rsid w:val="00DE4ABF"/>
    <w:rsid w:val="00DF457C"/>
    <w:rsid w:val="00E05D04"/>
    <w:rsid w:val="00E0718A"/>
    <w:rsid w:val="00E16F63"/>
    <w:rsid w:val="00E34074"/>
    <w:rsid w:val="00E35A00"/>
    <w:rsid w:val="00E441CC"/>
    <w:rsid w:val="00E47084"/>
    <w:rsid w:val="00E90FB2"/>
    <w:rsid w:val="00EA7DE3"/>
    <w:rsid w:val="00EB068F"/>
    <w:rsid w:val="00EB4B92"/>
    <w:rsid w:val="00EB61C7"/>
    <w:rsid w:val="00EC0C4B"/>
    <w:rsid w:val="00EC5AC3"/>
    <w:rsid w:val="00EF1941"/>
    <w:rsid w:val="00EF5A1E"/>
    <w:rsid w:val="00F0426F"/>
    <w:rsid w:val="00F17C61"/>
    <w:rsid w:val="00F217BE"/>
    <w:rsid w:val="00F40406"/>
    <w:rsid w:val="00F42876"/>
    <w:rsid w:val="00F54F8B"/>
    <w:rsid w:val="00F65C81"/>
    <w:rsid w:val="00F733D8"/>
    <w:rsid w:val="00F875F2"/>
    <w:rsid w:val="00F96C1B"/>
    <w:rsid w:val="00FB2F1C"/>
    <w:rsid w:val="00FC34C8"/>
    <w:rsid w:val="00FD302C"/>
    <w:rsid w:val="00FD52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5A1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A1E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15C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0FB2"/>
    <w:pPr>
      <w:ind w:left="720"/>
      <w:jc w:val="left"/>
    </w:pPr>
  </w:style>
  <w:style w:type="character" w:customStyle="1" w:styleId="Heading2Char">
    <w:name w:val="Heading 2 Char"/>
    <w:basedOn w:val="DefaultParagraphFont"/>
    <w:link w:val="Heading2"/>
    <w:semiHidden/>
    <w:locked/>
    <w:rsid w:val="003E6DD0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qFormat/>
    <w:rsid w:val="003E6DD0"/>
    <w:pPr>
      <w:keepNext/>
      <w:spacing w:after="0" w:line="240" w:lineRule="auto"/>
      <w:ind w:firstLine="709"/>
      <w:jc w:val="both"/>
    </w:pPr>
    <w:rPr>
      <w:rFonts w:eastAsia="Calibri"/>
      <w:sz w:val="24"/>
      <w:szCs w:val="24"/>
      <w:lang w:eastAsia="sk-SK"/>
    </w:rPr>
  </w:style>
  <w:style w:type="paragraph" w:customStyle="1" w:styleId="odsek1">
    <w:name w:val="odsek1"/>
    <w:basedOn w:val="Normal"/>
    <w:qFormat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DFCE-84E4-441F-AF4A-DB7F8FA0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235</Words>
  <Characters>1341</Characters>
  <Application>Microsoft Office Word</Application>
  <DocSecurity>0</DocSecurity>
  <Lines>0</Lines>
  <Paragraphs>0</Paragraphs>
  <ScaleCrop>false</ScaleCrop>
  <Company>Kancelaria NR SR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Gašparíková, Jarmila</cp:lastModifiedBy>
  <cp:revision>2</cp:revision>
  <dcterms:created xsi:type="dcterms:W3CDTF">2013-11-06T17:41:00Z</dcterms:created>
  <dcterms:modified xsi:type="dcterms:W3CDTF">2013-11-06T17:41:00Z</dcterms:modified>
</cp:coreProperties>
</file>