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64D2D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A64D2D">
        <w:rPr>
          <w:rFonts w:ascii="Times New Roman" w:hAnsi="Times New Roman"/>
          <w:b/>
          <w:color w:val="000000"/>
        </w:rPr>
        <w:t>A. Všeobecná časť</w:t>
      </w:r>
    </w:p>
    <w:p w:rsidR="008B25A6" w:rsidRPr="00A64D2D">
      <w:pPr>
        <w:widowControl/>
        <w:bidi w:val="0"/>
        <w:spacing w:after="120"/>
        <w:ind w:firstLine="708"/>
        <w:jc w:val="both"/>
        <w:rPr>
          <w:rFonts w:ascii="Times New Roman" w:hAnsi="Times New Roman"/>
          <w:color w:val="000000"/>
        </w:rPr>
      </w:pPr>
      <w:r w:rsidR="00C0489E">
        <w:rPr>
          <w:rStyle w:val="PlaceholderText"/>
          <w:color w:val="000000"/>
        </w:rPr>
        <w:t xml:space="preserve">Na rokovanie vlády Slovenskej republiky sa predkladá na základe vlastnej iniciatívy návrh zákona, ktorým sa mení a dopĺňa zákon Národnej rady Slovenskej republiky č. 152 /1995 Z. z. o potravinách v znení neskorších predpisov (ďalej len „návrh zákona“). </w:t>
      </w:r>
    </w:p>
    <w:p w:rsidR="00BB3C09">
      <w:pPr>
        <w:widowControl/>
        <w:bidi w:val="0"/>
        <w:spacing w:after="120"/>
        <w:ind w:firstLine="708"/>
        <w:jc w:val="both"/>
        <w:rPr>
          <w:rStyle w:val="PlaceholderText"/>
          <w:color w:val="000000"/>
        </w:rPr>
      </w:pPr>
      <w:r w:rsidR="00C0489E">
        <w:rPr>
          <w:rStyle w:val="PlaceholderText"/>
          <w:color w:val="000000"/>
        </w:rPr>
        <w:t>Účelom tohto návrhu zákona je doplnenie splnomocnenia na vydanie vyhlášky o označovaní potravín dobrovoľnými údajmi, napríklad o zložení a pôvode (slovenská potravina) a ich používanie na účely propagácie a</w:t>
      </w:r>
      <w:r w:rsidR="00C705BA">
        <w:rPr>
          <w:rStyle w:val="PlaceholderText"/>
          <w:color w:val="000000"/>
        </w:rPr>
        <w:t> </w:t>
      </w:r>
      <w:r w:rsidR="00C0489E">
        <w:rPr>
          <w:rStyle w:val="PlaceholderText"/>
          <w:color w:val="000000"/>
        </w:rPr>
        <w:t>marketingu</w:t>
      </w:r>
      <w:r w:rsidR="00C705BA">
        <w:rPr>
          <w:rStyle w:val="PlaceholderText"/>
          <w:color w:val="000000"/>
        </w:rPr>
        <w:t>.</w:t>
      </w:r>
      <w:r w:rsidR="00C0489E">
        <w:rPr>
          <w:rStyle w:val="PlaceholderText"/>
          <w:color w:val="000000"/>
        </w:rPr>
        <w:t xml:space="preserve"> </w:t>
      </w:r>
    </w:p>
    <w:p w:rsidR="00C0489E">
      <w:pPr>
        <w:widowControl/>
        <w:bidi w:val="0"/>
        <w:spacing w:after="12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Ďalším účelom návrhu zákona je zavedenie opatrení, na základe ktorých sa uľahčí a zjednoduší vykonateľnosť poskytovania informácií o percentuálnom podiele predaja potravín vyrobených v Slovenskej republike podľa obratu na potravinách z celkovej ponuky predávaných potravín (ďalej len „informácia“) a zverejňovania zoznamu prevádzkovateľov s týmto percentuálnym podielom (ďalej len „zoznam“). </w:t>
      </w:r>
    </w:p>
    <w:p w:rsidR="00C0489E">
      <w:pPr>
        <w:widowControl/>
        <w:bidi w:val="0"/>
        <w:spacing w:after="12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Návrh zákona upravuje predovšetkým niektoré nejasnosti a nepresnosti zákona Národnej rady Slovenskej republiky č. 152/1995 Z. z. o potravinách v znení neskorších predpisov (ďalej len „zákon“) o povinnostiach prevádzkovateľa a ministerstva pri predkladaní informácií a zverejňovaní zoznamu. Podľa súčasných § 12a, § 28 ods. 2 písm. q) a r) a § 30a ods. 2 zákona boli pri ich aplikácii identifikované nasledovné problémy: </w:t>
      </w:r>
    </w:p>
    <w:p w:rsidR="00C0489E" w:rsidP="003B7455">
      <w:pPr>
        <w:widowControl/>
        <w:numPr>
          <w:numId w:val="2"/>
        </w:numPr>
        <w:bidi w:val="0"/>
        <w:ind w:left="357" w:hanging="357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podľa § 12a ods. 1 zákona nie je presne jasné, koho sa povinnosť poskytovať informáciu týka,</w:t>
      </w:r>
    </w:p>
    <w:p w:rsidR="00C0489E" w:rsidP="003B7455">
      <w:pPr>
        <w:widowControl/>
        <w:numPr>
          <w:numId w:val="2"/>
        </w:numPr>
        <w:bidi w:val="0"/>
        <w:ind w:left="357" w:hanging="357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podľa § 12a ods. 2 zákona nie je jasné v akej forme má byť zverejnený zoznam,</w:t>
      </w:r>
    </w:p>
    <w:p w:rsidR="00C0489E" w:rsidP="003B7455">
      <w:pPr>
        <w:widowControl/>
        <w:numPr>
          <w:numId w:val="2"/>
        </w:numPr>
        <w:bidi w:val="0"/>
        <w:ind w:left="357" w:hanging="357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podľa § 28 ods. 2 písm. q) zákona pokutu za porušenie povinnosti podľa § 12a ods. 1 zákona ukladá orgán úradnej kontroly potravín, v tomto prípade Štátna veterinárna a potravinárska správa SR, ktorá však nemá zo zákona oprávnenie kontrolovať správnosť poskytnutých informácií,</w:t>
      </w:r>
    </w:p>
    <w:p w:rsidR="00C0489E" w:rsidP="003B7455">
      <w:pPr>
        <w:widowControl/>
        <w:numPr>
          <w:numId w:val="2"/>
        </w:numPr>
        <w:bidi w:val="0"/>
        <w:ind w:left="357" w:hanging="357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vzhľadom na nejasnosť § 12a ods. 1 zákona boli nejasné aj formy spracovania zoznamu a formy jeho zverejňovania.</w:t>
      </w:r>
    </w:p>
    <w:p w:rsidR="00C0489E">
      <w:pPr>
        <w:widowControl/>
        <w:bidi w:val="0"/>
        <w:spacing w:after="12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Úpravou zverejňovania zoznamu len za vlastné prevádzkarne spolu sa predchádza zverejňovaniu zoznamu iných prevádzkovateľov. Takto bude mať konečný spotrebiteľ jasnejší prehľad o podiele predaja potravín vyrobených v Slovenskej republike podľa obratu na potravinách z celkovej ponuky predávaných potravín, a to v členení podľa jednotlivých odborov potravinárskeho priemyslu, toho ktorého prevádzkovateľa.</w:t>
      </w:r>
    </w:p>
    <w:p w:rsidR="00C0489E">
      <w:pPr>
        <w:widowControl/>
        <w:bidi w:val="0"/>
        <w:spacing w:after="12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Návrh zákona je v súlade s Ústavou Slovenskej republiky, ústavnými zákonmi, medzinárodnými zmluvami, ktorými je Slovenská republika viazaná a zákonmi a súčasne je v súlade aj s právom Európskej únie. </w:t>
      </w:r>
    </w:p>
    <w:p w:rsidR="00FA6D65" w:rsidP="003B7455">
      <w:pPr>
        <w:widowControl/>
        <w:bidi w:val="0"/>
        <w:spacing w:after="120"/>
        <w:ind w:firstLine="708"/>
        <w:jc w:val="both"/>
        <w:rPr>
          <w:rStyle w:val="PlaceholderText"/>
          <w:color w:val="000000"/>
        </w:rPr>
      </w:pPr>
      <w:r w:rsidR="00CB023C">
        <w:rPr>
          <w:rStyle w:val="PlaceholderText"/>
          <w:color w:val="000000"/>
        </w:rPr>
        <w:t>Navrhovaná právna úprava bude mať pozitívny vplyv na</w:t>
      </w:r>
      <w:r w:rsidRPr="00A501C2" w:rsidR="00CB023C">
        <w:rPr>
          <w:rFonts w:ascii="Times New Roman" w:hAnsi="Times New Roman"/>
        </w:rPr>
        <w:t xml:space="preserve"> príjmovú časť štátneho rozpočtu, ktorý však nie je možné presnejšie kvantifikovať</w:t>
      </w:r>
      <w:r w:rsidR="00CB023C">
        <w:rPr>
          <w:rFonts w:ascii="Times New Roman" w:hAnsi="Times New Roman"/>
        </w:rPr>
        <w:t xml:space="preserve">. </w:t>
      </w:r>
      <w:r w:rsidR="00CB023C">
        <w:rPr>
          <w:rStyle w:val="PlaceholderText"/>
          <w:color w:val="000000"/>
        </w:rPr>
        <w:t>Návrh nebude mať</w:t>
      </w:r>
      <w:r w:rsidR="00BB3C09">
        <w:rPr>
          <w:rStyle w:val="PlaceholderText"/>
          <w:color w:val="000000"/>
        </w:rPr>
        <w:t xml:space="preserve"> </w:t>
      </w:r>
      <w:r w:rsidR="00CB023C">
        <w:rPr>
          <w:rStyle w:val="PlaceholderText"/>
          <w:color w:val="000000"/>
        </w:rPr>
        <w:t>dopad na rozpočty obcí alebo rozpočty vyšších územných celkov</w:t>
      </w:r>
      <w:r w:rsidR="00BB3C09">
        <w:rPr>
          <w:rStyle w:val="PlaceholderText"/>
          <w:color w:val="000000"/>
        </w:rPr>
        <w:t>.</w:t>
      </w:r>
      <w:r w:rsidR="00CB023C">
        <w:rPr>
          <w:rStyle w:val="PlaceholderText"/>
          <w:color w:val="000000"/>
        </w:rPr>
        <w:t xml:space="preserve"> Materiál nemá vplyv na životné prostredie, ani sociálne vplyvy. Materiál má pozitívny vplyv na podnikateľské prostredie, </w:t>
      </w:r>
      <w:r w:rsidRPr="00BB3C09" w:rsidR="00CB023C">
        <w:rPr>
          <w:rStyle w:val="PlaceholderText"/>
          <w:color w:val="000000"/>
        </w:rPr>
        <w:t>nakoľko presnejším definovaním povinných subjektov dôjde k vyňatiu určitých osôb z</w:t>
      </w:r>
      <w:r w:rsidR="003B7455">
        <w:rPr>
          <w:rStyle w:val="PlaceholderText"/>
          <w:color w:val="000000"/>
        </w:rPr>
        <w:t> </w:t>
      </w:r>
      <w:r w:rsidRPr="00BB3C09" w:rsidR="00CB023C">
        <w:rPr>
          <w:rStyle w:val="PlaceholderText"/>
          <w:color w:val="000000"/>
        </w:rPr>
        <w:t>povinnosti</w:t>
      </w:r>
      <w:r w:rsidR="003B7455">
        <w:rPr>
          <w:rStyle w:val="PlaceholderText"/>
          <w:color w:val="000000"/>
        </w:rPr>
        <w:t xml:space="preserve"> </w:t>
      </w:r>
      <w:r w:rsidRPr="00BB3C09" w:rsidR="00CB023C">
        <w:rPr>
          <w:rStyle w:val="PlaceholderText"/>
          <w:color w:val="000000"/>
        </w:rPr>
        <w:t>zasielať a zverejňovať výkaz, čím dôjde k zníženiu ich administratívneho zaťaženia. Návrh má pozitívny dopad na informatizáciu spoločnosti, z dôvodu zverejňovania vzoru polročného výkazu a zoznamu prevádzkovateľov na webovom sídle ministerstva,  čím sa zavádzajú nové elektronické služby.</w:t>
      </w:r>
    </w:p>
    <w:p w:rsidR="00FA6D65" w:rsidP="00FA6D65">
      <w:pPr>
        <w:pStyle w:val="NormalWeb"/>
        <w:bidi w:val="0"/>
        <w:spacing w:before="0" w:beforeAutospacing="0" w:after="120" w:afterAutospacing="0"/>
        <w:jc w:val="center"/>
        <w:rPr>
          <w:rFonts w:ascii="Times New Roman" w:hAnsi="Times New Roman"/>
        </w:rPr>
      </w:pPr>
      <w:r>
        <w:rPr>
          <w:rStyle w:val="PlaceholderText"/>
          <w:color w:val="000000"/>
        </w:rPr>
        <w:br w:type="page"/>
      </w:r>
      <w:r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FA6D65" w:rsidP="00FA6D65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právneho predpisu s právom Európskej únie </w:t>
      </w:r>
    </w:p>
    <w:p w:rsidR="00FA6D65" w:rsidP="00FA6D65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FA6D65" w:rsidP="00FA6D65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FA6D65" w:rsidP="00FA6D65">
      <w:pPr>
        <w:pStyle w:val="NormalWeb"/>
        <w:numPr>
          <w:numId w:val="3"/>
        </w:numPr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Predkladateľ právneho predpisu:</w:t>
      </w:r>
      <w:r>
        <w:rPr>
          <w:rFonts w:ascii="Times New Roman" w:hAnsi="Times New Roman"/>
        </w:rPr>
        <w:t xml:space="preserve"> Ministerstvo pôdohospodárstva a rozvoja vidieka Slovenskej republiky </w:t>
      </w:r>
    </w:p>
    <w:p w:rsidR="00FA6D65" w:rsidP="00FA6D65">
      <w:pPr>
        <w:pStyle w:val="NormalWeb"/>
        <w:numPr>
          <w:numId w:val="3"/>
        </w:numPr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Názov návrhu právneho predpisu:</w:t>
      </w:r>
      <w:r>
        <w:rPr>
          <w:rFonts w:ascii="Times New Roman" w:hAnsi="Times New Roman"/>
        </w:rPr>
        <w:t xml:space="preserve"> Návrh zákona, ktorým sa mení a dopĺňa zákon Národnej rady Slovenskej republiky č. 152/1995 Z. z. o potravinách v znení neskorších predpisov </w:t>
      </w:r>
    </w:p>
    <w:p w:rsidR="00FA6D65" w:rsidRPr="006775A4" w:rsidP="00FA6D65">
      <w:pPr>
        <w:pStyle w:val="NormalWeb"/>
        <w:numPr>
          <w:numId w:val="3"/>
        </w:numPr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</w:rPr>
      </w:pPr>
      <w:r w:rsidRPr="006775A4">
        <w:rPr>
          <w:rFonts w:ascii="Times New Roman" w:hAnsi="Times New Roman"/>
          <w:b/>
        </w:rPr>
        <w:t>Problematika návrhu právneho predpisu:</w:t>
      </w:r>
    </w:p>
    <w:p w:rsidR="00FA6D65" w:rsidRPr="006775A4" w:rsidP="00FA6D65">
      <w:pPr>
        <w:bidi w:val="0"/>
        <w:spacing w:before="60" w:after="60"/>
        <w:ind w:left="709" w:hanging="349"/>
        <w:rPr>
          <w:rFonts w:ascii="Times New Roman" w:hAnsi="Times New Roman"/>
        </w:rPr>
      </w:pPr>
      <w:r w:rsidRPr="006775A4">
        <w:rPr>
          <w:rFonts w:ascii="Times New Roman" w:hAnsi="Times New Roman"/>
        </w:rPr>
        <w:t>a)</w:t>
        <w:tab/>
        <w:t>je upravená v práve Európskej únie</w:t>
      </w:r>
    </w:p>
    <w:p w:rsidR="00FA6D65" w:rsidRPr="00894DD8" w:rsidP="00FA6D65">
      <w:pPr>
        <w:tabs>
          <w:tab w:val="left" w:pos="1068"/>
        </w:tabs>
        <w:bidi w:val="0"/>
        <w:spacing w:before="60" w:after="60"/>
        <w:ind w:left="879" w:hanging="171"/>
        <w:rPr>
          <w:rFonts w:ascii="Times New Roman" w:hAnsi="Times New Roman"/>
          <w:i/>
        </w:rPr>
      </w:pPr>
      <w:r w:rsidRPr="006775A4">
        <w:rPr>
          <w:rFonts w:ascii="Times New Roman" w:hAnsi="Times New Roman"/>
        </w:rPr>
        <w:t>-</w:t>
        <w:tab/>
      </w:r>
      <w:r w:rsidRPr="00894DD8">
        <w:rPr>
          <w:rFonts w:ascii="Times New Roman" w:hAnsi="Times New Roman"/>
          <w:i/>
        </w:rPr>
        <w:t>primárnom</w:t>
      </w:r>
    </w:p>
    <w:p w:rsidR="00FA6D65" w:rsidRPr="006775A4" w:rsidP="00FA6D65">
      <w:pPr>
        <w:bidi w:val="0"/>
        <w:spacing w:before="60" w:after="60"/>
        <w:ind w:left="851"/>
        <w:rPr>
          <w:rFonts w:ascii="Times New Roman" w:hAnsi="Times New Roman"/>
        </w:rPr>
      </w:pPr>
      <w:r w:rsidRPr="006775A4">
        <w:rPr>
          <w:rFonts w:ascii="Times New Roman" w:hAnsi="Times New Roman"/>
        </w:rPr>
        <w:t>Hlava III. Zmluvy o fungovaní Európskej únie, </w:t>
      </w:r>
    </w:p>
    <w:p w:rsidR="00FA6D65" w:rsidRPr="006775A4" w:rsidP="00FA6D65">
      <w:pPr>
        <w:tabs>
          <w:tab w:val="left" w:pos="1068"/>
        </w:tabs>
        <w:bidi w:val="0"/>
        <w:spacing w:before="60" w:after="60"/>
        <w:ind w:left="879" w:hanging="171"/>
        <w:rPr>
          <w:rFonts w:ascii="Times New Roman" w:hAnsi="Times New Roman"/>
        </w:rPr>
      </w:pPr>
      <w:r w:rsidRPr="006775A4">
        <w:rPr>
          <w:rFonts w:ascii="Times New Roman" w:hAnsi="Times New Roman"/>
        </w:rPr>
        <w:t>-</w:t>
        <w:tab/>
      </w:r>
      <w:r w:rsidRPr="00B60466">
        <w:rPr>
          <w:rFonts w:ascii="Times New Roman" w:hAnsi="Times New Roman"/>
          <w:i/>
        </w:rPr>
        <w:t>sekundárnom</w:t>
      </w:r>
      <w:r w:rsidRPr="006775A4">
        <w:rPr>
          <w:rFonts w:ascii="Times New Roman" w:hAnsi="Times New Roman"/>
        </w:rPr>
        <w:t xml:space="preserve"> (prijatom po nadobudnutím platnosti Lisabonskej zmluvy, ktorou sa mení a dopĺňa Zmluva o Európskom spoločenstve a Zmluva o Európskej únii – po 30. novembri 2009)</w:t>
      </w:r>
    </w:p>
    <w:p w:rsidR="00FA6D65" w:rsidRPr="006775A4" w:rsidP="00FA6D65">
      <w:pPr>
        <w:bidi w:val="0"/>
        <w:spacing w:before="60" w:after="60"/>
        <w:ind w:left="1239" w:hanging="360"/>
        <w:jc w:val="both"/>
        <w:rPr>
          <w:rFonts w:ascii="Times New Roman" w:hAnsi="Times New Roman"/>
        </w:rPr>
      </w:pPr>
      <w:r w:rsidRPr="006775A4">
        <w:rPr>
          <w:rFonts w:ascii="Times New Roman" w:hAnsi="Times New Roman"/>
        </w:rPr>
        <w:t>1.</w:t>
        <w:tab/>
        <w:t xml:space="preserve">legislatívne akty </w:t>
      </w:r>
    </w:p>
    <w:p w:rsidR="00FA6D65" w:rsidRPr="006775A4" w:rsidP="00FA6D65">
      <w:pPr>
        <w:bidi w:val="0"/>
        <w:spacing w:before="60" w:after="60"/>
        <w:ind w:left="1239" w:hanging="360"/>
        <w:jc w:val="both"/>
        <w:rPr>
          <w:rFonts w:ascii="Times New Roman" w:hAnsi="Times New Roman"/>
        </w:rPr>
      </w:pPr>
      <w:r w:rsidRPr="006775A4">
        <w:rPr>
          <w:rFonts w:ascii="Times New Roman" w:hAnsi="Times New Roman"/>
        </w:rPr>
        <w:t>2.</w:t>
        <w:tab/>
        <w:t>nelegislatívne akty</w:t>
      </w:r>
    </w:p>
    <w:p w:rsidR="00FA6D65" w:rsidRPr="006775A4" w:rsidP="00FA6D65">
      <w:pPr>
        <w:bidi w:val="0"/>
        <w:spacing w:before="60" w:after="60"/>
        <w:ind w:left="879" w:hanging="171"/>
        <w:jc w:val="both"/>
        <w:rPr>
          <w:rFonts w:ascii="Times New Roman" w:hAnsi="Times New Roman"/>
        </w:rPr>
      </w:pPr>
      <w:r w:rsidRPr="006775A4">
        <w:rPr>
          <w:rFonts w:ascii="Times New Roman" w:hAnsi="Times New Roman"/>
        </w:rPr>
        <w:t>-</w:t>
        <w:tab/>
      </w:r>
      <w:r w:rsidRPr="00894DD8">
        <w:rPr>
          <w:rFonts w:ascii="Times New Roman" w:hAnsi="Times New Roman"/>
          <w:i/>
        </w:rPr>
        <w:t xml:space="preserve">sekundárnom </w:t>
      </w:r>
      <w:r w:rsidRPr="006775A4">
        <w:rPr>
          <w:rFonts w:ascii="Times New Roman" w:hAnsi="Times New Roman"/>
        </w:rPr>
        <w:t>(prijatom pred nadobudnutím platnosti Lisabonskej zmluvy, ktorou sa mení a dopĺňa Zmluva o Európskom spoločenstve a Zmluva o Európskej únii – do 30. novembra 2009)</w:t>
      </w:r>
    </w:p>
    <w:p w:rsidR="00FA6D65" w:rsidP="00FA6D65">
      <w:pPr>
        <w:bidi w:val="0"/>
        <w:spacing w:before="60" w:after="60"/>
        <w:ind w:left="709" w:hanging="349"/>
        <w:jc w:val="both"/>
        <w:rPr>
          <w:rFonts w:ascii="Times New Roman" w:hAnsi="Times New Roman"/>
        </w:rPr>
      </w:pPr>
      <w:r w:rsidRPr="006775A4">
        <w:rPr>
          <w:rFonts w:ascii="Times New Roman" w:hAnsi="Times New Roman"/>
        </w:rPr>
        <w:t>b)</w:t>
        <w:tab/>
        <w:t>nie je obsiahnutá v judikatúre Súdneho dvora Európskej únie</w:t>
      </w:r>
      <w:r w:rsidRPr="00F845B4">
        <w:rPr>
          <w:rFonts w:ascii="Times New Roman" w:hAnsi="Times New Roman"/>
        </w:rPr>
        <w:t>.</w:t>
      </w:r>
    </w:p>
    <w:p w:rsidR="00FA6D65" w:rsidRPr="006775A4" w:rsidP="00DD0471">
      <w:pPr>
        <w:pStyle w:val="NormalWeb"/>
        <w:numPr>
          <w:numId w:val="3"/>
        </w:numPr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</w:rPr>
      </w:pPr>
      <w:r w:rsidRPr="006775A4">
        <w:rPr>
          <w:rFonts w:ascii="Times New Roman" w:hAnsi="Times New Roman"/>
          <w:b/>
        </w:rPr>
        <w:t xml:space="preserve">Záväzky Slovenskej republiky vo vzťahu k Európskej únii: </w:t>
      </w:r>
    </w:p>
    <w:p w:rsidR="00FA6D65" w:rsidRPr="006775A4" w:rsidP="00FA6D65">
      <w:pPr>
        <w:bidi w:val="0"/>
        <w:spacing w:before="60" w:after="60"/>
        <w:ind w:left="709" w:hanging="349"/>
        <w:rPr>
          <w:rFonts w:ascii="Times New Roman" w:hAnsi="Times New Roman"/>
        </w:rPr>
      </w:pPr>
      <w:r w:rsidRPr="006775A4">
        <w:rPr>
          <w:rFonts w:ascii="Times New Roman" w:hAnsi="Times New Roman"/>
        </w:rPr>
        <w:t>a)</w:t>
        <w:tab/>
        <w:t>lehota na prebratie smernice alebo lehota na implementáciu nariadenia alebo rozhodnutia</w:t>
      </w:r>
    </w:p>
    <w:p w:rsidR="00FA6D65" w:rsidRPr="006775A4" w:rsidP="00FA6D65">
      <w:pPr>
        <w:bidi w:val="0"/>
        <w:spacing w:before="60" w:after="60"/>
        <w:ind w:left="709" w:hanging="3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6775A4">
        <w:rPr>
          <w:rFonts w:ascii="Times New Roman" w:hAnsi="Times New Roman"/>
        </w:rPr>
        <w:t>bezpredmetné </w:t>
      </w:r>
    </w:p>
    <w:p w:rsidR="00FA6D65" w:rsidRPr="006775A4" w:rsidP="00FA6D65">
      <w:pPr>
        <w:bidi w:val="0"/>
        <w:spacing w:before="60" w:after="60"/>
        <w:ind w:left="709" w:hanging="349"/>
        <w:rPr>
          <w:rFonts w:ascii="Times New Roman" w:hAnsi="Times New Roman"/>
        </w:rPr>
      </w:pPr>
      <w:r w:rsidRPr="006775A4">
        <w:rPr>
          <w:rFonts w:ascii="Times New Roman" w:hAnsi="Times New Roman"/>
        </w:rPr>
        <w:t>b)</w:t>
        <w:tab/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FA6D65" w:rsidRPr="006775A4" w:rsidP="00FA6D65">
      <w:pPr>
        <w:bidi w:val="0"/>
        <w:spacing w:before="60" w:after="60"/>
        <w:ind w:left="709" w:hanging="349"/>
        <w:rPr>
          <w:rFonts w:ascii="Times New Roman" w:hAnsi="Times New Roman"/>
        </w:rPr>
      </w:pPr>
      <w:r w:rsidRPr="006775A4">
        <w:rPr>
          <w:rFonts w:ascii="Times New Roman" w:hAnsi="Times New Roman"/>
        </w:rPr>
        <w:tab/>
        <w:t>bezpredmetné </w:t>
      </w:r>
    </w:p>
    <w:p w:rsidR="00FA6D65" w:rsidRPr="006775A4" w:rsidP="00FA6D65">
      <w:pPr>
        <w:bidi w:val="0"/>
        <w:spacing w:before="60" w:after="60"/>
        <w:ind w:left="709" w:hanging="349"/>
        <w:rPr>
          <w:rFonts w:ascii="Times New Roman" w:hAnsi="Times New Roman"/>
        </w:rPr>
      </w:pPr>
      <w:r w:rsidRPr="006775A4">
        <w:rPr>
          <w:rFonts w:ascii="Times New Roman" w:hAnsi="Times New Roman"/>
        </w:rPr>
        <w:t>c)</w:t>
        <w:tab/>
        <w:t>informácia o konaní začatom proti Slovenskej republike o porušení podľa čl. 258 až 260 Zmluvy o fungovaní Európskej únie</w:t>
      </w:r>
    </w:p>
    <w:p w:rsidR="00FA6D65" w:rsidRPr="006775A4" w:rsidP="00FA6D65">
      <w:pPr>
        <w:bidi w:val="0"/>
        <w:spacing w:before="60" w:after="60"/>
        <w:ind w:left="709" w:hanging="3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6775A4">
        <w:rPr>
          <w:rFonts w:ascii="Times New Roman" w:hAnsi="Times New Roman"/>
        </w:rPr>
        <w:t>V oblasti, ktorú upravuje tento návrh zákona nebolo začaté konanie proti Slovenskej republike o porušení Zmluvy o fungovaní Európskej únie podľa čl. 258 až 260 Zmluvy o fungovaní Európskej únie.  </w:t>
      </w:r>
    </w:p>
    <w:p w:rsidR="00FA6D65" w:rsidRPr="006775A4" w:rsidP="00FA6D65">
      <w:pPr>
        <w:bidi w:val="0"/>
        <w:spacing w:before="60" w:after="60"/>
        <w:ind w:left="709" w:hanging="349"/>
        <w:rPr>
          <w:rFonts w:ascii="Times New Roman" w:hAnsi="Times New Roman"/>
        </w:rPr>
      </w:pPr>
      <w:r w:rsidRPr="006775A4">
        <w:rPr>
          <w:rFonts w:ascii="Times New Roman" w:hAnsi="Times New Roman"/>
        </w:rPr>
        <w:t>d)</w:t>
        <w:tab/>
        <w:t>informácia o právnych predpisoch, v ktorých sú preberané smernice už prebraté spolu s uvedením rozsahu tohto prebratia</w:t>
      </w:r>
    </w:p>
    <w:p w:rsidR="00FA6D65" w:rsidP="00FA6D65">
      <w:pPr>
        <w:bidi w:val="0"/>
        <w:spacing w:before="60" w:after="60"/>
        <w:ind w:left="709" w:hanging="3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6775A4">
        <w:rPr>
          <w:rFonts w:ascii="Times New Roman" w:hAnsi="Times New Roman"/>
        </w:rPr>
        <w:t>bezpredmetné </w:t>
      </w:r>
    </w:p>
    <w:p w:rsidR="00FA6D65" w:rsidRPr="006775A4" w:rsidP="00DD0471">
      <w:pPr>
        <w:bidi w:val="0"/>
        <w:spacing w:before="60" w:after="60"/>
        <w:ind w:left="284" w:hanging="284"/>
        <w:rPr>
          <w:rFonts w:ascii="Times New Roman" w:hAnsi="Times New Roman"/>
        </w:rPr>
      </w:pPr>
      <w:r w:rsidRPr="006775A4">
        <w:rPr>
          <w:rFonts w:ascii="Times New Roman" w:hAnsi="Times New Roman"/>
          <w:b/>
        </w:rPr>
        <w:t>5.</w:t>
      </w:r>
      <w:r w:rsidRPr="006775A4">
        <w:rPr>
          <w:rFonts w:ascii="Times New Roman" w:hAnsi="Times New Roman"/>
        </w:rPr>
        <w:tab/>
      </w:r>
      <w:r w:rsidRPr="006775A4">
        <w:rPr>
          <w:rFonts w:ascii="Times New Roman" w:hAnsi="Times New Roman"/>
          <w:b/>
        </w:rPr>
        <w:t>Stupeň zlučiteľnosti návrhu právneho predpisu s právom Európskej únie</w:t>
      </w:r>
      <w:r w:rsidRPr="006775A4">
        <w:rPr>
          <w:rFonts w:ascii="Times New Roman" w:hAnsi="Times New Roman"/>
        </w:rPr>
        <w:t>:</w:t>
      </w:r>
    </w:p>
    <w:p w:rsidR="00FA6D65" w:rsidRPr="006775A4" w:rsidP="00FA6D65">
      <w:pPr>
        <w:bidi w:val="0"/>
        <w:spacing w:before="60" w:after="60"/>
        <w:ind w:left="709" w:hanging="349"/>
        <w:rPr>
          <w:rFonts w:ascii="Times New Roman" w:hAnsi="Times New Roman"/>
        </w:rPr>
      </w:pPr>
      <w:r w:rsidRPr="006775A4">
        <w:rPr>
          <w:rFonts w:ascii="Times New Roman" w:hAnsi="Times New Roman"/>
        </w:rPr>
        <w:t>úplný </w:t>
      </w:r>
    </w:p>
    <w:p w:rsidR="00FA6D65" w:rsidRPr="006775A4" w:rsidP="00DD0471">
      <w:pPr>
        <w:bidi w:val="0"/>
        <w:spacing w:before="60" w:after="60"/>
        <w:ind w:left="284" w:hanging="284"/>
        <w:rPr>
          <w:rFonts w:ascii="Times New Roman" w:hAnsi="Times New Roman"/>
          <w:b/>
        </w:rPr>
      </w:pPr>
      <w:r w:rsidRPr="006775A4">
        <w:rPr>
          <w:rFonts w:ascii="Times New Roman" w:hAnsi="Times New Roman"/>
          <w:b/>
        </w:rPr>
        <w:t>6.</w:t>
        <w:tab/>
        <w:t xml:space="preserve">Gestor a spolupracujúce rezorty: </w:t>
      </w:r>
    </w:p>
    <w:p w:rsidR="00FA6D65" w:rsidRPr="004E2E94" w:rsidP="00DD0471">
      <w:pPr>
        <w:bidi w:val="0"/>
        <w:spacing w:before="60" w:after="60"/>
        <w:ind w:firstLine="284"/>
        <w:rPr>
          <w:rFonts w:ascii="Times New Roman" w:hAnsi="Times New Roman"/>
        </w:rPr>
      </w:pPr>
      <w:r w:rsidRPr="006775A4">
        <w:rPr>
          <w:rFonts w:ascii="Times New Roman" w:hAnsi="Times New Roman"/>
        </w:rPr>
        <w:t>Ministerstvo pôdohospodárstva a rozvoja vidieka Slovenskej republiky.</w:t>
      </w:r>
    </w:p>
    <w:p w:rsidR="00FA6D65" w:rsidRPr="0005667E" w:rsidP="00FA6D65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>
        <w:rPr>
          <w:rStyle w:val="PlaceholderText"/>
          <w:color w:val="000000"/>
        </w:rPr>
        <w:br w:type="page"/>
      </w:r>
      <w:r w:rsidRPr="0005667E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FA6D65" w:rsidRPr="0005667E" w:rsidP="00FA6D65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05667E">
        <w:rPr>
          <w:rFonts w:ascii="Times New Roman" w:hAnsi="Times New Roman"/>
          <w:b/>
          <w:bCs/>
          <w:color w:val="000000"/>
        </w:rPr>
        <w:t>vybraných vplyvov</w:t>
      </w:r>
    </w:p>
    <w:p w:rsidR="00FA6D65" w:rsidRPr="0005667E" w:rsidP="00FA6D65">
      <w:pPr>
        <w:bidi w:val="0"/>
        <w:rPr>
          <w:rFonts w:ascii="Times New Roman" w:hAnsi="Times New Roman"/>
          <w:color w:val="000000"/>
        </w:rPr>
      </w:pPr>
    </w:p>
    <w:p w:rsidR="00FA6D65" w:rsidRPr="0005667E" w:rsidP="00FA6D65">
      <w:pPr>
        <w:bidi w:val="0"/>
        <w:jc w:val="both"/>
        <w:rPr>
          <w:rFonts w:ascii="Times New Roman" w:hAnsi="Times New Roman"/>
          <w:color w:val="000000"/>
        </w:rPr>
      </w:pPr>
      <w:r w:rsidRPr="0005667E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05667E">
        <w:rPr>
          <w:rFonts w:ascii="Times New Roman" w:hAnsi="Times New Roman"/>
          <w:color w:val="000000"/>
        </w:rPr>
        <w:t>Návrh zákona, ktorým sa mení a dopĺňa zákon Národnej rady Slovenskej republiky č. 152/1995 Z. z. o potravinách v znení neskorších predpisov </w:t>
      </w:r>
    </w:p>
    <w:p w:rsidR="00FA6D65" w:rsidRPr="0005667E" w:rsidP="00FA6D65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05667E">
        <w:rPr>
          <w:rFonts w:ascii="Times New Roman" w:hAnsi="Times New Roman"/>
          <w:b/>
          <w:bCs/>
          <w:color w:val="000000"/>
        </w:rPr>
        <w:t xml:space="preserve">        Termín začatia a ukončenia PPK:</w:t>
      </w:r>
      <w:r w:rsidRPr="0005667E">
        <w:rPr>
          <w:rFonts w:ascii="Times New Roman" w:hAnsi="Times New Roman"/>
          <w:color w:val="000000"/>
        </w:rPr>
        <w:t xml:space="preserve"> -  </w:t>
      </w:r>
    </w:p>
    <w:p w:rsidR="00FA6D65" w:rsidRPr="0005667E" w:rsidP="00FA6D65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FA6D65" w:rsidRPr="0005667E" w:rsidP="00FA6D65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05667E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Pozitívne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Žiadne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Negatívne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05667E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667E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dstrike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05667E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667E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dstrike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6D65" w:rsidRPr="0005667E" w:rsidP="007E63C6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D0471" w:rsidP="00FA6D65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FA6D65" w:rsidRPr="0005667E" w:rsidP="00FA6D65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05667E">
        <w:rPr>
          <w:rFonts w:ascii="Times New Roman" w:hAnsi="Times New Roman"/>
          <w:b/>
          <w:bCs/>
          <w:color w:val="000000"/>
        </w:rPr>
        <w:t>A.3. Poznámky</w:t>
      </w:r>
    </w:p>
    <w:p w:rsidR="00DD0471" w:rsidP="00DD0471">
      <w:pPr>
        <w:bidi w:val="0"/>
        <w:ind w:firstLine="720"/>
        <w:jc w:val="both"/>
        <w:rPr>
          <w:rFonts w:ascii="Times New Roman" w:hAnsi="Times New Roman"/>
          <w:color w:val="000000"/>
        </w:rPr>
      </w:pPr>
      <w:r w:rsidRPr="0005667E" w:rsidR="00FA6D65">
        <w:rPr>
          <w:rFonts w:ascii="Times New Roman" w:hAnsi="Times New Roman"/>
          <w:color w:val="000000"/>
        </w:rPr>
        <w:t>Pozitívny vplyv na rozpočet verejnej správy nie je možné kvantifikovať. Nedá sa vyčísliť, aké budú výnosy z pokút vzhľadom na to, že nie je možné odhadnúť množstvo porušení ustanovení tohto zákona.</w:t>
      </w:r>
    </w:p>
    <w:p w:rsidR="00FA6D65" w:rsidRPr="0005667E" w:rsidP="00FA6D65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05667E">
        <w:rPr>
          <w:rFonts w:ascii="Times New Roman" w:hAnsi="Times New Roman"/>
          <w:color w:val="000000"/>
        </w:rPr>
        <w:br/>
      </w:r>
      <w:r w:rsidRPr="0005667E">
        <w:rPr>
          <w:rFonts w:ascii="Times New Roman" w:hAnsi="Times New Roman"/>
          <w:b/>
          <w:bCs/>
          <w:color w:val="000000"/>
        </w:rPr>
        <w:t>A.4. Alternatívne riešenia</w:t>
      </w:r>
    </w:p>
    <w:p w:rsidR="00DD0471" w:rsidP="00FA6D65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FA6D65" w:rsidP="00FA6D65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05667E">
        <w:rPr>
          <w:rFonts w:ascii="Times New Roman" w:hAnsi="Times New Roman"/>
          <w:b/>
          <w:bCs/>
          <w:color w:val="000000"/>
        </w:rPr>
        <w:t>A.5. Stanovisko gestorov</w:t>
      </w:r>
    </w:p>
    <w:p w:rsidR="00DD0471" w:rsidRPr="0005667E" w:rsidP="00FA6D65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FA6D65" w:rsidP="00FA6D65">
      <w:pPr>
        <w:bidi w:val="0"/>
        <w:rPr>
          <w:rFonts w:ascii="Times New Roman" w:hAnsi="Times New Roman"/>
          <w:b/>
          <w:bCs/>
        </w:rPr>
      </w:pPr>
      <w:r>
        <w:rPr>
          <w:rStyle w:val="PlaceholderText"/>
          <w:color w:val="000000"/>
        </w:rPr>
        <w:br w:type="page"/>
      </w:r>
    </w:p>
    <w:tbl>
      <w:tblPr>
        <w:tblStyle w:val="TableNormal"/>
        <w:tblW w:w="9195" w:type="dxa"/>
        <w:tblCellMar>
          <w:left w:w="70" w:type="dxa"/>
          <w:right w:w="70" w:type="dxa"/>
        </w:tblCellMar>
      </w:tblPr>
      <w:tblGrid>
        <w:gridCol w:w="4323"/>
        <w:gridCol w:w="4872"/>
      </w:tblGrid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FA6D65" w:rsidP="007E63C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6D65" w:rsidP="007E63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3.1</w:t>
            </w:r>
            <w:r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FA6D65" w:rsidP="007E63C6">
            <w:pPr>
              <w:bidi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Spresnením povinnej osoby dochádza k vyňatiu tých podnikateľských subjektov, ktorí majú obrat nižší ako 10 mil. eur ročne a zároveň, ktorí  nepredávajú potraviny konečnému spotrebiteľovi zo zákonom definovanej povinnosti zasielať ministerstvu povinné údaje a zverejňovať ich</w:t>
            </w:r>
            <w:r w:rsidRPr="00F50E24">
              <w:rPr>
                <w:rFonts w:ascii="Times New Roman" w:hAnsi="Times New Roman"/>
              </w:rPr>
              <w:t>, čím dôjde k zníženiu ich administratívneho zaťaženia</w:t>
            </w:r>
            <w:r>
              <w:rPr>
                <w:rFonts w:ascii="Times New Roman" w:hAnsi="Times New Roman"/>
              </w:rPr>
              <w:t>.</w:t>
            </w:r>
          </w:p>
          <w:p w:rsidR="00FA6D65" w:rsidP="007E63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Povinnými osobami sú  prevádzkovatelia </w:t>
            </w:r>
            <w:r w:rsidRPr="00F50E24">
              <w:rPr>
                <w:rFonts w:ascii="Times New Roman" w:hAnsi="Times New Roman"/>
              </w:rPr>
              <w:t>obchodných prevádzkarní, pričom ustanovenie § 12a a § 28 ods. 16 sa týka najmä obchodných reťazcov.</w:t>
            </w:r>
          </w:p>
          <w:p w:rsidR="00FA6D65" w:rsidRPr="00C80F06" w:rsidP="007E63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 je možné určiť počet podnikateľských subjektov, ktoré budú návrhom dotknuté, nakoľko ministerstvo takouto štatistikou nedisponuje.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6D65" w:rsidP="007E63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3.2</w:t>
            </w:r>
            <w:r>
              <w:rPr>
                <w:rFonts w:ascii="Times New Roman" w:hAnsi="Times New Roman"/>
              </w:rPr>
              <w:t>. Aký je predpokladaný charakter a rozsah nákladov a prínosov?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FA6D65" w:rsidP="007E63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 prípade spresnenia </w:t>
            </w:r>
            <w:r w:rsidRPr="00985016">
              <w:rPr>
                <w:rFonts w:ascii="Times New Roman" w:hAnsi="Times New Roman"/>
              </w:rPr>
              <w:t>spôsobu plnenia  povinnosti nahlasovania príchodu zásielky produktov živočíšneho pôvodu, nespracovanej zeleniny a nespracovaného ovocia z inej členskej krajiny EÚ, ako aj z tretej krajiny do elektronického systému štátnej veterinárnej a potravinovej správy dochádza k administratívnemu zjednodušeniu súčasného platného stavu. Predpokladáme, že náklady na realizáciu tejto povinnosti sú zanedbateľné, nakoľko takmer každý prevádzkovateľ</w:t>
            </w:r>
            <w:r>
              <w:rPr>
                <w:rFonts w:ascii="Times New Roman" w:hAnsi="Times New Roman"/>
              </w:rPr>
              <w:t xml:space="preserve"> potravinárskeho podniku</w:t>
            </w:r>
            <w:r w:rsidRPr="00985016">
              <w:rPr>
                <w:rFonts w:ascii="Times New Roman" w:hAnsi="Times New Roman"/>
              </w:rPr>
              <w:t xml:space="preserve"> je dnes, či už materiálne alebo skúsenostne elektronicky vybavený.</w:t>
            </w:r>
          </w:p>
          <w:p w:rsidR="00FA6D65" w:rsidRPr="00985016" w:rsidP="007E63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5016">
              <w:rPr>
                <w:rFonts w:ascii="Times New Roman" w:hAnsi="Times New Roman"/>
              </w:rPr>
              <w:t xml:space="preserve">Prínosom sú aj vytvorené podmienky pre </w:t>
            </w:r>
          </w:p>
          <w:p w:rsidR="00FA6D65" w:rsidRPr="00F50E24" w:rsidP="007E63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5016">
              <w:rPr>
                <w:rFonts w:ascii="Times New Roman" w:hAnsi="Times New Roman"/>
              </w:rPr>
              <w:t>zlepšenie propagácie potravín vyrábaných na Slovensku a rozčlenenie pokút podľa § 28 ods. 4 do troch stupňov za opakované porušenie, čím sa zmiernil dopad z pokút.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6D65" w:rsidP="007E63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3.3</w:t>
            </w:r>
            <w:r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FA6D65" w:rsidRPr="00F50E24" w:rsidP="007E63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Nie je možné kvantifikovať. 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6D65" w:rsidP="007E63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3.4</w:t>
            </w:r>
            <w:r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FA6D65" w:rsidRPr="00F50E24" w:rsidP="007E63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Nepredpokladáme , že dôjde k zmenám operácií na trhu.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6D65" w:rsidP="007E63C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3.5</w:t>
            </w:r>
            <w:r>
              <w:rPr>
                <w:rFonts w:ascii="Times New Roman" w:hAnsi="Times New Roman"/>
              </w:rPr>
              <w:t>. Aké sú predpokladané spoločensko-ekonomické dôsledky pripravovaných regulácií?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6D65" w:rsidP="007E63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Spoločensko-</w:t>
            </w:r>
            <w:r w:rsidRPr="00F50E24">
              <w:rPr>
                <w:rFonts w:ascii="Times New Roman" w:hAnsi="Times New Roman"/>
              </w:rPr>
              <w:t xml:space="preserve">ekonomické dôsledky sa prejavia v lepšej informovanosti spotrebiteľov o pôvode potravín podľa jednotlivých výrobkových skupín. </w:t>
            </w:r>
          </w:p>
          <w:p w:rsidR="00FA6D65" w:rsidRPr="00F50E24" w:rsidP="007E63C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50E24">
              <w:rPr>
                <w:rFonts w:ascii="Times New Roman" w:hAnsi="Times New Roman"/>
              </w:rPr>
              <w:t>Zlepší sa informovanosť spotrebiteľov o podiele potravín vyrábaných na Slovensku, predávaných v obchodných reťazcoch.</w:t>
            </w:r>
            <w:r>
              <w:rPr>
                <w:rFonts w:ascii="Times New Roman" w:hAnsi="Times New Roman"/>
              </w:rPr>
              <w:t xml:space="preserve"> Spotrebiteľ môže na základe zverejnených údajov prispôsobiť svoje nákupné </w:t>
            </w:r>
            <w:r w:rsidRPr="00F50E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preferencie.</w:t>
            </w:r>
          </w:p>
        </w:tc>
      </w:tr>
    </w:tbl>
    <w:p w:rsidR="00FA6D65" w:rsidRPr="00C80F06" w:rsidP="00FA6D65">
      <w:pPr>
        <w:pStyle w:val="NormalWeb"/>
        <w:bidi w:val="0"/>
        <w:rPr>
          <w:rFonts w:ascii="Times New Roman" w:hAnsi="Times New Roman"/>
        </w:rPr>
      </w:pPr>
    </w:p>
    <w:p w:rsidR="00FA6D65" w:rsidRPr="00644B29" w:rsidP="00FA6D65">
      <w:pPr>
        <w:pStyle w:val="BodyText"/>
        <w:bidi w:val="0"/>
        <w:jc w:val="center"/>
        <w:rPr>
          <w:rFonts w:ascii="Times New Roman" w:hAnsi="Times New Roman"/>
          <w:sz w:val="20"/>
          <w:szCs w:val="20"/>
        </w:rPr>
      </w:pPr>
      <w:r>
        <w:rPr>
          <w:rStyle w:val="PlaceholderText"/>
          <w:color w:val="000000"/>
        </w:rPr>
        <w:br w:type="page"/>
      </w:r>
      <w:r w:rsidRPr="00644B29">
        <w:rPr>
          <w:rFonts w:ascii="Times New Roman" w:hAnsi="Times New Roman"/>
          <w:sz w:val="20"/>
          <w:szCs w:val="20"/>
        </w:rPr>
        <w:t>Vplyvy na informatizáciu spoločnosti</w:t>
      </w:r>
    </w:p>
    <w:p w:rsidR="00FA6D65" w:rsidRPr="00644B29" w:rsidP="00FA6D65">
      <w:pPr>
        <w:pStyle w:val="BodyText"/>
        <w:bidi w:val="0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4B29">
              <w:rPr>
                <w:rFonts w:ascii="Times New Roman" w:hAnsi="Times New Roman"/>
                <w:b/>
                <w:bCs/>
                <w:sz w:val="20"/>
                <w:szCs w:val="20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4B29">
              <w:rPr>
                <w:rFonts w:ascii="Times New Roman" w:hAnsi="Times New Roman"/>
                <w:b/>
                <w:bCs/>
                <w:sz w:val="20"/>
                <w:szCs w:val="20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b/>
                <w:bCs/>
                <w:sz w:val="20"/>
                <w:szCs w:val="20"/>
              </w:rPr>
              <w:t>6.1.</w:t>
            </w:r>
            <w:r w:rsidRPr="00644B29">
              <w:rPr>
                <w:rFonts w:ascii="Times New Roman" w:hAnsi="Times New Roman"/>
                <w:sz w:val="20"/>
                <w:szCs w:val="20"/>
              </w:rPr>
              <w:t xml:space="preserve"> Rozširujú alebo inovujú  sa existujúce alebo vytvárajú sa či zavádzajú  sa nové elektronické služby?</w:t>
            </w:r>
          </w:p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i/>
                <w:iCs/>
                <w:sz w:val="20"/>
                <w:szCs w:val="20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P="007E63C6">
            <w:pPr>
              <w:bidi w:val="0"/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Áno </w:t>
            </w:r>
          </w:p>
          <w:p w:rsidR="00FA6D65" w:rsidRPr="00036B8D" w:rsidP="007E63C6">
            <w:pPr>
              <w:bidi w:val="0"/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Zavedením z</w:t>
            </w:r>
            <w:r w:rsidRPr="001C1EC9">
              <w:rPr>
                <w:rFonts w:ascii="Times New Roman" w:hAnsi="Times New Roman" w:cs="Calibri"/>
                <w:sz w:val="20"/>
                <w:szCs w:val="20"/>
              </w:rPr>
              <w:t xml:space="preserve">verejňovaním </w:t>
            </w:r>
            <w:r w:rsidRPr="00036B8D">
              <w:rPr>
                <w:rFonts w:ascii="Times New Roman" w:hAnsi="Times New Roman" w:cs="Calibri"/>
                <w:sz w:val="20"/>
                <w:szCs w:val="20"/>
              </w:rPr>
              <w:t>vzoru polročného výkazu, podľa ktorého bude prevádzkovateľ zasielať ministerstvu zákonom vyžadované informácie sa prispieva k zjednoteniu metodiky pri zasielaní predmetných informácií a tým sa prispieva k právnej istote prevádzkovateľov prostredníctvom poskytnutia vzoru výkazu umiestneného na webovom sídle ministerstva a vo vestníku.</w:t>
            </w:r>
          </w:p>
          <w:p w:rsidR="00FA6D65" w:rsidRPr="00036B8D" w:rsidP="007E63C6">
            <w:pPr>
              <w:bidi w:val="0"/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 w:rsidRPr="00036B8D">
              <w:rPr>
                <w:rFonts w:ascii="Times New Roman" w:hAnsi="Times New Roman" w:cs="Calibri"/>
                <w:sz w:val="20"/>
                <w:szCs w:val="20"/>
              </w:rPr>
              <w:t xml:space="preserve">Zverejňovaním polročného výkazu na webovom sídle prevádzkovateľa sa prispieva k  zvyšovaniu informovanosti zákazníkov konkrétneho prevádzkovateľa o podiele ním predávaných potravín. </w:t>
            </w:r>
          </w:p>
          <w:p w:rsidR="00FA6D65" w:rsidRPr="00C2535E" w:rsidP="007E63C6">
            <w:pPr>
              <w:bidi w:val="0"/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 w:rsidRPr="00036B8D">
              <w:rPr>
                <w:rFonts w:ascii="Times New Roman" w:hAnsi="Times New Roman" w:cs="Calibri"/>
                <w:sz w:val="20"/>
                <w:szCs w:val="20"/>
              </w:rPr>
              <w:t>Zverejním zoznamu prevádzkovateľov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na webovom sídle ministerstva sa </w:t>
            </w:r>
            <w:r w:rsidRPr="003D17C2">
              <w:rPr>
                <w:rFonts w:ascii="Times New Roman" w:hAnsi="Times New Roman" w:cs="Calibri"/>
                <w:sz w:val="20"/>
                <w:szCs w:val="20"/>
              </w:rPr>
              <w:t xml:space="preserve">docieli celkový prehľad o podiele predaja potravín vyrobených v Slovenskej republike podľa obratu na potravinách z celkovej ponuky predávaných potravín a tiež aj v členení podľa jednotlivých odborov potravinárskeho priemyslu povinných prevádzkovateľov </w:t>
            </w:r>
            <w:r>
              <w:rPr>
                <w:rFonts w:ascii="Times New Roman" w:hAnsi="Times New Roman" w:cs="Calibri"/>
                <w:sz w:val="20"/>
                <w:szCs w:val="20"/>
              </w:rPr>
              <w:t>čím sa zlepší informovanosť širokej spotrebiteľskej verejnosti.</w:t>
            </w:r>
          </w:p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Úroveň I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b/>
                <w:bCs/>
                <w:sz w:val="20"/>
                <w:szCs w:val="20"/>
              </w:rPr>
              <w:t>6.2.</w:t>
            </w:r>
            <w:r w:rsidRPr="00644B29">
              <w:rPr>
                <w:rFonts w:ascii="Times New Roman" w:hAnsi="Times New Roman"/>
                <w:sz w:val="20"/>
                <w:szCs w:val="20"/>
              </w:rPr>
              <w:t xml:space="preserve"> Vytvárajú sa podmienky pre sémantickú interoperabilitu?</w:t>
            </w:r>
          </w:p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i/>
                <w:iCs/>
                <w:sz w:val="20"/>
                <w:szCs w:val="20"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sz w:val="20"/>
                <w:szCs w:val="20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b/>
                <w:bCs/>
                <w:sz w:val="20"/>
                <w:szCs w:val="20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b/>
                <w:bCs/>
                <w:sz w:val="20"/>
                <w:szCs w:val="20"/>
              </w:rPr>
              <w:t>6.3.</w:t>
            </w:r>
            <w:r w:rsidRPr="00644B29">
              <w:rPr>
                <w:rFonts w:ascii="Times New Roman" w:hAnsi="Times New Roman"/>
                <w:sz w:val="20"/>
                <w:szCs w:val="20"/>
              </w:rPr>
              <w:t xml:space="preserve"> Zabezpečuje sa vzdelávanie v oblasti počítačovej gramotnosti a rozširovanie vedomostí o IKT?</w:t>
            </w:r>
          </w:p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i/>
                <w:iCs/>
                <w:sz w:val="20"/>
                <w:szCs w:val="20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4B29">
              <w:rPr>
                <w:rFonts w:ascii="Times New Roman" w:hAnsi="Times New Roman"/>
                <w:sz w:val="20"/>
                <w:szCs w:val="20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b/>
                <w:bCs/>
                <w:sz w:val="20"/>
                <w:szCs w:val="20"/>
              </w:rPr>
              <w:t>6.4.</w:t>
            </w:r>
            <w:r w:rsidRPr="00644B29">
              <w:rPr>
                <w:rFonts w:ascii="Times New Roman" w:hAnsi="Times New Roman"/>
                <w:sz w:val="20"/>
                <w:szCs w:val="20"/>
              </w:rPr>
              <w:t xml:space="preserve"> Zabezpečuje sa rozvoj elektronického vzdelávania?</w:t>
            </w:r>
          </w:p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i/>
                <w:iCs/>
                <w:sz w:val="20"/>
                <w:szCs w:val="20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4B29">
              <w:rPr>
                <w:rFonts w:ascii="Times New Roman" w:hAnsi="Times New Roman"/>
                <w:sz w:val="20"/>
                <w:szCs w:val="20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b/>
                <w:bCs/>
                <w:sz w:val="20"/>
                <w:szCs w:val="20"/>
              </w:rPr>
              <w:t>6.5.</w:t>
            </w:r>
            <w:r w:rsidRPr="00644B29">
              <w:rPr>
                <w:rFonts w:ascii="Times New Roman" w:hAnsi="Times New Roman"/>
                <w:sz w:val="20"/>
                <w:szCs w:val="20"/>
              </w:rPr>
              <w:t xml:space="preserve"> Zabezpečuje sa podporná a propagačná aktivita zameraná na zvyšovanie povedomia o informatizácii a IKT?</w:t>
            </w:r>
          </w:p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i/>
                <w:iCs/>
                <w:sz w:val="20"/>
                <w:szCs w:val="20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4B29">
              <w:rPr>
                <w:rFonts w:ascii="Times New Roman" w:hAnsi="Times New Roman"/>
                <w:sz w:val="20"/>
                <w:szCs w:val="20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b/>
                <w:bCs/>
                <w:sz w:val="20"/>
                <w:szCs w:val="20"/>
              </w:rPr>
              <w:t>6.6.</w:t>
            </w:r>
            <w:r w:rsidRPr="00644B29">
              <w:rPr>
                <w:rFonts w:ascii="Times New Roman" w:hAnsi="Times New Roman"/>
                <w:sz w:val="20"/>
                <w:szCs w:val="20"/>
              </w:rPr>
              <w:t xml:space="preserve"> Zabezpečuje/zohľadňuje/zlepšuje sa prístup znevýhodnených osôb k službám informačnej spoločnosti?</w:t>
            </w:r>
          </w:p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i/>
                <w:iCs/>
                <w:sz w:val="20"/>
                <w:szCs w:val="20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4B29">
              <w:rPr>
                <w:rFonts w:ascii="Times New Roman" w:hAnsi="Times New Roman"/>
                <w:sz w:val="20"/>
                <w:szCs w:val="20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4B29">
              <w:rPr>
                <w:rFonts w:ascii="Times New Roman" w:hAnsi="Times New Roman"/>
                <w:b/>
                <w:bCs/>
                <w:sz w:val="20"/>
                <w:szCs w:val="20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b/>
                <w:bCs/>
                <w:sz w:val="20"/>
                <w:szCs w:val="20"/>
              </w:rPr>
              <w:t>6.7</w:t>
            </w:r>
            <w:r w:rsidRPr="003D17C2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3D17C2">
              <w:rPr>
                <w:rFonts w:ascii="Times New Roman" w:hAnsi="Times New Roman"/>
                <w:sz w:val="20"/>
                <w:szCs w:val="20"/>
              </w:rPr>
              <w:t xml:space="preserve"> Rozširuje, inovuje, vytvára alebo zavádza sa nový informačný systém?</w:t>
            </w:r>
          </w:p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i/>
                <w:iCs/>
                <w:sz w:val="20"/>
                <w:szCs w:val="20"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4B29">
              <w:rPr>
                <w:rFonts w:ascii="Times New Roman" w:hAnsi="Times New Roman"/>
                <w:sz w:val="20"/>
                <w:szCs w:val="20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b/>
                <w:bCs/>
                <w:sz w:val="20"/>
                <w:szCs w:val="20"/>
              </w:rPr>
              <w:t>6.8.</w:t>
            </w:r>
            <w:r w:rsidRPr="00644B29">
              <w:rPr>
                <w:rFonts w:ascii="Times New Roman" w:hAnsi="Times New Roman"/>
                <w:sz w:val="20"/>
                <w:szCs w:val="20"/>
              </w:rPr>
              <w:t xml:space="preserve"> Rozširuje sa prístupnosť k internetu?</w:t>
            </w:r>
          </w:p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i/>
                <w:iCs/>
                <w:sz w:val="20"/>
                <w:szCs w:val="20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4B29">
              <w:rPr>
                <w:rFonts w:ascii="Times New Roman" w:hAnsi="Times New Roman"/>
                <w:sz w:val="20"/>
                <w:szCs w:val="20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b/>
                <w:bCs/>
                <w:sz w:val="20"/>
                <w:szCs w:val="20"/>
              </w:rPr>
              <w:t>6.9.</w:t>
            </w:r>
            <w:r w:rsidRPr="00644B29">
              <w:rPr>
                <w:rFonts w:ascii="Times New Roman" w:hAnsi="Times New Roman"/>
                <w:sz w:val="20"/>
                <w:szCs w:val="20"/>
              </w:rPr>
              <w:t xml:space="preserve"> Rozširuje sa prístupnosť k elektronickým službám?</w:t>
            </w:r>
          </w:p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i/>
                <w:iCs/>
                <w:sz w:val="20"/>
                <w:szCs w:val="20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4B29">
              <w:rPr>
                <w:rFonts w:ascii="Times New Roman" w:hAnsi="Times New Roman"/>
                <w:sz w:val="20"/>
                <w:szCs w:val="20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b/>
                <w:bCs/>
                <w:sz w:val="20"/>
                <w:szCs w:val="20"/>
              </w:rPr>
              <w:t>6.10.</w:t>
            </w:r>
            <w:r w:rsidRPr="00644B29">
              <w:rPr>
                <w:rFonts w:ascii="Times New Roman" w:hAnsi="Times New Roman"/>
                <w:sz w:val="20"/>
                <w:szCs w:val="20"/>
              </w:rPr>
              <w:t xml:space="preserve"> Zabezpečuje sa technická interoperabilita?</w:t>
            </w:r>
          </w:p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i/>
                <w:iCs/>
                <w:sz w:val="20"/>
                <w:szCs w:val="20"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4B29">
              <w:rPr>
                <w:rFonts w:ascii="Times New Roman" w:hAnsi="Times New Roman"/>
                <w:sz w:val="20"/>
                <w:szCs w:val="20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b/>
                <w:bCs/>
                <w:sz w:val="20"/>
                <w:szCs w:val="20"/>
              </w:rPr>
              <w:t>6.11.</w:t>
            </w:r>
            <w:r w:rsidRPr="00644B29">
              <w:rPr>
                <w:rFonts w:ascii="Times New Roman" w:hAnsi="Times New Roman"/>
                <w:sz w:val="20"/>
                <w:szCs w:val="20"/>
              </w:rPr>
              <w:t xml:space="preserve"> Zvyšuje sa bezpečnosť IT?</w:t>
            </w:r>
          </w:p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sz w:val="20"/>
                <w:szCs w:val="20"/>
              </w:rPr>
              <w:t>(</w:t>
            </w:r>
            <w:r w:rsidRPr="00644B29">
              <w:rPr>
                <w:rFonts w:ascii="Times New Roman" w:hAnsi="Times New Roman"/>
                <w:i/>
                <w:iCs/>
                <w:sz w:val="20"/>
                <w:szCs w:val="20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4B29">
              <w:rPr>
                <w:rFonts w:ascii="Times New Roman" w:hAnsi="Times New Roman"/>
                <w:sz w:val="20"/>
                <w:szCs w:val="20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b/>
                <w:bCs/>
                <w:sz w:val="20"/>
                <w:szCs w:val="20"/>
              </w:rPr>
              <w:t>6.12.</w:t>
            </w:r>
            <w:r w:rsidRPr="00644B29">
              <w:rPr>
                <w:rFonts w:ascii="Times New Roman" w:hAnsi="Times New Roman"/>
                <w:sz w:val="20"/>
                <w:szCs w:val="20"/>
              </w:rPr>
              <w:t xml:space="preserve"> Rozširuje sa technická infraštruktúra?</w:t>
            </w:r>
          </w:p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sz w:val="20"/>
                <w:szCs w:val="20"/>
              </w:rPr>
              <w:t>(</w:t>
            </w:r>
            <w:r w:rsidRPr="00644B29">
              <w:rPr>
                <w:rFonts w:ascii="Times New Roman" w:hAnsi="Times New Roman"/>
                <w:i/>
                <w:iCs/>
                <w:sz w:val="20"/>
                <w:szCs w:val="20"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4B29">
              <w:rPr>
                <w:rFonts w:ascii="Times New Roman" w:hAnsi="Times New Roman"/>
                <w:sz w:val="20"/>
                <w:szCs w:val="20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4B29">
              <w:rPr>
                <w:rFonts w:ascii="Times New Roman" w:hAnsi="Times New Roman"/>
                <w:b/>
                <w:bCs/>
                <w:sz w:val="20"/>
                <w:szCs w:val="20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b/>
                <w:bCs/>
                <w:sz w:val="20"/>
                <w:szCs w:val="20"/>
              </w:rPr>
              <w:t>6.13.</w:t>
            </w:r>
            <w:r w:rsidRPr="00644B29">
              <w:rPr>
                <w:rFonts w:ascii="Times New Roman" w:hAnsi="Times New Roman"/>
                <w:sz w:val="20"/>
                <w:szCs w:val="20"/>
              </w:rPr>
              <w:t xml:space="preserve"> Predpokladajú sa zmeny v riadení procesu informatizácie?</w:t>
            </w:r>
          </w:p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i/>
                <w:iCs/>
                <w:sz w:val="20"/>
                <w:szCs w:val="20"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4B29">
              <w:rPr>
                <w:rFonts w:ascii="Times New Roman" w:hAnsi="Times New Roman"/>
                <w:sz w:val="20"/>
                <w:szCs w:val="20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4B29">
              <w:rPr>
                <w:rFonts w:ascii="Times New Roman" w:hAnsi="Times New Roman"/>
                <w:b/>
                <w:bCs/>
                <w:sz w:val="20"/>
                <w:szCs w:val="20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b/>
                <w:bCs/>
                <w:sz w:val="20"/>
                <w:szCs w:val="20"/>
              </w:rPr>
              <w:t>6.14.</w:t>
            </w:r>
            <w:r w:rsidRPr="00644B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6D82">
              <w:rPr>
                <w:rFonts w:ascii="Times New Roman" w:hAnsi="Times New Roman"/>
                <w:sz w:val="20"/>
                <w:szCs w:val="20"/>
              </w:rPr>
              <w:t>Vyžaduje si proces informatizácie  finančné investície?</w:t>
            </w:r>
          </w:p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i/>
                <w:iCs/>
                <w:sz w:val="20"/>
                <w:szCs w:val="20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4B29">
              <w:rPr>
                <w:rFonts w:ascii="Times New Roman" w:hAnsi="Times New Roman"/>
                <w:sz w:val="20"/>
                <w:szCs w:val="20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4B29">
              <w:rPr>
                <w:rFonts w:ascii="Times New Roman" w:hAnsi="Times New Roman"/>
                <w:b/>
                <w:bCs/>
                <w:sz w:val="20"/>
                <w:szCs w:val="20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b/>
                <w:bCs/>
                <w:sz w:val="20"/>
                <w:szCs w:val="20"/>
              </w:rPr>
              <w:t>6.15.</w:t>
            </w:r>
            <w:r w:rsidRPr="00644B29">
              <w:rPr>
                <w:rFonts w:ascii="Times New Roman" w:hAnsi="Times New Roman"/>
                <w:sz w:val="20"/>
                <w:szCs w:val="20"/>
              </w:rPr>
              <w:t xml:space="preserve"> Predpokladá nelegislatívny materiál potrebu úpravy legislatívneho prostredia  procesu informatizácie?</w:t>
            </w:r>
          </w:p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B29">
              <w:rPr>
                <w:rFonts w:ascii="Times New Roman" w:hAnsi="Times New Roman"/>
                <w:i/>
                <w:iCs/>
                <w:sz w:val="20"/>
                <w:szCs w:val="20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D65" w:rsidRPr="00644B29" w:rsidP="007E63C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44B29">
              <w:rPr>
                <w:rFonts w:ascii="Times New Roman" w:hAnsi="Times New Roman"/>
                <w:sz w:val="20"/>
                <w:szCs w:val="20"/>
              </w:rPr>
              <w:t>Nie.</w:t>
            </w:r>
          </w:p>
        </w:tc>
      </w:tr>
    </w:tbl>
    <w:p w:rsidR="00FA6D65" w:rsidP="00FA6D65">
      <w:pPr>
        <w:bidi w:val="0"/>
        <w:rPr>
          <w:rFonts w:ascii="Times New Roman" w:hAnsi="Times New Roman"/>
        </w:rPr>
      </w:pPr>
    </w:p>
    <w:p w:rsidR="00FA6D65" w:rsidRPr="007F6B1E" w:rsidP="00EE5772">
      <w:pPr>
        <w:widowControl/>
        <w:bidi w:val="0"/>
        <w:spacing w:before="60" w:after="60"/>
        <w:jc w:val="both"/>
        <w:rPr>
          <w:rFonts w:ascii="Times New Roman" w:hAnsi="Times New Roman"/>
          <w:b/>
          <w:color w:val="000000"/>
        </w:rPr>
      </w:pPr>
      <w:r>
        <w:rPr>
          <w:rStyle w:val="PlaceholderText"/>
          <w:color w:val="000000"/>
        </w:rPr>
        <w:br w:type="page"/>
      </w:r>
      <w:r w:rsidRPr="007F6B1E">
        <w:rPr>
          <w:rFonts w:ascii="Times New Roman" w:hAnsi="Times New Roman"/>
          <w:b/>
          <w:color w:val="000000"/>
        </w:rPr>
        <w:t>B. Osobitná časť</w:t>
      </w:r>
    </w:p>
    <w:p w:rsidR="00FA6D65" w:rsidRPr="002C7584" w:rsidP="00EE5772">
      <w:pPr>
        <w:widowControl/>
        <w:bidi w:val="0"/>
        <w:spacing w:before="60" w:after="6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K </w:t>
      </w:r>
      <w:r w:rsidRPr="002C7584">
        <w:rPr>
          <w:rFonts w:ascii="Times New Roman" w:hAnsi="Times New Roman"/>
          <w:b/>
          <w:color w:val="000000"/>
        </w:rPr>
        <w:t>Čl. I</w:t>
      </w:r>
    </w:p>
    <w:p w:rsidR="00FA6D65" w:rsidRPr="007F6B1E" w:rsidP="00EE5772">
      <w:pPr>
        <w:widowControl/>
        <w:bidi w:val="0"/>
        <w:spacing w:before="60" w:after="60"/>
        <w:jc w:val="both"/>
        <w:rPr>
          <w:rFonts w:ascii="Times New Roman" w:hAnsi="Times New Roman"/>
          <w:color w:val="000000"/>
        </w:rPr>
      </w:pPr>
      <w:r w:rsidRPr="00F37744">
        <w:rPr>
          <w:rStyle w:val="PlaceholderText"/>
          <w:b/>
          <w:color w:val="000000"/>
        </w:rPr>
        <w:t>K bodu 1</w:t>
      </w:r>
    </w:p>
    <w:p w:rsidR="00FA6D65" w:rsidRPr="00F37744" w:rsidP="00EE5772">
      <w:pPr>
        <w:widowControl/>
        <w:bidi w:val="0"/>
        <w:spacing w:before="60" w:after="60"/>
        <w:ind w:firstLine="708"/>
        <w:jc w:val="both"/>
        <w:rPr>
          <w:rStyle w:val="PlaceholderText"/>
          <w:color w:val="000000"/>
        </w:rPr>
      </w:pPr>
      <w:r w:rsidRPr="00F37744">
        <w:rPr>
          <w:rStyle w:val="PlaceholderText"/>
          <w:color w:val="000000"/>
        </w:rPr>
        <w:t>Upresňuje spôsob nahlasovania prísunu zásielky potravín z iného členského štátu EÚ.</w:t>
      </w:r>
    </w:p>
    <w:p w:rsidR="00FA6D65" w:rsidRPr="00F37744" w:rsidP="00EE5772">
      <w:pPr>
        <w:widowControl/>
        <w:bidi w:val="0"/>
        <w:spacing w:before="60" w:after="60"/>
        <w:jc w:val="both"/>
        <w:rPr>
          <w:rStyle w:val="PlaceholderText"/>
          <w:color w:val="000000"/>
        </w:rPr>
      </w:pPr>
      <w:r w:rsidRPr="00F37744">
        <w:rPr>
          <w:rStyle w:val="PlaceholderText"/>
          <w:b/>
          <w:color w:val="000000"/>
        </w:rPr>
        <w:t>K bodu 2</w:t>
      </w:r>
    </w:p>
    <w:p w:rsidR="00FA6D65" w:rsidRPr="00F37744" w:rsidP="00EE5772">
      <w:pPr>
        <w:widowControl/>
        <w:bidi w:val="0"/>
        <w:spacing w:before="60" w:after="60"/>
        <w:ind w:firstLine="708"/>
        <w:jc w:val="both"/>
        <w:rPr>
          <w:rStyle w:val="PlaceholderText"/>
          <w:color w:val="000000"/>
        </w:rPr>
      </w:pPr>
      <w:r w:rsidRPr="00F37744">
        <w:rPr>
          <w:rStyle w:val="PlaceholderText"/>
          <w:color w:val="000000"/>
        </w:rPr>
        <w:t>Dopĺňa</w:t>
      </w:r>
      <w:r>
        <w:rPr>
          <w:rStyle w:val="PlaceholderText"/>
          <w:color w:val="000000"/>
        </w:rPr>
        <w:t xml:space="preserve"> sa</w:t>
      </w:r>
      <w:r w:rsidRPr="00F37744">
        <w:rPr>
          <w:rStyle w:val="PlaceholderText"/>
          <w:color w:val="000000"/>
        </w:rPr>
        <w:t xml:space="preserve"> splnomocnenie ministerstva na vydanie všeobecne záväzného právneho predpisu </w:t>
      </w:r>
      <w:r>
        <w:rPr>
          <w:rStyle w:val="PlaceholderText"/>
          <w:color w:val="000000"/>
        </w:rPr>
        <w:t xml:space="preserve">ustanovujúceho podrobnosti o možnosti označovania potravín a poľnohospodárskych </w:t>
      </w:r>
      <w:r w:rsidRPr="00F1120B">
        <w:rPr>
          <w:rStyle w:val="PlaceholderText"/>
          <w:color w:val="000000"/>
        </w:rPr>
        <w:t>produktov</w:t>
      </w:r>
      <w:r w:rsidRPr="00F37744">
        <w:rPr>
          <w:rStyle w:val="PlaceholderText"/>
          <w:color w:val="000000"/>
        </w:rPr>
        <w:t xml:space="preserve"> </w:t>
      </w:r>
      <w:r>
        <w:rPr>
          <w:rStyle w:val="PlaceholderText"/>
          <w:color w:val="000000"/>
        </w:rPr>
        <w:t xml:space="preserve">dobrovoľnými </w:t>
      </w:r>
      <w:r w:rsidRPr="00F37744">
        <w:rPr>
          <w:rStyle w:val="PlaceholderText"/>
          <w:color w:val="000000"/>
        </w:rPr>
        <w:t>údajmi a ich používanie na účely propagácie a marketingu, ako aj rozsah účinnosti</w:t>
      </w:r>
      <w:r>
        <w:rPr>
          <w:rStyle w:val="PlaceholderText"/>
          <w:color w:val="000000"/>
        </w:rPr>
        <w:t xml:space="preserve"> na</w:t>
      </w:r>
      <w:r w:rsidRPr="00F37744">
        <w:rPr>
          <w:rStyle w:val="PlaceholderText"/>
          <w:color w:val="000000"/>
        </w:rPr>
        <w:t xml:space="preserve"> ktoré potraviny</w:t>
      </w:r>
      <w:r>
        <w:rPr>
          <w:rStyle w:val="PlaceholderText"/>
          <w:color w:val="000000"/>
        </w:rPr>
        <w:t xml:space="preserve"> a poľnohospodárske</w:t>
      </w:r>
      <w:r w:rsidRPr="00F1120B">
        <w:rPr>
          <w:rStyle w:val="PlaceholderText"/>
          <w:color w:val="000000"/>
        </w:rPr>
        <w:t xml:space="preserve"> produkt</w:t>
      </w:r>
      <w:r>
        <w:rPr>
          <w:rStyle w:val="PlaceholderText"/>
          <w:color w:val="000000"/>
        </w:rPr>
        <w:t>y</w:t>
      </w:r>
      <w:r w:rsidRPr="00F37744">
        <w:rPr>
          <w:rStyle w:val="PlaceholderText"/>
          <w:color w:val="000000"/>
        </w:rPr>
        <w:t xml:space="preserve"> </w:t>
      </w:r>
      <w:r>
        <w:rPr>
          <w:rStyle w:val="PlaceholderText"/>
          <w:color w:val="000000"/>
        </w:rPr>
        <w:t xml:space="preserve">sa </w:t>
      </w:r>
      <w:r w:rsidRPr="00F37744">
        <w:rPr>
          <w:rStyle w:val="PlaceholderText"/>
          <w:color w:val="000000"/>
        </w:rPr>
        <w:t xml:space="preserve">toto označovanie </w:t>
      </w:r>
      <w:r>
        <w:rPr>
          <w:rStyle w:val="PlaceholderText"/>
          <w:color w:val="000000"/>
        </w:rPr>
        <w:t xml:space="preserve"> aplikuje</w:t>
      </w:r>
      <w:r w:rsidRPr="00F37744">
        <w:rPr>
          <w:rStyle w:val="PlaceholderText"/>
          <w:color w:val="000000"/>
        </w:rPr>
        <w:t>.</w:t>
      </w:r>
    </w:p>
    <w:p w:rsidR="00FA6D65" w:rsidRPr="00F37744" w:rsidP="00EE5772">
      <w:pPr>
        <w:widowControl/>
        <w:bidi w:val="0"/>
        <w:spacing w:before="60" w:after="60"/>
        <w:jc w:val="both"/>
        <w:rPr>
          <w:rStyle w:val="PlaceholderText"/>
          <w:color w:val="000000"/>
        </w:rPr>
      </w:pPr>
      <w:r w:rsidRPr="00F37744">
        <w:rPr>
          <w:rStyle w:val="PlaceholderText"/>
          <w:b/>
          <w:color w:val="000000"/>
        </w:rPr>
        <w:t>K bodu 3</w:t>
      </w:r>
    </w:p>
    <w:p w:rsidR="00FA6D65" w:rsidRPr="00F37744" w:rsidP="00EE5772">
      <w:pPr>
        <w:widowControl/>
        <w:bidi w:val="0"/>
        <w:spacing w:before="60" w:after="6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U</w:t>
      </w:r>
      <w:r w:rsidRPr="00F37744">
        <w:rPr>
          <w:rStyle w:val="PlaceholderText"/>
          <w:color w:val="000000"/>
        </w:rPr>
        <w:t>pravuje</w:t>
      </w:r>
      <w:r>
        <w:rPr>
          <w:rStyle w:val="PlaceholderText"/>
          <w:color w:val="000000"/>
        </w:rPr>
        <w:t xml:space="preserve"> sa</w:t>
      </w:r>
      <w:r w:rsidRPr="00F37744">
        <w:rPr>
          <w:rStyle w:val="PlaceholderText"/>
          <w:color w:val="000000"/>
        </w:rPr>
        <w:t xml:space="preserve"> povinnosť </w:t>
      </w:r>
      <w:r>
        <w:rPr>
          <w:rStyle w:val="PlaceholderText"/>
          <w:color w:val="000000"/>
        </w:rPr>
        <w:t xml:space="preserve">prevádzkovateľa </w:t>
      </w:r>
      <w:r w:rsidRPr="00F37744">
        <w:rPr>
          <w:rStyle w:val="PlaceholderText"/>
          <w:color w:val="000000"/>
        </w:rPr>
        <w:t>predkladať informáciu len za Slovenskú republiku (pôvodne za prvých päť krajín pôvodu) a povinnosť zverejnenia tejto informácie na viditeľnom mieste pri vstupe do prevádzkarne</w:t>
      </w:r>
      <w:r>
        <w:rPr>
          <w:rStyle w:val="PlaceholderText"/>
          <w:color w:val="000000"/>
        </w:rPr>
        <w:t xml:space="preserve"> určenej pre konečného spotrebiteľa  na jeho webovom sídle.</w:t>
      </w:r>
    </w:p>
    <w:p w:rsidR="00FA6D65" w:rsidRPr="00F37744" w:rsidP="00EE5772">
      <w:pPr>
        <w:widowControl/>
        <w:bidi w:val="0"/>
        <w:spacing w:before="60" w:after="60"/>
        <w:ind w:firstLine="708"/>
        <w:jc w:val="both"/>
        <w:rPr>
          <w:rStyle w:val="PlaceholderText"/>
          <w:color w:val="000000"/>
        </w:rPr>
      </w:pPr>
      <w:r w:rsidRPr="00F37744">
        <w:rPr>
          <w:rStyle w:val="PlaceholderText"/>
          <w:color w:val="000000"/>
        </w:rPr>
        <w:t>Presne sa definuje prevádzkovateľ, ktorý bude podľa tohto návrhu zákona povinný predkladať informáciu ministerstvu.</w:t>
      </w:r>
    </w:p>
    <w:p w:rsidR="00FA6D65" w:rsidRPr="00F37744" w:rsidP="00EE5772">
      <w:pPr>
        <w:widowControl/>
        <w:bidi w:val="0"/>
        <w:spacing w:before="60" w:after="60"/>
        <w:ind w:firstLine="708"/>
        <w:jc w:val="both"/>
        <w:rPr>
          <w:rStyle w:val="PlaceholderText"/>
          <w:color w:val="000000"/>
        </w:rPr>
      </w:pPr>
      <w:r w:rsidRPr="00F37744">
        <w:rPr>
          <w:rStyle w:val="PlaceholderText"/>
          <w:color w:val="000000"/>
        </w:rPr>
        <w:t xml:space="preserve">Z tejto povinnosti sa vynímajú </w:t>
      </w:r>
      <w:r>
        <w:rPr>
          <w:rStyle w:val="PlaceholderText"/>
          <w:color w:val="000000"/>
        </w:rPr>
        <w:t xml:space="preserve">napr. </w:t>
      </w:r>
      <w:r w:rsidRPr="00F37744">
        <w:rPr>
          <w:rStyle w:val="PlaceholderText"/>
          <w:color w:val="000000"/>
        </w:rPr>
        <w:t xml:space="preserve">prevádzkovatelia, </w:t>
      </w:r>
      <w:r w:rsidRPr="006F2C0F">
        <w:rPr>
          <w:rStyle w:val="PlaceholderText"/>
          <w:color w:val="000000"/>
        </w:rPr>
        <w:t>s vlastnými maloobchodnými prevádzkarňami, ktorých hlavnou činnosťou je výroba potravín</w:t>
      </w:r>
      <w:r w:rsidRPr="006F2C0F">
        <w:rPr>
          <w:rStyle w:val="PlaceholderText"/>
          <w:color w:val="000000"/>
        </w:rPr>
        <w:t xml:space="preserve"> </w:t>
      </w:r>
      <w:r>
        <w:rPr>
          <w:rStyle w:val="PlaceholderText"/>
          <w:color w:val="000000"/>
        </w:rPr>
        <w:t xml:space="preserve"> alebo výhradní distributéri potravín, teda takí prevádzkovatelia, ktorých  hlavnou činnosťou nie je predaj potravín konečnému spotrebiteľovi, ale výroba, príprava resp. podávanie pokrmov. </w:t>
      </w:r>
    </w:p>
    <w:p w:rsidR="00FA6D65" w:rsidRPr="00F37744" w:rsidP="00EE5772">
      <w:pPr>
        <w:widowControl/>
        <w:bidi w:val="0"/>
        <w:spacing w:before="60" w:after="60"/>
        <w:ind w:firstLine="708"/>
        <w:jc w:val="both"/>
        <w:rPr>
          <w:rStyle w:val="PlaceholderText"/>
          <w:color w:val="000000"/>
        </w:rPr>
      </w:pPr>
      <w:r w:rsidRPr="00F37744">
        <w:rPr>
          <w:rStyle w:val="PlaceholderText"/>
          <w:color w:val="000000"/>
        </w:rPr>
        <w:t>Zverejnením vzoru polročného výkazu, na ktorom bude prevádzkovateľ zasielať ministerstvu informáciu sa zjednotí metodika predkladania informácie.</w:t>
      </w:r>
    </w:p>
    <w:p w:rsidR="00FA6D65" w:rsidRPr="00F37744" w:rsidP="00EE5772">
      <w:pPr>
        <w:widowControl/>
        <w:bidi w:val="0"/>
        <w:spacing w:before="60" w:after="60"/>
        <w:ind w:firstLine="708"/>
        <w:jc w:val="both"/>
        <w:rPr>
          <w:rStyle w:val="PlaceholderText"/>
          <w:color w:val="000000"/>
        </w:rPr>
      </w:pPr>
      <w:r w:rsidRPr="00F37744">
        <w:rPr>
          <w:rStyle w:val="PlaceholderText"/>
          <w:color w:val="000000"/>
        </w:rPr>
        <w:t xml:space="preserve">Zverejnením zoznamu </w:t>
      </w:r>
      <w:r>
        <w:rPr>
          <w:rStyle w:val="PlaceholderText"/>
          <w:color w:val="000000"/>
        </w:rPr>
        <w:t xml:space="preserve">prevádzkovateľov </w:t>
      </w:r>
      <w:r w:rsidRPr="00F37744">
        <w:rPr>
          <w:rStyle w:val="PlaceholderText"/>
          <w:color w:val="000000"/>
        </w:rPr>
        <w:t>na webovom sídle ministerstva sa docieli celkový prehľad o podiele predaja potravín vyrobených v Slovenskej republike podľa obratu na potravinách z celkovej ponuky predávaných potravín a tiež aj v členení podľa jednotlivých odborov potravinárskeho priemyslu povinných prevádzkovateľov</w:t>
      </w:r>
      <w:r>
        <w:rPr>
          <w:rStyle w:val="PlaceholderText"/>
          <w:color w:val="000000"/>
        </w:rPr>
        <w:t xml:space="preserve">. </w:t>
      </w:r>
      <w:r w:rsidRPr="00F37744">
        <w:rPr>
          <w:rStyle w:val="PlaceholderText"/>
          <w:color w:val="000000"/>
        </w:rPr>
        <w:t>Navrhovanou právnou úpravou sa predchádza zverejňovaniu zoznamu iných prevádzkovateľov inými prevádzkovateľmi pri vstupe do prevádzkarne určenej pre konečného spotrebiteľa, čím sa dosiahne jasnejší prehľad o podiele z celkového predaja potravín vyrobených v Slovenskej republike podľa obratu na potravinách z celkovej ponuky predávaných potravín a tiež aj v členení podľa jednotlivých odborov potravinárskeho priemyslu, toho ktorého prevádzkovateľa.</w:t>
      </w:r>
    </w:p>
    <w:p w:rsidR="00FA6D65" w:rsidRPr="00F37744" w:rsidP="00EE5772">
      <w:pPr>
        <w:widowControl/>
        <w:bidi w:val="0"/>
        <w:spacing w:before="60" w:after="60"/>
        <w:jc w:val="both"/>
        <w:rPr>
          <w:rStyle w:val="PlaceholderText"/>
          <w:color w:val="000000"/>
        </w:rPr>
      </w:pPr>
      <w:r w:rsidRPr="00F37744">
        <w:rPr>
          <w:rStyle w:val="PlaceholderText"/>
          <w:b/>
          <w:color w:val="000000"/>
        </w:rPr>
        <w:t>K bodu 4</w:t>
      </w:r>
    </w:p>
    <w:p w:rsidR="00FA6D65" w:rsidRPr="00F37744" w:rsidP="00EE5772">
      <w:pPr>
        <w:widowControl/>
        <w:bidi w:val="0"/>
        <w:spacing w:before="60" w:after="60"/>
        <w:ind w:firstLine="708"/>
        <w:jc w:val="both"/>
        <w:rPr>
          <w:rStyle w:val="PlaceholderText"/>
          <w:color w:val="000000"/>
        </w:rPr>
      </w:pPr>
      <w:r w:rsidRPr="00F37744">
        <w:rPr>
          <w:rStyle w:val="PlaceholderText"/>
          <w:color w:val="000000"/>
        </w:rPr>
        <w:t xml:space="preserve">Rozširuje </w:t>
      </w:r>
      <w:r>
        <w:rPr>
          <w:rStyle w:val="PlaceholderText"/>
          <w:color w:val="000000"/>
        </w:rPr>
        <w:t xml:space="preserve">sa kompetencia na výkon úradnej kontroly potravín </w:t>
      </w:r>
      <w:r w:rsidRPr="00F37744">
        <w:rPr>
          <w:rStyle w:val="PlaceholderText"/>
          <w:color w:val="000000"/>
        </w:rPr>
        <w:t>orgánov štátnej veterinárnej a potravinovej správy o potraviny označené dobrovoľnými údajmi.</w:t>
      </w:r>
    </w:p>
    <w:p w:rsidR="00FA6D65" w:rsidRPr="00F37744" w:rsidP="00EE5772">
      <w:pPr>
        <w:widowControl/>
        <w:bidi w:val="0"/>
        <w:spacing w:before="60" w:after="60"/>
        <w:jc w:val="both"/>
        <w:rPr>
          <w:rStyle w:val="PlaceholderText"/>
          <w:color w:val="000000"/>
        </w:rPr>
      </w:pPr>
      <w:r w:rsidRPr="00F37744">
        <w:rPr>
          <w:rStyle w:val="PlaceholderText"/>
          <w:b/>
          <w:color w:val="000000"/>
        </w:rPr>
        <w:t>K bodu 5</w:t>
      </w:r>
    </w:p>
    <w:p w:rsidR="00FA6D65" w:rsidP="00EE5772">
      <w:pPr>
        <w:widowControl/>
        <w:bidi w:val="0"/>
        <w:spacing w:before="60" w:after="60"/>
        <w:ind w:firstLine="708"/>
        <w:jc w:val="both"/>
        <w:rPr>
          <w:rStyle w:val="PlaceholderText"/>
          <w:color w:val="000000"/>
        </w:rPr>
      </w:pPr>
      <w:r w:rsidRPr="00F37744">
        <w:rPr>
          <w:rStyle w:val="PlaceholderText"/>
          <w:color w:val="000000"/>
        </w:rPr>
        <w:t xml:space="preserve">Splnomocňuje </w:t>
      </w:r>
      <w:r>
        <w:rPr>
          <w:rStyle w:val="PlaceholderText"/>
          <w:color w:val="000000"/>
        </w:rPr>
        <w:t xml:space="preserve">sa </w:t>
      </w:r>
      <w:r w:rsidRPr="00F37744">
        <w:rPr>
          <w:rStyle w:val="PlaceholderText"/>
          <w:color w:val="000000"/>
        </w:rPr>
        <w:t xml:space="preserve">ministerstvo </w:t>
      </w:r>
      <w:r>
        <w:rPr>
          <w:rStyle w:val="PlaceholderText"/>
          <w:color w:val="000000"/>
        </w:rPr>
        <w:t xml:space="preserve">na </w:t>
      </w:r>
      <w:r w:rsidRPr="00F37744">
        <w:rPr>
          <w:rStyle w:val="PlaceholderText"/>
          <w:color w:val="000000"/>
        </w:rPr>
        <w:t>vykon</w:t>
      </w:r>
      <w:r>
        <w:rPr>
          <w:rStyle w:val="PlaceholderText"/>
          <w:color w:val="000000"/>
        </w:rPr>
        <w:t>ávanie</w:t>
      </w:r>
      <w:r w:rsidRPr="00F37744">
        <w:rPr>
          <w:rStyle w:val="PlaceholderText"/>
          <w:color w:val="000000"/>
        </w:rPr>
        <w:t xml:space="preserve"> kontroly</w:t>
      </w:r>
      <w:r>
        <w:rPr>
          <w:rStyle w:val="PlaceholderText"/>
          <w:color w:val="000000"/>
        </w:rPr>
        <w:t xml:space="preserve">, v rámci ktorej bude skúmať </w:t>
      </w:r>
      <w:r w:rsidRPr="00F37744">
        <w:rPr>
          <w:rStyle w:val="PlaceholderText"/>
          <w:color w:val="000000"/>
        </w:rPr>
        <w:t>správnosť, úplnosť a pravdivosť predkladaných informácií prevádzkovateľom podľa § 12a ods. 1 písm. a).</w:t>
      </w:r>
      <w:r>
        <w:rPr>
          <w:rStyle w:val="PlaceholderText"/>
          <w:color w:val="000000"/>
        </w:rPr>
        <w:t xml:space="preserve"> Kompetencia je doplňovaná z dôvodu potreby spätnej kontroly a overovania  predkladaných údajov povinnými osobami. Zistenia sú následne podkladom pre prípadné uloženie pokuty, ak nedošlo k zaslaniu zákonom vyžadovaných informácií, alebo by boli poskytnuté údaje nezhodujúce sa so skutočnosťou</w:t>
      </w:r>
      <w:r w:rsidR="00837C3F">
        <w:rPr>
          <w:rStyle w:val="PlaceholderText"/>
          <w:color w:val="000000"/>
        </w:rPr>
        <w:t>,</w:t>
      </w:r>
      <w:r>
        <w:rPr>
          <w:rStyle w:val="PlaceholderText"/>
          <w:color w:val="000000"/>
        </w:rPr>
        <w:t xml:space="preserve"> resp. inak nevyhovujúce.</w:t>
      </w:r>
    </w:p>
    <w:p w:rsidR="00FA6D65" w:rsidRPr="00F37744" w:rsidP="00EE5772">
      <w:pPr>
        <w:widowControl/>
        <w:bidi w:val="0"/>
        <w:spacing w:before="60" w:after="60"/>
        <w:jc w:val="both"/>
        <w:rPr>
          <w:rStyle w:val="PlaceholderText"/>
          <w:color w:val="000000"/>
        </w:rPr>
      </w:pPr>
      <w:r w:rsidR="00DD0471">
        <w:rPr>
          <w:rStyle w:val="PlaceholderText"/>
          <w:b/>
          <w:color w:val="000000"/>
        </w:rPr>
        <w:br w:type="page"/>
      </w:r>
      <w:r w:rsidRPr="00F37744">
        <w:rPr>
          <w:rStyle w:val="PlaceholderText"/>
          <w:b/>
          <w:color w:val="000000"/>
        </w:rPr>
        <w:t>K bodu 6</w:t>
      </w:r>
    </w:p>
    <w:p w:rsidR="00FA6D65" w:rsidRPr="00F37744" w:rsidP="00EE5772">
      <w:pPr>
        <w:widowControl/>
        <w:bidi w:val="0"/>
        <w:spacing w:before="60" w:after="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ab/>
        <w:t>Legislatívno- technická úprava. Spresnenie skutkovej podstaty z dôvodu aplikačnej praxe.</w:t>
      </w:r>
    </w:p>
    <w:p w:rsidR="00FA6D65" w:rsidRPr="00F37744" w:rsidP="00EE5772">
      <w:pPr>
        <w:widowControl/>
        <w:bidi w:val="0"/>
        <w:spacing w:before="60" w:after="60"/>
        <w:jc w:val="both"/>
        <w:rPr>
          <w:rStyle w:val="PlaceholderText"/>
          <w:color w:val="000000"/>
        </w:rPr>
      </w:pPr>
      <w:r w:rsidRPr="00F37744">
        <w:rPr>
          <w:rStyle w:val="PlaceholderText"/>
          <w:b/>
          <w:color w:val="000000"/>
        </w:rPr>
        <w:t xml:space="preserve">K bodu </w:t>
      </w:r>
      <w:r>
        <w:rPr>
          <w:rStyle w:val="PlaceholderText"/>
          <w:b/>
          <w:color w:val="000000"/>
        </w:rPr>
        <w:t>7</w:t>
      </w:r>
    </w:p>
    <w:p w:rsidR="00FA6D65" w:rsidRPr="00F37744" w:rsidP="00EE5772">
      <w:pPr>
        <w:widowControl/>
        <w:bidi w:val="0"/>
        <w:spacing w:before="60" w:after="6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Ustanovuje sa nová skutková podstata, pri ktorej naplnení je možné uložiť </w:t>
      </w:r>
      <w:r w:rsidRPr="00F37744">
        <w:rPr>
          <w:rStyle w:val="PlaceholderText"/>
          <w:color w:val="000000"/>
        </w:rPr>
        <w:t>poku</w:t>
      </w:r>
      <w:r>
        <w:rPr>
          <w:rStyle w:val="PlaceholderText"/>
          <w:color w:val="000000"/>
        </w:rPr>
        <w:t>tu v rozmedzí od 100 eur do 100 000 eur, ak povinná osoba nezverení polročný výkaz spôsobom a v čase predpokladanom zákonom tak</w:t>
      </w:r>
      <w:r w:rsidR="00837C3F">
        <w:rPr>
          <w:rStyle w:val="PlaceholderText"/>
          <w:color w:val="000000"/>
        </w:rPr>
        <w:t>,</w:t>
      </w:r>
      <w:r>
        <w:rPr>
          <w:rStyle w:val="PlaceholderText"/>
          <w:color w:val="000000"/>
        </w:rPr>
        <w:t xml:space="preserve"> ako je to ustanovené v </w:t>
      </w:r>
      <w:r w:rsidRPr="00F37744">
        <w:rPr>
          <w:rStyle w:val="PlaceholderText"/>
          <w:color w:val="000000"/>
        </w:rPr>
        <w:t>§ 12</w:t>
      </w:r>
      <w:r w:rsidR="003D0BAE">
        <w:rPr>
          <w:rStyle w:val="PlaceholderText"/>
          <w:color w:val="000000"/>
        </w:rPr>
        <w:t>a</w:t>
      </w:r>
      <w:r w:rsidR="00837C3F">
        <w:rPr>
          <w:rStyle w:val="PlaceholderText"/>
          <w:color w:val="000000"/>
        </w:rPr>
        <w:t xml:space="preserve"> </w:t>
      </w:r>
      <w:r>
        <w:rPr>
          <w:rStyle w:val="PlaceholderText"/>
          <w:color w:val="000000"/>
        </w:rPr>
        <w:t>ods. 1 písm. b)</w:t>
      </w:r>
      <w:r w:rsidRPr="00F37744">
        <w:rPr>
          <w:rStyle w:val="PlaceholderText"/>
          <w:color w:val="000000"/>
        </w:rPr>
        <w:t>.</w:t>
      </w:r>
    </w:p>
    <w:p w:rsidR="00FA6D65" w:rsidRPr="00F37744" w:rsidP="00EE5772">
      <w:pPr>
        <w:widowControl/>
        <w:bidi w:val="0"/>
        <w:spacing w:before="60" w:after="60"/>
        <w:jc w:val="both"/>
        <w:rPr>
          <w:rStyle w:val="PlaceholderText"/>
          <w:color w:val="000000"/>
        </w:rPr>
      </w:pPr>
      <w:r w:rsidRPr="00F37744">
        <w:rPr>
          <w:rStyle w:val="PlaceholderText"/>
          <w:b/>
          <w:color w:val="000000"/>
        </w:rPr>
        <w:t xml:space="preserve">K bodu </w:t>
      </w:r>
      <w:r>
        <w:rPr>
          <w:rStyle w:val="PlaceholderText"/>
          <w:b/>
          <w:color w:val="000000"/>
        </w:rPr>
        <w:t>8</w:t>
      </w:r>
    </w:p>
    <w:p w:rsidR="00FA6D65" w:rsidRPr="00F37744" w:rsidP="00EE5772">
      <w:pPr>
        <w:widowControl/>
        <w:bidi w:val="0"/>
        <w:spacing w:before="60" w:after="60"/>
        <w:ind w:firstLine="708"/>
        <w:jc w:val="both"/>
        <w:rPr>
          <w:rStyle w:val="PlaceholderText"/>
          <w:color w:val="000000"/>
        </w:rPr>
      </w:pPr>
      <w:r w:rsidRPr="00F37744">
        <w:rPr>
          <w:rStyle w:val="PlaceholderText"/>
          <w:color w:val="000000"/>
        </w:rPr>
        <w:t xml:space="preserve">Vypúšťa </w:t>
      </w:r>
      <w:r>
        <w:rPr>
          <w:rStyle w:val="PlaceholderText"/>
          <w:color w:val="000000"/>
        </w:rPr>
        <w:t xml:space="preserve">sa ustanovenie o </w:t>
      </w:r>
      <w:r w:rsidRPr="00F37744">
        <w:rPr>
          <w:rStyle w:val="PlaceholderText"/>
          <w:color w:val="000000"/>
        </w:rPr>
        <w:t>uložen</w:t>
      </w:r>
      <w:r>
        <w:rPr>
          <w:rStyle w:val="PlaceholderText"/>
          <w:color w:val="000000"/>
        </w:rPr>
        <w:t>í</w:t>
      </w:r>
      <w:r w:rsidRPr="00F37744">
        <w:rPr>
          <w:rStyle w:val="PlaceholderText"/>
          <w:color w:val="000000"/>
        </w:rPr>
        <w:t xml:space="preserve"> pokuty, ktoré je novou úpravou textu zahrnuté v bode 6.</w:t>
      </w:r>
      <w:r>
        <w:rPr>
          <w:rStyle w:val="PlaceholderText"/>
          <w:color w:val="000000"/>
        </w:rPr>
        <w:t xml:space="preserve"> Legislatívno-technická úprava.</w:t>
      </w:r>
    </w:p>
    <w:p w:rsidR="00FA6D65" w:rsidRPr="00F37744" w:rsidP="00EE5772">
      <w:pPr>
        <w:widowControl/>
        <w:bidi w:val="0"/>
        <w:spacing w:before="60" w:after="60"/>
        <w:jc w:val="both"/>
        <w:rPr>
          <w:rStyle w:val="PlaceholderText"/>
          <w:color w:val="000000"/>
        </w:rPr>
      </w:pPr>
      <w:r w:rsidRPr="00F37744">
        <w:rPr>
          <w:rStyle w:val="PlaceholderText"/>
          <w:b/>
          <w:color w:val="000000"/>
        </w:rPr>
        <w:t xml:space="preserve">K bodom </w:t>
      </w:r>
      <w:r>
        <w:rPr>
          <w:rStyle w:val="PlaceholderText"/>
          <w:b/>
          <w:color w:val="000000"/>
        </w:rPr>
        <w:t>9</w:t>
      </w:r>
      <w:r w:rsidRPr="00F37744">
        <w:rPr>
          <w:rStyle w:val="PlaceholderText"/>
          <w:b/>
          <w:color w:val="000000"/>
        </w:rPr>
        <w:t xml:space="preserve"> a </w:t>
      </w:r>
      <w:r>
        <w:rPr>
          <w:rStyle w:val="PlaceholderText"/>
          <w:b/>
          <w:color w:val="000000"/>
        </w:rPr>
        <w:t>10</w:t>
      </w:r>
    </w:p>
    <w:p w:rsidR="00FA6D65" w:rsidRPr="00F37744" w:rsidP="00EE5772">
      <w:pPr>
        <w:widowControl/>
        <w:bidi w:val="0"/>
        <w:spacing w:before="60" w:after="60"/>
        <w:ind w:firstLine="708"/>
        <w:jc w:val="both"/>
        <w:rPr>
          <w:rStyle w:val="PlaceholderText"/>
          <w:color w:val="000000"/>
        </w:rPr>
      </w:pPr>
      <w:r w:rsidRPr="00F37744">
        <w:rPr>
          <w:rStyle w:val="PlaceholderText"/>
          <w:color w:val="000000"/>
        </w:rPr>
        <w:t xml:space="preserve">Upravuje </w:t>
      </w:r>
      <w:r>
        <w:rPr>
          <w:rStyle w:val="PlaceholderText"/>
          <w:color w:val="000000"/>
        </w:rPr>
        <w:t xml:space="preserve">sa </w:t>
      </w:r>
      <w:r w:rsidRPr="00F37744">
        <w:rPr>
          <w:rStyle w:val="PlaceholderText"/>
          <w:color w:val="000000"/>
        </w:rPr>
        <w:t>výšk</w:t>
      </w:r>
      <w:r>
        <w:rPr>
          <w:rStyle w:val="PlaceholderText"/>
          <w:color w:val="000000"/>
        </w:rPr>
        <w:t>a</w:t>
      </w:r>
      <w:r w:rsidRPr="00F37744">
        <w:rPr>
          <w:rStyle w:val="PlaceholderText"/>
          <w:color w:val="000000"/>
        </w:rPr>
        <w:t xml:space="preserve"> pokút za druhé a ďalšie porušenie povinností podľa § 28 ods. 4.</w:t>
      </w:r>
    </w:p>
    <w:p w:rsidR="00FA6D65" w:rsidRPr="00F37744" w:rsidP="00EE5772">
      <w:pPr>
        <w:widowControl/>
        <w:bidi w:val="0"/>
        <w:spacing w:before="60" w:after="60"/>
        <w:jc w:val="both"/>
        <w:rPr>
          <w:rStyle w:val="PlaceholderText"/>
          <w:color w:val="000000"/>
        </w:rPr>
      </w:pPr>
      <w:r w:rsidRPr="00F37744">
        <w:rPr>
          <w:rStyle w:val="PlaceholderText"/>
          <w:b/>
          <w:color w:val="000000"/>
        </w:rPr>
        <w:t>K bodu 1</w:t>
      </w:r>
      <w:r>
        <w:rPr>
          <w:rStyle w:val="PlaceholderText"/>
          <w:b/>
          <w:color w:val="000000"/>
        </w:rPr>
        <w:t>1</w:t>
      </w:r>
    </w:p>
    <w:p w:rsidR="00FA6D65" w:rsidRPr="00F37744" w:rsidP="00EE5772">
      <w:pPr>
        <w:widowControl/>
        <w:bidi w:val="0"/>
        <w:spacing w:before="60" w:after="60"/>
        <w:ind w:firstLine="708"/>
        <w:jc w:val="both"/>
        <w:rPr>
          <w:rStyle w:val="PlaceholderText"/>
          <w:color w:val="000000"/>
        </w:rPr>
      </w:pPr>
      <w:r w:rsidRPr="00F37744">
        <w:rPr>
          <w:rStyle w:val="PlaceholderText"/>
          <w:color w:val="000000"/>
        </w:rPr>
        <w:t xml:space="preserve">Rozširuje </w:t>
      </w:r>
      <w:r>
        <w:rPr>
          <w:rStyle w:val="PlaceholderText"/>
          <w:color w:val="000000"/>
        </w:rPr>
        <w:t>sa oprávnenie ministerstva, na základe ktorého uloží pokutu, ak povinná osoba nezaslala ministerstvu vyžadované údaje vo forme polročného výkazu v zákonom vyžadovanom čase a forme alebo posky</w:t>
      </w:r>
      <w:r w:rsidRPr="00F37744">
        <w:rPr>
          <w:rStyle w:val="PlaceholderText"/>
          <w:color w:val="000000"/>
        </w:rPr>
        <w:t>t</w:t>
      </w:r>
      <w:r>
        <w:rPr>
          <w:rStyle w:val="PlaceholderText"/>
          <w:color w:val="000000"/>
        </w:rPr>
        <w:t xml:space="preserve">la </w:t>
      </w:r>
      <w:r w:rsidRPr="00F37744">
        <w:rPr>
          <w:rStyle w:val="PlaceholderText"/>
          <w:color w:val="000000"/>
        </w:rPr>
        <w:t xml:space="preserve"> nepravdivej informácie</w:t>
      </w:r>
      <w:r>
        <w:rPr>
          <w:rStyle w:val="PlaceholderText"/>
          <w:color w:val="000000"/>
        </w:rPr>
        <w:t>.</w:t>
      </w:r>
    </w:p>
    <w:p w:rsidR="00FA6D65" w:rsidRPr="00F37744" w:rsidP="00EE5772">
      <w:pPr>
        <w:widowControl/>
        <w:bidi w:val="0"/>
        <w:spacing w:before="60" w:after="60"/>
        <w:jc w:val="both"/>
        <w:rPr>
          <w:rStyle w:val="PlaceholderText"/>
          <w:color w:val="000000"/>
        </w:rPr>
      </w:pPr>
      <w:r w:rsidRPr="00F37744">
        <w:rPr>
          <w:rStyle w:val="PlaceholderText"/>
          <w:b/>
          <w:color w:val="000000"/>
        </w:rPr>
        <w:t>K bodu 1</w:t>
      </w:r>
      <w:r>
        <w:rPr>
          <w:rStyle w:val="PlaceholderText"/>
          <w:b/>
          <w:color w:val="000000"/>
        </w:rPr>
        <w:t>2</w:t>
      </w:r>
    </w:p>
    <w:p w:rsidR="00FA6D65" w:rsidP="00EE5772">
      <w:pPr>
        <w:widowControl/>
        <w:bidi w:val="0"/>
        <w:spacing w:before="60" w:after="60"/>
        <w:ind w:firstLine="708"/>
        <w:jc w:val="both"/>
        <w:rPr>
          <w:rStyle w:val="PlaceholderText"/>
          <w:color w:val="000000"/>
        </w:rPr>
      </w:pPr>
      <w:r w:rsidRPr="00F37744">
        <w:rPr>
          <w:rStyle w:val="PlaceholderText"/>
          <w:color w:val="000000"/>
        </w:rPr>
        <w:t>Rieši preloženie ustanovenia § 30a ods. 2 do § 12a.</w:t>
      </w:r>
      <w:r>
        <w:rPr>
          <w:rStyle w:val="PlaceholderText"/>
          <w:color w:val="000000"/>
        </w:rPr>
        <w:t xml:space="preserve"> Legislatívno-technická úprava.</w:t>
      </w:r>
    </w:p>
    <w:p w:rsidR="00FA6D65" w:rsidRPr="00F37744" w:rsidP="00EE5772">
      <w:pPr>
        <w:widowControl/>
        <w:bidi w:val="0"/>
        <w:spacing w:before="60" w:after="60"/>
        <w:jc w:val="both"/>
        <w:rPr>
          <w:rStyle w:val="PlaceholderText"/>
          <w:color w:val="000000"/>
        </w:rPr>
      </w:pPr>
      <w:r>
        <w:rPr>
          <w:rStyle w:val="PlaceholderText"/>
          <w:b/>
          <w:color w:val="000000"/>
        </w:rPr>
        <w:t>K Čl. II</w:t>
      </w:r>
    </w:p>
    <w:p w:rsidR="00FA6D65" w:rsidRPr="00F37744" w:rsidP="00EE5772">
      <w:pPr>
        <w:widowControl/>
        <w:bidi w:val="0"/>
        <w:spacing w:before="60" w:after="60"/>
        <w:ind w:firstLine="708"/>
        <w:jc w:val="both"/>
        <w:rPr>
          <w:rStyle w:val="PlaceholderText"/>
          <w:color w:val="000000"/>
        </w:rPr>
      </w:pPr>
      <w:r w:rsidRPr="00F37744">
        <w:rPr>
          <w:rStyle w:val="PlaceholderText"/>
          <w:color w:val="000000"/>
        </w:rPr>
        <w:t xml:space="preserve">Upravuje </w:t>
      </w:r>
      <w:r>
        <w:rPr>
          <w:rStyle w:val="PlaceholderText"/>
          <w:color w:val="000000"/>
        </w:rPr>
        <w:t>sa účinnosť zákona.</w:t>
      </w:r>
    </w:p>
    <w:p w:rsidR="00C0489E" w:rsidP="00EE5772">
      <w:pPr>
        <w:widowControl/>
        <w:bidi w:val="0"/>
        <w:spacing w:before="60" w:after="60"/>
        <w:jc w:val="both"/>
        <w:rPr>
          <w:rStyle w:val="PlaceholderText"/>
          <w:color w:val="000000"/>
        </w:rPr>
      </w:pPr>
    </w:p>
    <w:p w:rsidR="00D12160" w:rsidP="00EE5772">
      <w:pPr>
        <w:bidi w:val="0"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>Bratislava 6. novembra 2013</w:t>
      </w:r>
    </w:p>
    <w:p w:rsidR="00D12160" w:rsidP="00EE5772">
      <w:pPr>
        <w:bidi w:val="0"/>
        <w:spacing w:before="60" w:after="60"/>
        <w:rPr>
          <w:rFonts w:ascii="Times New Roman" w:hAnsi="Times New Roman"/>
        </w:rPr>
      </w:pPr>
    </w:p>
    <w:p w:rsidR="00D12160" w:rsidP="00D12160">
      <w:pPr>
        <w:bidi w:val="0"/>
        <w:spacing w:before="60" w:after="60"/>
        <w:rPr>
          <w:rFonts w:ascii="Times New Roman" w:hAnsi="Times New Roman"/>
        </w:rPr>
      </w:pPr>
    </w:p>
    <w:p w:rsidR="00D12160" w:rsidP="00D12160">
      <w:pPr>
        <w:bidi w:val="0"/>
        <w:spacing w:before="60" w:after="60"/>
        <w:rPr>
          <w:rFonts w:ascii="Times New Roman" w:hAnsi="Times New Roman"/>
        </w:rPr>
      </w:pPr>
    </w:p>
    <w:p w:rsidR="00D12160" w:rsidP="00D12160">
      <w:pPr>
        <w:bidi w:val="0"/>
        <w:spacing w:before="60" w:after="60"/>
        <w:rPr>
          <w:rFonts w:ascii="Times New Roman" w:hAnsi="Times New Roman"/>
        </w:rPr>
      </w:pPr>
    </w:p>
    <w:p w:rsidR="00D12160" w:rsidP="00D12160">
      <w:pPr>
        <w:bidi w:val="0"/>
        <w:spacing w:before="60" w:after="60"/>
        <w:rPr>
          <w:rFonts w:ascii="Times New Roman" w:hAnsi="Times New Roman"/>
        </w:rPr>
      </w:pPr>
    </w:p>
    <w:p w:rsidR="00D12160" w:rsidP="00D1216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Robert Fico </w:t>
      </w:r>
    </w:p>
    <w:p w:rsidR="00D12160" w:rsidP="00D1216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D12160" w:rsidP="00D1216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D12160" w:rsidP="00D12160">
      <w:pPr>
        <w:bidi w:val="0"/>
        <w:rPr>
          <w:rFonts w:ascii="Times New Roman" w:hAnsi="Times New Roman"/>
        </w:rPr>
      </w:pPr>
    </w:p>
    <w:p w:rsidR="00D12160" w:rsidP="00D12160">
      <w:pPr>
        <w:bidi w:val="0"/>
        <w:rPr>
          <w:rFonts w:ascii="Times New Roman" w:hAnsi="Times New Roman"/>
        </w:rPr>
      </w:pPr>
    </w:p>
    <w:p w:rsidR="00D12160" w:rsidP="00D12160">
      <w:pPr>
        <w:bidi w:val="0"/>
        <w:rPr>
          <w:rFonts w:ascii="Times New Roman" w:hAnsi="Times New Roman"/>
        </w:rPr>
      </w:pPr>
    </w:p>
    <w:p w:rsidR="00D12160" w:rsidP="00D12160">
      <w:pPr>
        <w:bidi w:val="0"/>
        <w:rPr>
          <w:rFonts w:ascii="Times New Roman" w:hAnsi="Times New Roman"/>
        </w:rPr>
      </w:pPr>
    </w:p>
    <w:p w:rsidR="00D12160" w:rsidP="00D12160">
      <w:pPr>
        <w:bidi w:val="0"/>
        <w:rPr>
          <w:rFonts w:ascii="Times New Roman" w:hAnsi="Times New Roman"/>
        </w:rPr>
      </w:pPr>
    </w:p>
    <w:p w:rsidR="00D12160" w:rsidP="00D1216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Ľubomír Jahnátek</w:t>
      </w:r>
    </w:p>
    <w:p w:rsidR="00D12160" w:rsidP="00D1216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minister pôdohospodárstva </w:t>
      </w:r>
    </w:p>
    <w:p w:rsidR="00D12160" w:rsidP="00D12160">
      <w:pPr>
        <w:bidi w:val="0"/>
        <w:jc w:val="center"/>
        <w:rPr>
          <w:rStyle w:val="PlaceholderText"/>
          <w:color w:val="000000"/>
        </w:rPr>
      </w:pPr>
      <w:r>
        <w:rPr>
          <w:rFonts w:ascii="Times New Roman" w:hAnsi="Times New Roman"/>
        </w:rPr>
        <w:t>a rozvoja vidieka Slovenskej republiky</w:t>
      </w:r>
    </w:p>
    <w:p w:rsidR="00D12160" w:rsidRPr="00F5394B" w:rsidP="00D12160">
      <w:pPr>
        <w:bidi w:val="0"/>
        <w:rPr>
          <w:rFonts w:ascii="Times New Roman" w:hAnsi="Times New Roman"/>
        </w:rPr>
      </w:pPr>
    </w:p>
    <w:p w:rsidR="00D12160" w:rsidP="00D12160">
      <w:pPr>
        <w:bidi w:val="0"/>
        <w:rPr>
          <w:rFonts w:ascii="Times New Roman" w:hAnsi="Times New Roman"/>
        </w:rPr>
      </w:pPr>
    </w:p>
    <w:p w:rsidR="00D12160" w:rsidRPr="00DA0662" w:rsidP="00D12160">
      <w:pPr>
        <w:bidi w:val="0"/>
        <w:rPr>
          <w:rFonts w:ascii="Times New Roman" w:hAnsi="Times New Roman"/>
        </w:rPr>
      </w:pPr>
    </w:p>
    <w:p w:rsidR="00D12160" w:rsidP="00D12160">
      <w:pPr>
        <w:widowControl/>
        <w:bidi w:val="0"/>
        <w:spacing w:before="60" w:after="60"/>
        <w:jc w:val="both"/>
        <w:rPr>
          <w:rStyle w:val="PlaceholderText"/>
          <w:color w:val="000000"/>
        </w:rPr>
      </w:pPr>
    </w:p>
    <w:sectPr>
      <w:footerReference w:type="default" r:id="rId5"/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65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B505E">
      <w:rPr>
        <w:rFonts w:ascii="Times New Roman" w:hAnsi="Times New Roman"/>
        <w:noProof/>
      </w:rPr>
      <w:t>9</w:t>
    </w:r>
    <w:r>
      <w:rPr>
        <w:rFonts w:ascii="Times New Roman" w:hAnsi="Times New Roman"/>
      </w:rPr>
      <w:fldChar w:fldCharType="end"/>
    </w:r>
  </w:p>
  <w:p w:rsidR="00FA6D6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60680"/>
    <w:multiLevelType w:val="hybridMultilevel"/>
    <w:tmpl w:val="2464561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E40C1"/>
    <w:multiLevelType w:val="hybridMultilevel"/>
    <w:tmpl w:val="E1400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32D81"/>
    <w:multiLevelType w:val="hybridMultilevel"/>
    <w:tmpl w:val="5EC4F61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3979D2"/>
    <w:rsid w:val="00025C29"/>
    <w:rsid w:val="00036B8D"/>
    <w:rsid w:val="0005667E"/>
    <w:rsid w:val="0014745A"/>
    <w:rsid w:val="001C1EC9"/>
    <w:rsid w:val="001D3D54"/>
    <w:rsid w:val="002C7584"/>
    <w:rsid w:val="00361E3F"/>
    <w:rsid w:val="003979D2"/>
    <w:rsid w:val="003B7455"/>
    <w:rsid w:val="003D0BAE"/>
    <w:rsid w:val="003D1341"/>
    <w:rsid w:val="003D17C2"/>
    <w:rsid w:val="004E2E94"/>
    <w:rsid w:val="00613878"/>
    <w:rsid w:val="00620F3E"/>
    <w:rsid w:val="00644B29"/>
    <w:rsid w:val="006775A4"/>
    <w:rsid w:val="006E1021"/>
    <w:rsid w:val="006F2C0F"/>
    <w:rsid w:val="007E63C6"/>
    <w:rsid w:val="007F6B1E"/>
    <w:rsid w:val="00837C3F"/>
    <w:rsid w:val="00870301"/>
    <w:rsid w:val="00894DD8"/>
    <w:rsid w:val="008A6D82"/>
    <w:rsid w:val="008B25A6"/>
    <w:rsid w:val="008B5DDD"/>
    <w:rsid w:val="00985016"/>
    <w:rsid w:val="00A32337"/>
    <w:rsid w:val="00A501C2"/>
    <w:rsid w:val="00A64D2D"/>
    <w:rsid w:val="00B60466"/>
    <w:rsid w:val="00BB3C09"/>
    <w:rsid w:val="00BE377B"/>
    <w:rsid w:val="00C0489E"/>
    <w:rsid w:val="00C2535E"/>
    <w:rsid w:val="00C705BA"/>
    <w:rsid w:val="00C80F06"/>
    <w:rsid w:val="00CA6DC2"/>
    <w:rsid w:val="00CB023C"/>
    <w:rsid w:val="00CC3EE3"/>
    <w:rsid w:val="00D12160"/>
    <w:rsid w:val="00DA0662"/>
    <w:rsid w:val="00DB6F17"/>
    <w:rsid w:val="00DD0471"/>
    <w:rsid w:val="00EB114F"/>
    <w:rsid w:val="00EB505E"/>
    <w:rsid w:val="00EE5772"/>
    <w:rsid w:val="00F1120B"/>
    <w:rsid w:val="00F37744"/>
    <w:rsid w:val="00F50E24"/>
    <w:rsid w:val="00F5394B"/>
    <w:rsid w:val="00F845B4"/>
    <w:rsid w:val="00FA6D65"/>
    <w:rsid w:val="00FD59D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customStyle="1" w:styleId="TableMsoNormalTable">
    <w:name w:val="Table_MsoNormalTable"/>
    <w:basedOn w:val="Normal"/>
    <w:pPr>
      <w:jc w:val="left"/>
    </w:pPr>
    <w:rPr>
      <w:sz w:val="20"/>
    </w:rPr>
  </w:style>
  <w:style w:type="paragraph" w:styleId="NormalWeb">
    <w:name w:val="Normal (Web)"/>
    <w:aliases w:val="webb"/>
    <w:basedOn w:val="Normal"/>
    <w:uiPriority w:val="99"/>
    <w:unhideWhenUsed/>
    <w:rsid w:val="00FA6D65"/>
    <w:pPr>
      <w:widowControl/>
      <w:adjustRightInd/>
      <w:spacing w:before="100" w:beforeAutospacing="1" w:after="100" w:afterAutospacing="1"/>
      <w:jc w:val="left"/>
    </w:pPr>
  </w:style>
  <w:style w:type="paragraph" w:styleId="BodyText">
    <w:name w:val="Body Text"/>
    <w:basedOn w:val="Normal"/>
    <w:link w:val="ZkladntextChar"/>
    <w:uiPriority w:val="99"/>
    <w:rsid w:val="00FA6D65"/>
    <w:pPr>
      <w:keepNext/>
      <w:widowControl/>
      <w:adjustRightInd/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A6D65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FA6D6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A6D65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FA6D6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A6D65"/>
    <w:rPr>
      <w:rFonts w:ascii="Times New Roman" w:hAnsi="Times New Roman" w:cs="Times New Roman"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37C3F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837C3F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837C3F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837C3F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837C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4D11-7A9A-40B0-B1C5-02DE8078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9</Pages>
  <Words>2298</Words>
  <Characters>13103</Characters>
  <Application>Microsoft Office Word</Application>
  <DocSecurity>0</DocSecurity>
  <Lines>0</Lines>
  <Paragraphs>0</Paragraphs>
  <ScaleCrop>false</ScaleCrop>
  <Company>Abyss</Company>
  <LinksUpToDate>false</LinksUpToDate>
  <CharactersWithSpaces>15371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Benová Timea</cp:lastModifiedBy>
  <cp:revision>7</cp:revision>
  <cp:lastPrinted>2013-11-06T10:37:00Z</cp:lastPrinted>
  <dcterms:created xsi:type="dcterms:W3CDTF">2013-10-29T10:55:00Z</dcterms:created>
  <dcterms:modified xsi:type="dcterms:W3CDTF">2013-11-06T10:37:00Z</dcterms:modified>
</cp:coreProperties>
</file>