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00A8" w:rsidRPr="00363EF9" w:rsidP="001E00A8">
      <w:pPr>
        <w:bidi w:val="0"/>
        <w:jc w:val="both"/>
        <w:rPr>
          <w:b/>
          <w:sz w:val="24"/>
          <w:szCs w:val="24"/>
        </w:rPr>
      </w:pPr>
      <w:r w:rsidRPr="00363EF9" w:rsidR="00E2787D">
        <w:rPr>
          <w:b/>
          <w:sz w:val="24"/>
          <w:szCs w:val="24"/>
        </w:rPr>
        <w:t>Dôvodová správa</w:t>
      </w:r>
    </w:p>
    <w:p w:rsidR="007914AA" w:rsidP="001E00A8">
      <w:pPr>
        <w:bidi w:val="0"/>
        <w:jc w:val="both"/>
        <w:rPr>
          <w:b/>
        </w:rPr>
      </w:pPr>
    </w:p>
    <w:p w:rsidR="001E00A8" w:rsidRPr="00363EF9" w:rsidP="007914AA">
      <w:pPr>
        <w:pStyle w:val="Heading3"/>
        <w:bidi w:val="0"/>
        <w:rPr>
          <w:sz w:val="24"/>
          <w:szCs w:val="24"/>
        </w:rPr>
      </w:pPr>
      <w:r w:rsidRPr="00363EF9" w:rsidR="007914AA">
        <w:rPr>
          <w:sz w:val="24"/>
          <w:szCs w:val="24"/>
        </w:rPr>
        <w:t>A) Všeobecná časť</w:t>
      </w:r>
    </w:p>
    <w:p w:rsidR="00C57F87" w:rsidP="00C57F87">
      <w:pPr>
        <w:pStyle w:val="Heading1"/>
        <w:bidi w:val="0"/>
        <w:spacing w:before="120"/>
        <w:jc w:val="both"/>
        <w:rPr>
          <w:rFonts w:ascii="Arial" w:hAnsi="Arial" w:cs="Arial"/>
          <w:b w:val="0"/>
          <w:bCs w:val="0"/>
          <w:color w:val="000000"/>
          <w:sz w:val="22"/>
          <w:szCs w:val="22"/>
        </w:rPr>
      </w:pPr>
      <w:r w:rsidR="00583100">
        <w:rPr>
          <w:rFonts w:ascii="Arial" w:hAnsi="Arial" w:cs="Arial"/>
          <w:b w:val="0"/>
          <w:bCs w:val="0"/>
          <w:color w:val="000000"/>
          <w:sz w:val="22"/>
          <w:szCs w:val="22"/>
        </w:rPr>
        <w:t>V novele</w:t>
      </w:r>
      <w:r w:rsidRPr="00583100" w:rsidR="00583100">
        <w:rPr>
          <w:rFonts w:ascii="Arial" w:hAnsi="Arial" w:cs="Arial"/>
          <w:b w:val="0"/>
          <w:bCs w:val="0"/>
          <w:color w:val="000000"/>
          <w:sz w:val="22"/>
          <w:szCs w:val="22"/>
        </w:rPr>
        <w:t xml:space="preserve"> zákona, ktorým sa mení a dopĺňa zákon č. 311/2001 Z. z. Zákonník práce v znení neskorších predpisov a ktorým sa mení a dopĺňa zákon č. 400/2009 Z. z. o štátnej službe a o zmene a doplnení niektorých zákonov v znení neskorších predpisov</w:t>
      </w:r>
      <w:r>
        <w:rPr>
          <w:rFonts w:ascii="Arial" w:hAnsi="Arial" w:cs="Arial"/>
          <w:b w:val="0"/>
          <w:bCs w:val="0"/>
          <w:color w:val="000000"/>
          <w:sz w:val="22"/>
          <w:szCs w:val="22"/>
        </w:rPr>
        <w:t xml:space="preserve"> </w:t>
      </w:r>
      <w:r w:rsidR="00583100">
        <w:rPr>
          <w:rFonts w:ascii="Arial" w:hAnsi="Arial" w:cs="Arial"/>
          <w:b w:val="0"/>
          <w:bCs w:val="0"/>
          <w:color w:val="000000"/>
          <w:sz w:val="22"/>
          <w:szCs w:val="22"/>
        </w:rPr>
        <w:t>sa n</w:t>
      </w:r>
      <w:r w:rsidRPr="00583100" w:rsidR="001E00A8">
        <w:rPr>
          <w:rFonts w:ascii="Arial" w:hAnsi="Arial" w:cs="Arial"/>
          <w:b w:val="0"/>
          <w:bCs w:val="0"/>
          <w:color w:val="000000"/>
          <w:sz w:val="22"/>
          <w:szCs w:val="22"/>
        </w:rPr>
        <w:t xml:space="preserve">avrhuje, aby po nadobudnutí nároku zamestnanca alebo štátneho zamestnanca na starobný dôchodok mal zamestnávateľ alebo služobný úrad možnosť slobodne sa rozhodnúť, či so svojím zamestnancom alebo štátnym zamestnancom rozviaže pracovný pomer štandardným spôsobom, alebo ho ponechá naďalej v pracovnom pomere. </w:t>
      </w:r>
    </w:p>
    <w:p w:rsidR="00583100" w:rsidRPr="00C57F87" w:rsidP="00C57F87">
      <w:pPr>
        <w:pStyle w:val="Heading1"/>
        <w:bidi w:val="0"/>
        <w:spacing w:before="120"/>
        <w:jc w:val="both"/>
        <w:rPr>
          <w:rFonts w:ascii="Arial" w:hAnsi="Arial" w:cs="Arial"/>
          <w:b w:val="0"/>
          <w:bCs w:val="0"/>
          <w:color w:val="000000"/>
          <w:sz w:val="22"/>
          <w:szCs w:val="22"/>
        </w:rPr>
      </w:pPr>
      <w:r w:rsidRPr="00583100" w:rsidR="001E00A8">
        <w:rPr>
          <w:rFonts w:ascii="Arial" w:hAnsi="Arial" w:cs="Arial"/>
          <w:b w:val="0"/>
          <w:bCs w:val="0"/>
          <w:color w:val="000000"/>
          <w:sz w:val="22"/>
          <w:szCs w:val="22"/>
        </w:rPr>
        <w:t>Ukončenie pracovného pomeru v zmysle navrhovanej zmeny nemôže nastať po dosiahnutí dôchodkového veku, ale až po vzniku nároku na starobný dôchodok, teda po splnení podmienky odpracovania minimálneho počtu rokov dôchodkového poistenia a po splnení všetkých ďalších kritérií potrebných k tomu, aby príslušnej osobe bola poskytnutá plná penzia.</w:t>
      </w:r>
    </w:p>
    <w:p w:rsidR="001E00A8" w:rsidP="00C57F87">
      <w:pPr>
        <w:bidi w:val="0"/>
        <w:spacing w:before="120"/>
        <w:jc w:val="both"/>
      </w:pPr>
      <w:r>
        <w:t xml:space="preserve">Navrhované ustanovenie nezakladá oznamovaciu povinnosť zamestnanca alebo Sociálnej poisťovne upovedomiť zamestnávateľa alebo služobný úrad o termíne nadobudnutia nároku na starobný dôchodok. O poskytnutí tejto informácie slobodne rozhoduje zamestnanec. </w:t>
      </w:r>
    </w:p>
    <w:p w:rsidR="001E00A8" w:rsidRPr="001E00A8" w:rsidP="00C57F87">
      <w:pPr>
        <w:suppressAutoHyphens w:val="0"/>
        <w:autoSpaceDE w:val="0"/>
        <w:autoSpaceDN w:val="0"/>
        <w:bidi w:val="0"/>
        <w:adjustRightInd w:val="0"/>
        <w:spacing w:before="120"/>
      </w:pPr>
      <w:r>
        <w:t>Stanovenie tzv. „Vekového cenzu“</w:t>
      </w:r>
      <w:r w:rsidRPr="001E00A8">
        <w:t xml:space="preserve"> ako prejavu </w:t>
      </w:r>
      <w:r>
        <w:t xml:space="preserve">nerovnakého zaobchádzania </w:t>
      </w:r>
      <w:r w:rsidRPr="001E00A8">
        <w:t>- nie je v zmysle</w:t>
      </w:r>
    </w:p>
    <w:p w:rsidR="001E00A8" w:rsidP="008123D0">
      <w:pPr>
        <w:bidi w:val="0"/>
        <w:jc w:val="both"/>
      </w:pPr>
      <w:r w:rsidR="0098415A">
        <w:t>p</w:t>
      </w:r>
      <w:r>
        <w:t xml:space="preserve">latných právnych </w:t>
      </w:r>
      <w:r w:rsidRPr="001E00A8">
        <w:t xml:space="preserve"> predpisov</w:t>
      </w:r>
      <w:r>
        <w:t xml:space="preserve"> EU</w:t>
      </w:r>
      <w:r w:rsidRPr="001E00A8">
        <w:t xml:space="preserve"> a SR </w:t>
      </w:r>
      <w:r>
        <w:t>v oblasti rovnosti príležitostí zakázané.</w:t>
      </w:r>
    </w:p>
    <w:p w:rsidR="001E00A8" w:rsidP="008123D0">
      <w:pPr>
        <w:bidi w:val="0"/>
        <w:jc w:val="both"/>
      </w:pPr>
      <w:r>
        <w:t xml:space="preserve">Stanovenie vekového cenzu bolo v minulosti predmetom viacerých sporov pred </w:t>
      </w:r>
      <w:r w:rsidR="008123D0">
        <w:t>Európskym súdnym dvorom</w:t>
      </w:r>
      <w:r>
        <w:t xml:space="preserve">. Rámcová smernica 2000/78/ES a jej článok 6 (1) umožňuje rozdiely v zaobchádzaní z dôvodu veku, ak sú v kontexte vnútroštátnej právnej úpravy (1) objektívne a primerane </w:t>
      </w:r>
      <w:r w:rsidR="00336991">
        <w:t>odôvodnené (</w:t>
      </w:r>
      <w:r>
        <w:t>2) oprávneným cieľom (3), vrátane zákonnej politiky zamestnanosti, trhu práce a cieľov odbornej prípravy (3), a ak prostriedky na dosiahnutie tohto cieľa sú primerané a nevyhnutné (4).</w:t>
      </w:r>
    </w:p>
    <w:p w:rsidR="001E00A8" w:rsidP="00860688">
      <w:pPr>
        <w:bidi w:val="0"/>
        <w:spacing w:before="120"/>
        <w:jc w:val="both"/>
      </w:pPr>
      <w:r w:rsidR="00336991">
        <w:t>Samotná rámcová smernica vo svojej preambule v bode 25 uvádza, že „</w:t>
      </w:r>
      <w:r w:rsidRPr="00336991" w:rsidR="00336991">
        <w:rPr>
          <w:i/>
        </w:rPr>
        <w:t>zákaz diskriminácie z dôvodu veku je dôležitou súčasťou napĺňania cieľov stanovených v usmerneniach pre oblasť zamestnanosti a pri podpore diverzifikácie pracovných síl. Avšak rozdielne zaobchádzanie v súvislosti s vekom možno za určitých okolností odôvodniť, a preto si vyžaduje osobitné predpisy, ktoré môžu byť v závislosti od situácie v členských štátoch rôzne. Bezpodmienečne preto treba rozlišovať medzi rozdielnym zaobchádzaním, ktoré je odôvodnené najmä oprávnenými cieľmi v oblasti politiky zamestnanosti, trhu práce a odbornej prípravy a diskrimináciou, ktorá sa musí zakázať</w:t>
      </w:r>
      <w:r w:rsidR="00336991">
        <w:t>.“</w:t>
      </w:r>
    </w:p>
    <w:p w:rsidR="001E00A8" w:rsidP="00860688">
      <w:pPr>
        <w:bidi w:val="0"/>
        <w:spacing w:before="120"/>
        <w:jc w:val="both"/>
      </w:pPr>
      <w:r>
        <w:t>Antidiskriminačný zákon č. 365/2004 Z. z. v § 38 ods. 3 ustanovuje, že „</w:t>
      </w:r>
      <w:r>
        <w:rPr>
          <w:i/>
        </w:rPr>
        <w:t>rozdielne zaobchádzanie z dôvodu veku nie je diskriminácia, ak je objektívne odôvodnené sledovaním oprávneného cieľa a je na jeho dosiahnutie nevyhnutné a primerané, ak to ustanovuje osobitný predpis“</w:t>
      </w:r>
      <w:r>
        <w:t>. Rovnako podľa § 8 ods. 3 písm. b) zákona „</w:t>
      </w:r>
      <w:r>
        <w:rPr>
          <w:i/>
        </w:rPr>
        <w:t xml:space="preserve">diskriminácia z dôvodu veku nie je najmä rozdielne zaobchádzanie, ktoré spočíva v ustanovení .... </w:t>
      </w:r>
      <w:r>
        <w:rPr>
          <w:b/>
          <w:i/>
        </w:rPr>
        <w:t>osobitných podmienok na výkon zamestnania vrátane</w:t>
      </w:r>
      <w:r>
        <w:rPr>
          <w:i/>
        </w:rPr>
        <w:t xml:space="preserve"> odmeňovania a </w:t>
      </w:r>
      <w:r>
        <w:rPr>
          <w:b/>
          <w:i/>
        </w:rPr>
        <w:t>prepúšťania, ak ide o osoby určitej vekovej kategórie</w:t>
      </w:r>
      <w:r>
        <w:t xml:space="preserve"> ...“, čo je tento prípad.</w:t>
      </w:r>
    </w:p>
    <w:p w:rsidR="009B1600" w:rsidP="00860688">
      <w:pPr>
        <w:bidi w:val="0"/>
        <w:spacing w:before="120"/>
        <w:jc w:val="both"/>
      </w:pPr>
      <w:r w:rsidR="001E00A8">
        <w:t>Podľa údajov Sociálnej poisťovne v roku 201</w:t>
      </w:r>
      <w:r w:rsidR="00336991">
        <w:t>2</w:t>
      </w:r>
      <w:r w:rsidR="001E00A8">
        <w:t xml:space="preserve"> pracovalo </w:t>
      </w:r>
      <w:r w:rsidR="00336991">
        <w:t>59 001</w:t>
      </w:r>
      <w:r w:rsidR="001E00A8">
        <w:t xml:space="preserve"> starobných dôchodcov, ktorí boli zamestnaní a zároveň poberali starobný dôchodok. Je možné predpokladať, že celkový počet zamestnaných starobných dôchodcov je </w:t>
      </w:r>
      <w:r w:rsidR="00336991">
        <w:t>oveľa vyšší</w:t>
      </w:r>
      <w:r w:rsidR="001E00A8">
        <w:t>, pretože v štatistike SP nie sú zahrnutí dôchodcovia</w:t>
      </w:r>
      <w:r w:rsidR="00336991">
        <w:t xml:space="preserve"> </w:t>
      </w:r>
      <w:r w:rsidR="001E00A8">
        <w:t>-</w:t>
      </w:r>
      <w:r w:rsidR="00336991">
        <w:t xml:space="preserve"> </w:t>
      </w:r>
      <w:r w:rsidR="001E00A8">
        <w:t xml:space="preserve">zamestnanci, ktorí o dôchodok ešte nepožiadali (ich počet SP neeviduje). Táto skupina ľudí nie je existenčne odkázaná na ďalší príjem zo zamestnania. </w:t>
      </w:r>
    </w:p>
    <w:p w:rsidR="00053F8B" w:rsidP="00860688">
      <w:pPr>
        <w:bidi w:val="0"/>
        <w:spacing w:before="120"/>
        <w:jc w:val="both"/>
        <w:rPr>
          <w:color w:val="auto"/>
        </w:rPr>
      </w:pPr>
      <w:r w:rsidRPr="007735FD" w:rsidR="009B1600">
        <w:rPr>
          <w:color w:val="auto"/>
        </w:rPr>
        <w:t xml:space="preserve">Podľa štatistických údajov </w:t>
      </w:r>
      <w:r w:rsidRPr="007735FD" w:rsidR="008E1876">
        <w:rPr>
          <w:color w:val="auto"/>
        </w:rPr>
        <w:t>Ústredia práce sociálnych vecí a rodiny</w:t>
      </w:r>
      <w:r w:rsidRPr="007735FD" w:rsidR="007E2D35">
        <w:rPr>
          <w:color w:val="auto"/>
        </w:rPr>
        <w:t xml:space="preserve"> </w:t>
      </w:r>
      <w:r w:rsidRPr="007735FD" w:rsidR="00FB50B1">
        <w:rPr>
          <w:color w:val="auto"/>
        </w:rPr>
        <w:t>k 31.8.2013</w:t>
      </w:r>
      <w:r w:rsidRPr="007735FD" w:rsidR="009B1600">
        <w:rPr>
          <w:color w:val="auto"/>
        </w:rPr>
        <w:t xml:space="preserve"> </w:t>
      </w:r>
      <w:r w:rsidRPr="007735FD" w:rsidR="007E2D35">
        <w:rPr>
          <w:color w:val="auto"/>
        </w:rPr>
        <w:t xml:space="preserve">bolo </w:t>
      </w:r>
      <w:r w:rsidRPr="007735FD" w:rsidR="003B47BE">
        <w:rPr>
          <w:color w:val="auto"/>
        </w:rPr>
        <w:t xml:space="preserve">369 636 </w:t>
      </w:r>
      <w:r w:rsidRPr="007735FD" w:rsidR="007E2D35">
        <w:rPr>
          <w:color w:val="auto"/>
        </w:rPr>
        <w:t>disponibilných uchádzačov o</w:t>
      </w:r>
      <w:r w:rsidRPr="007735FD" w:rsidR="003B47BE">
        <w:rPr>
          <w:color w:val="auto"/>
        </w:rPr>
        <w:t> </w:t>
      </w:r>
      <w:r w:rsidRPr="007735FD" w:rsidR="007E2D35">
        <w:rPr>
          <w:color w:val="auto"/>
        </w:rPr>
        <w:t>zamestnanie</w:t>
      </w:r>
      <w:r w:rsidRPr="007735FD" w:rsidR="003B47BE">
        <w:rPr>
          <w:color w:val="auto"/>
        </w:rPr>
        <w:t xml:space="preserve"> z celkového počtu nezamestnaných </w:t>
      </w:r>
      <w:r w:rsidRPr="007735FD" w:rsidR="008E1876">
        <w:rPr>
          <w:color w:val="auto"/>
        </w:rPr>
        <w:t>402 213. P</w:t>
      </w:r>
      <w:r w:rsidRPr="007735FD" w:rsidR="009B1600">
        <w:rPr>
          <w:color w:val="auto"/>
        </w:rPr>
        <w:t xml:space="preserve">očet nezamestnaných mladých ľudí </w:t>
      </w:r>
      <w:r w:rsidRPr="007735FD" w:rsidR="00FB50B1">
        <w:rPr>
          <w:color w:val="auto"/>
        </w:rPr>
        <w:t xml:space="preserve">do 30 rokov </w:t>
      </w:r>
      <w:r w:rsidRPr="007735FD" w:rsidR="007E2D35">
        <w:rPr>
          <w:color w:val="auto"/>
        </w:rPr>
        <w:t xml:space="preserve">bol </w:t>
      </w:r>
      <w:r w:rsidRPr="007735FD" w:rsidR="009B1600">
        <w:rPr>
          <w:color w:val="auto"/>
        </w:rPr>
        <w:t xml:space="preserve">cca </w:t>
      </w:r>
      <w:r w:rsidRPr="007735FD" w:rsidR="00FB50B1">
        <w:rPr>
          <w:color w:val="auto"/>
        </w:rPr>
        <w:t>125</w:t>
      </w:r>
      <w:r w:rsidRPr="007735FD" w:rsidR="007E2D35">
        <w:rPr>
          <w:color w:val="auto"/>
        </w:rPr>
        <w:t> </w:t>
      </w:r>
      <w:r w:rsidRPr="007735FD" w:rsidR="00FB50B1">
        <w:rPr>
          <w:color w:val="auto"/>
        </w:rPr>
        <w:t>952</w:t>
      </w:r>
      <w:r w:rsidRPr="007735FD" w:rsidR="007E2D35">
        <w:rPr>
          <w:color w:val="auto"/>
        </w:rPr>
        <w:t>. To je 34% z počtu disponibilných uchádzačov o zamestnanie a 31% z celkového počtu nezamestnaných. P</w:t>
      </w:r>
      <w:r w:rsidRPr="007735FD" w:rsidR="00E2787D">
        <w:rPr>
          <w:color w:val="auto"/>
        </w:rPr>
        <w:t>očet</w:t>
      </w:r>
      <w:r w:rsidRPr="007735FD" w:rsidR="007E2D35">
        <w:rPr>
          <w:color w:val="auto"/>
        </w:rPr>
        <w:t xml:space="preserve"> nezamestnaných </w:t>
      </w:r>
      <w:r w:rsidRPr="007735FD" w:rsidR="00E2787D">
        <w:rPr>
          <w:color w:val="auto"/>
        </w:rPr>
        <w:t xml:space="preserve"> </w:t>
      </w:r>
      <w:r w:rsidRPr="007735FD" w:rsidR="009B1600">
        <w:rPr>
          <w:color w:val="auto"/>
        </w:rPr>
        <w:t>sa oproti augustu 2012 zvýšil o viac ako 13 000 osôb</w:t>
      </w:r>
    </w:p>
    <w:p w:rsidR="00017519" w:rsidRPr="007735FD" w:rsidP="00860688">
      <w:pPr>
        <w:bidi w:val="0"/>
        <w:spacing w:before="120"/>
        <w:jc w:val="both"/>
        <w:rPr>
          <w:color w:val="auto"/>
        </w:rPr>
      </w:pPr>
      <w:r w:rsidRPr="007735FD">
        <w:rPr>
          <w:color w:val="auto"/>
        </w:rPr>
        <w:t>V „Tabuľke 1“ sú uvedené údaje o</w:t>
      </w:r>
      <w:r w:rsidRPr="007735FD" w:rsidR="008123F8">
        <w:rPr>
          <w:color w:val="auto"/>
        </w:rPr>
        <w:t xml:space="preserve"> mesačnom </w:t>
      </w:r>
      <w:r w:rsidRPr="007735FD">
        <w:rPr>
          <w:color w:val="auto"/>
        </w:rPr>
        <w:t> počte poberateľov dávok v</w:t>
      </w:r>
      <w:r w:rsidRPr="007735FD" w:rsidR="000C4A24">
        <w:rPr>
          <w:color w:val="auto"/>
        </w:rPr>
        <w:t> </w:t>
      </w:r>
      <w:r w:rsidRPr="007735FD">
        <w:rPr>
          <w:color w:val="auto"/>
        </w:rPr>
        <w:t>nezamestnanosti</w:t>
      </w:r>
      <w:r w:rsidRPr="007735FD" w:rsidR="000C4A24">
        <w:rPr>
          <w:color w:val="auto"/>
        </w:rPr>
        <w:t xml:space="preserve"> (ďalej DvN)</w:t>
      </w:r>
      <w:r w:rsidRPr="007735FD">
        <w:rPr>
          <w:color w:val="auto"/>
        </w:rPr>
        <w:t>,</w:t>
      </w:r>
      <w:r w:rsidRPr="007735FD" w:rsidR="00DB26C0">
        <w:rPr>
          <w:color w:val="auto"/>
        </w:rPr>
        <w:t xml:space="preserve"> </w:t>
      </w:r>
      <w:r w:rsidRPr="007735FD" w:rsidR="000C4A24">
        <w:rPr>
          <w:color w:val="auto"/>
        </w:rPr>
        <w:t xml:space="preserve">priemerných </w:t>
      </w:r>
      <w:r w:rsidRPr="007735FD">
        <w:rPr>
          <w:color w:val="auto"/>
        </w:rPr>
        <w:t xml:space="preserve"> mesačných a</w:t>
      </w:r>
      <w:r w:rsidRPr="007735FD" w:rsidR="000C4A24">
        <w:rPr>
          <w:color w:val="auto"/>
        </w:rPr>
        <w:t xml:space="preserve"> </w:t>
      </w:r>
      <w:r w:rsidRPr="007735FD">
        <w:rPr>
          <w:color w:val="auto"/>
        </w:rPr>
        <w:t xml:space="preserve"> ročných </w:t>
      </w:r>
      <w:r w:rsidRPr="007735FD" w:rsidR="000C4A24">
        <w:rPr>
          <w:color w:val="auto"/>
        </w:rPr>
        <w:t>nákladoch Sociálnej poisťovne na dávky v</w:t>
      </w:r>
      <w:r w:rsidRPr="007735FD" w:rsidR="00967B22">
        <w:rPr>
          <w:color w:val="auto"/>
        </w:rPr>
        <w:t> </w:t>
      </w:r>
      <w:r w:rsidRPr="007735FD" w:rsidR="000C4A24">
        <w:rPr>
          <w:color w:val="auto"/>
        </w:rPr>
        <w:t>nezamestnanosti</w:t>
      </w:r>
      <w:r w:rsidRPr="007735FD" w:rsidR="00967B22">
        <w:rPr>
          <w:color w:val="auto"/>
        </w:rPr>
        <w:t>. P</w:t>
      </w:r>
      <w:r w:rsidRPr="007735FD" w:rsidR="000C4A24">
        <w:rPr>
          <w:color w:val="auto"/>
        </w:rPr>
        <w:t>riemern</w:t>
      </w:r>
      <w:r w:rsidRPr="007735FD" w:rsidR="00967B22">
        <w:rPr>
          <w:color w:val="auto"/>
        </w:rPr>
        <w:t>á výška</w:t>
      </w:r>
      <w:r w:rsidRPr="007735FD" w:rsidR="000C4A24">
        <w:rPr>
          <w:color w:val="auto"/>
        </w:rPr>
        <w:t xml:space="preserve"> dávky v nezamestnanosti </w:t>
      </w:r>
      <w:r w:rsidRPr="007735FD" w:rsidR="00967B22">
        <w:rPr>
          <w:color w:val="auto"/>
        </w:rPr>
        <w:t xml:space="preserve">v roku 2012  bola </w:t>
      </w:r>
      <w:r w:rsidRPr="007735FD" w:rsidR="003B47BE">
        <w:rPr>
          <w:b/>
          <w:color w:val="auto"/>
          <w:u w:val="single"/>
        </w:rPr>
        <w:t>312 eur</w:t>
      </w:r>
      <w:r w:rsidRPr="007735FD" w:rsidR="000C4A24">
        <w:rPr>
          <w:color w:val="auto"/>
        </w:rPr>
        <w:t>.</w:t>
      </w:r>
    </w:p>
    <w:p w:rsidR="009D1FBF" w:rsidRPr="007735FD" w:rsidP="009D1FBF">
      <w:pPr>
        <w:bidi w:val="0"/>
        <w:spacing w:before="240"/>
        <w:jc w:val="both"/>
        <w:rPr>
          <w:color w:val="auto"/>
          <w:sz w:val="20"/>
          <w:szCs w:val="20"/>
        </w:rPr>
      </w:pPr>
      <w:r w:rsidRPr="007735FD">
        <w:rPr>
          <w:color w:val="auto"/>
          <w:sz w:val="20"/>
          <w:szCs w:val="20"/>
        </w:rPr>
        <w:t>Tabuľka 1</w:t>
      </w:r>
    </w:p>
    <w:tbl>
      <w:tblPr>
        <w:tblStyle w:val="TableNormal"/>
        <w:tblW w:w="6240" w:type="dxa"/>
        <w:tblInd w:w="7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CellMar>
          <w:left w:w="70" w:type="dxa"/>
          <w:right w:w="70" w:type="dxa"/>
        </w:tblCellMar>
        <w:tblLook w:val="04A0"/>
      </w:tblPr>
      <w:tblGrid>
        <w:gridCol w:w="2260"/>
        <w:gridCol w:w="1920"/>
        <w:gridCol w:w="2060"/>
      </w:tblGrid>
      <w:tr>
        <w:tblPrEx>
          <w:tblW w:w="6240" w:type="dxa"/>
          <w:tblInd w:w="7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CellMar>
            <w:left w:w="70" w:type="dxa"/>
            <w:right w:w="70" w:type="dxa"/>
          </w:tblCellMar>
          <w:tblLook w:val="04A0"/>
        </w:tblPrEx>
        <w:trPr>
          <w:trHeight w:val="615"/>
        </w:trPr>
        <w:tc>
          <w:tcPr>
            <w:tcW w:w="2260" w:type="dxa"/>
            <w:tcBorders>
              <w:top w:val="single" w:sz="12" w:space="0" w:color="auto"/>
              <w:left w:val="single" w:sz="12" w:space="0" w:color="auto"/>
              <w:bottom w:val="single" w:sz="8" w:space="0" w:color="auto"/>
              <w:right w:val="single" w:sz="12" w:space="0" w:color="auto"/>
            </w:tcBorders>
            <w:textDirection w:val="lrTb"/>
            <w:vAlign w:val="center"/>
            <w:hideMark/>
          </w:tcPr>
          <w:p w:rsidR="009D1FBF" w:rsidRPr="007735FD" w:rsidP="00D10F0C">
            <w:pPr>
              <w:suppressAutoHyphens w:val="0"/>
              <w:bidi w:val="0"/>
              <w:spacing w:line="240" w:lineRule="auto"/>
              <w:jc w:val="center"/>
              <w:rPr>
                <w:b/>
                <w:bCs/>
                <w:color w:val="auto"/>
                <w:sz w:val="18"/>
                <w:szCs w:val="18"/>
                <w:lang w:eastAsia="sk-SK"/>
              </w:rPr>
            </w:pPr>
            <w:r w:rsidRPr="007735FD">
              <w:rPr>
                <w:b/>
                <w:bCs/>
                <w:color w:val="auto"/>
                <w:sz w:val="18"/>
                <w:szCs w:val="18"/>
                <w:lang w:eastAsia="sk-SK"/>
              </w:rPr>
              <w:t>Priemerný mesačný počet poberateľov DvN</w:t>
            </w:r>
          </w:p>
        </w:tc>
        <w:tc>
          <w:tcPr>
            <w:tcW w:w="1920" w:type="dxa"/>
            <w:tcBorders>
              <w:top w:val="single" w:sz="12" w:space="0" w:color="auto"/>
              <w:left w:val="single" w:sz="12" w:space="0" w:color="auto"/>
              <w:bottom w:val="single" w:sz="8" w:space="0" w:color="auto"/>
              <w:right w:val="single" w:sz="12" w:space="0" w:color="auto"/>
            </w:tcBorders>
            <w:textDirection w:val="lrTb"/>
            <w:vAlign w:val="center"/>
            <w:hideMark/>
          </w:tcPr>
          <w:p w:rsidR="009D1FBF" w:rsidRPr="007735FD" w:rsidP="00D10F0C">
            <w:pPr>
              <w:suppressAutoHyphens w:val="0"/>
              <w:bidi w:val="0"/>
              <w:spacing w:line="240" w:lineRule="auto"/>
              <w:jc w:val="center"/>
              <w:rPr>
                <w:color w:val="auto"/>
                <w:sz w:val="18"/>
                <w:szCs w:val="18"/>
                <w:lang w:eastAsia="sk-SK"/>
              </w:rPr>
            </w:pPr>
            <w:r w:rsidRPr="007735FD">
              <w:rPr>
                <w:color w:val="auto"/>
                <w:sz w:val="18"/>
                <w:szCs w:val="18"/>
                <w:lang w:eastAsia="sk-SK"/>
              </w:rPr>
              <w:t>Priemerné mesačné náklady na DVN</w:t>
            </w:r>
          </w:p>
        </w:tc>
        <w:tc>
          <w:tcPr>
            <w:tcW w:w="2060" w:type="dxa"/>
            <w:tcBorders>
              <w:top w:val="single" w:sz="12" w:space="0" w:color="auto"/>
              <w:left w:val="single" w:sz="12" w:space="0" w:color="auto"/>
              <w:bottom w:val="single" w:sz="8" w:space="0" w:color="auto"/>
              <w:right w:val="single" w:sz="12" w:space="0" w:color="auto"/>
            </w:tcBorders>
            <w:textDirection w:val="lrTb"/>
            <w:vAlign w:val="center"/>
            <w:hideMark/>
          </w:tcPr>
          <w:p w:rsidR="009D1FBF" w:rsidRPr="007735FD" w:rsidP="00D10F0C">
            <w:pPr>
              <w:suppressAutoHyphens w:val="0"/>
              <w:bidi w:val="0"/>
              <w:spacing w:line="240" w:lineRule="auto"/>
              <w:jc w:val="center"/>
              <w:rPr>
                <w:color w:val="auto"/>
                <w:sz w:val="18"/>
                <w:szCs w:val="18"/>
                <w:lang w:eastAsia="sk-SK"/>
              </w:rPr>
            </w:pPr>
            <w:r w:rsidRPr="007735FD">
              <w:rPr>
                <w:color w:val="auto"/>
                <w:sz w:val="18"/>
                <w:szCs w:val="18"/>
                <w:lang w:eastAsia="sk-SK"/>
              </w:rPr>
              <w:t>ročné náklady na DVN</w:t>
            </w:r>
          </w:p>
        </w:tc>
      </w:tr>
      <w:tr>
        <w:tblPrEx>
          <w:tblW w:w="6240" w:type="dxa"/>
          <w:tblInd w:w="70" w:type="dxa"/>
          <w:tblCellMar>
            <w:left w:w="70" w:type="dxa"/>
            <w:right w:w="70" w:type="dxa"/>
          </w:tblCellMar>
          <w:tblLook w:val="04A0"/>
        </w:tblPrEx>
        <w:trPr>
          <w:trHeight w:val="432"/>
        </w:trPr>
        <w:tc>
          <w:tcPr>
            <w:tcW w:w="2260" w:type="dxa"/>
            <w:tcBorders>
              <w:top w:val="single" w:sz="8" w:space="0" w:color="auto"/>
              <w:left w:val="single" w:sz="12" w:space="0" w:color="auto"/>
              <w:bottom w:val="single" w:sz="12" w:space="0" w:color="auto"/>
              <w:right w:val="single" w:sz="12" w:space="0" w:color="auto"/>
            </w:tcBorders>
            <w:textDirection w:val="lrTb"/>
            <w:vAlign w:val="bottom"/>
            <w:hideMark/>
          </w:tcPr>
          <w:p w:rsidR="009D1FBF" w:rsidRPr="007735FD" w:rsidP="00D10F0C">
            <w:pPr>
              <w:suppressAutoHyphens w:val="0"/>
              <w:bidi w:val="0"/>
              <w:spacing w:line="240" w:lineRule="auto"/>
              <w:jc w:val="center"/>
              <w:rPr>
                <w:b/>
                <w:bCs/>
                <w:color w:val="auto"/>
                <w:sz w:val="18"/>
                <w:szCs w:val="18"/>
                <w:lang w:eastAsia="sk-SK"/>
              </w:rPr>
            </w:pPr>
            <w:r w:rsidRPr="007735FD">
              <w:rPr>
                <w:b/>
                <w:bCs/>
                <w:color w:val="auto"/>
                <w:sz w:val="18"/>
                <w:szCs w:val="18"/>
                <w:lang w:eastAsia="sk-SK"/>
              </w:rPr>
              <w:t>42 521</w:t>
            </w:r>
          </w:p>
        </w:tc>
        <w:tc>
          <w:tcPr>
            <w:tcW w:w="1920" w:type="dxa"/>
            <w:tcBorders>
              <w:top w:val="single" w:sz="8" w:space="0" w:color="auto"/>
              <w:left w:val="single" w:sz="12" w:space="0" w:color="auto"/>
              <w:bottom w:val="single" w:sz="12" w:space="0" w:color="auto"/>
              <w:right w:val="single" w:sz="12" w:space="0" w:color="auto"/>
            </w:tcBorders>
            <w:noWrap/>
            <w:textDirection w:val="lrTb"/>
            <w:vAlign w:val="bottom"/>
            <w:hideMark/>
          </w:tcPr>
          <w:p w:rsidR="009D1FBF" w:rsidRPr="007735FD" w:rsidP="00D10F0C">
            <w:pPr>
              <w:suppressAutoHyphens w:val="0"/>
              <w:bidi w:val="0"/>
              <w:spacing w:line="240" w:lineRule="auto"/>
              <w:jc w:val="right"/>
              <w:rPr>
                <w:b/>
                <w:bCs/>
                <w:color w:val="auto"/>
                <w:sz w:val="18"/>
                <w:szCs w:val="18"/>
                <w:lang w:eastAsia="sk-SK"/>
              </w:rPr>
            </w:pPr>
            <w:r w:rsidRPr="007735FD">
              <w:rPr>
                <w:b/>
                <w:bCs/>
                <w:color w:val="auto"/>
                <w:sz w:val="18"/>
                <w:szCs w:val="18"/>
                <w:lang w:eastAsia="sk-SK"/>
              </w:rPr>
              <w:t xml:space="preserve">13 266  522 Eur </w:t>
            </w:r>
          </w:p>
        </w:tc>
        <w:tc>
          <w:tcPr>
            <w:tcW w:w="2060" w:type="dxa"/>
            <w:tcBorders>
              <w:top w:val="single" w:sz="8" w:space="0" w:color="auto"/>
              <w:left w:val="single" w:sz="12" w:space="0" w:color="auto"/>
              <w:bottom w:val="single" w:sz="12" w:space="0" w:color="auto"/>
              <w:right w:val="single" w:sz="12" w:space="0" w:color="auto"/>
            </w:tcBorders>
            <w:noWrap/>
            <w:textDirection w:val="lrTb"/>
            <w:vAlign w:val="bottom"/>
            <w:hideMark/>
          </w:tcPr>
          <w:p w:rsidR="009D1FBF" w:rsidRPr="007735FD" w:rsidP="00D10F0C">
            <w:pPr>
              <w:suppressAutoHyphens w:val="0"/>
              <w:bidi w:val="0"/>
              <w:spacing w:line="240" w:lineRule="auto"/>
              <w:jc w:val="right"/>
              <w:rPr>
                <w:b/>
                <w:bCs/>
                <w:color w:val="auto"/>
                <w:sz w:val="18"/>
                <w:szCs w:val="18"/>
                <w:lang w:eastAsia="sk-SK"/>
              </w:rPr>
            </w:pPr>
            <w:r w:rsidRPr="007735FD">
              <w:rPr>
                <w:b/>
                <w:bCs/>
                <w:color w:val="auto"/>
                <w:sz w:val="18"/>
                <w:szCs w:val="18"/>
                <w:lang w:eastAsia="sk-SK"/>
              </w:rPr>
              <w:t>159 198 624 Eur</w:t>
            </w:r>
          </w:p>
        </w:tc>
      </w:tr>
    </w:tbl>
    <w:p w:rsidR="000C4A24" w:rsidRPr="007735FD" w:rsidP="009D1FBF">
      <w:pPr>
        <w:bidi w:val="0"/>
        <w:spacing w:before="240"/>
        <w:jc w:val="both"/>
        <w:rPr>
          <w:color w:val="auto"/>
        </w:rPr>
      </w:pPr>
      <w:r w:rsidRPr="007735FD">
        <w:rPr>
          <w:color w:val="auto"/>
        </w:rPr>
        <w:t>V „Tabuľke</w:t>
      </w:r>
      <w:r w:rsidR="00053F8B">
        <w:rPr>
          <w:color w:val="auto"/>
        </w:rPr>
        <w:t xml:space="preserve"> 2“ sú uvedené modelové prípady</w:t>
      </w:r>
      <w:r w:rsidRPr="007735FD">
        <w:rPr>
          <w:color w:val="auto"/>
        </w:rPr>
        <w:t xml:space="preserve"> </w:t>
      </w:r>
      <w:r w:rsidRPr="007735FD" w:rsidR="00DB26C0">
        <w:rPr>
          <w:color w:val="auto"/>
        </w:rPr>
        <w:t xml:space="preserve">z ktorých je zrejmé, že Sociálna poisťovňa, a teda štát, by prijatím zákona šetrila na nákladoch vynaložených na výplatu dávok v nezamestnanosti. </w:t>
      </w:r>
      <w:r w:rsidRPr="007735FD" w:rsidR="006E70BC">
        <w:rPr>
          <w:color w:val="auto"/>
        </w:rPr>
        <w:t>Príjmy Sociálnej poisťovne by zostali zachované, lebo nedochádza k strate pracovných miest, len k ich obsadeniu z radov uchádzačov o zamestnanie.</w:t>
      </w:r>
    </w:p>
    <w:p w:rsidR="000C4A24" w:rsidRPr="007735FD" w:rsidP="000C4A24">
      <w:pPr>
        <w:bidi w:val="0"/>
        <w:jc w:val="both"/>
        <w:rPr>
          <w:color w:val="auto"/>
        </w:rPr>
      </w:pPr>
    </w:p>
    <w:p w:rsidR="00967B22" w:rsidRPr="007735FD" w:rsidP="00017519">
      <w:pPr>
        <w:bidi w:val="0"/>
        <w:jc w:val="both"/>
        <w:rPr>
          <w:color w:val="auto"/>
          <w:sz w:val="20"/>
          <w:szCs w:val="20"/>
        </w:rPr>
      </w:pPr>
      <w:r w:rsidRPr="007735FD" w:rsidR="000C4A24">
        <w:rPr>
          <w:color w:val="auto"/>
          <w:sz w:val="20"/>
          <w:szCs w:val="20"/>
        </w:rPr>
        <w:t>Tabuľka 2</w:t>
      </w:r>
      <w:r w:rsidRPr="007735FD" w:rsidR="00017519">
        <w:rPr>
          <w:color w:val="auto"/>
          <w:sz w:val="20"/>
          <w:szCs w:val="20"/>
        </w:rPr>
        <w:t xml:space="preserve"> </w:t>
      </w:r>
    </w:p>
    <w:tbl>
      <w:tblPr>
        <w:tblStyle w:val="TableNormal"/>
        <w:tblW w:w="8984" w:type="dxa"/>
        <w:tblInd w:w="7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tblPr>
      <w:tblGrid>
        <w:gridCol w:w="2144"/>
        <w:gridCol w:w="1684"/>
        <w:gridCol w:w="1602"/>
        <w:gridCol w:w="1837"/>
        <w:gridCol w:w="1717"/>
      </w:tblGrid>
      <w:tr>
        <w:tblPrEx>
          <w:tblW w:w="8984" w:type="dxa"/>
          <w:tblInd w:w="7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tblPrEx>
        <w:trPr>
          <w:trHeight w:val="625"/>
        </w:trPr>
        <w:tc>
          <w:tcPr>
            <w:tcW w:w="8984" w:type="dxa"/>
            <w:gridSpan w:val="5"/>
            <w:tcBorders>
              <w:top w:val="single" w:sz="12" w:space="0" w:color="auto"/>
              <w:left w:val="single" w:sz="12" w:space="0" w:color="auto"/>
              <w:bottom w:val="single" w:sz="12" w:space="0" w:color="auto"/>
              <w:right w:val="single" w:sz="12" w:space="0" w:color="auto"/>
            </w:tcBorders>
            <w:textDirection w:val="lrTb"/>
            <w:vAlign w:val="center"/>
            <w:hideMark/>
          </w:tcPr>
          <w:p w:rsidR="009D1FBF" w:rsidRPr="007735FD" w:rsidP="00EB6B10">
            <w:pPr>
              <w:bidi w:val="0"/>
              <w:jc w:val="center"/>
              <w:rPr>
                <w:b/>
                <w:color w:val="auto"/>
                <w:sz w:val="18"/>
                <w:szCs w:val="18"/>
              </w:rPr>
            </w:pPr>
            <w:r w:rsidRPr="007735FD">
              <w:rPr>
                <w:b/>
                <w:color w:val="auto"/>
                <w:sz w:val="18"/>
                <w:szCs w:val="18"/>
              </w:rPr>
              <w:t xml:space="preserve">Úspora verejných financií pri obsadení disponibilných uchádzačov o zamestnanie na uvoľnené pracovné </w:t>
            </w:r>
            <w:r w:rsidRPr="007735FD" w:rsidR="00585525">
              <w:rPr>
                <w:b/>
                <w:color w:val="auto"/>
                <w:sz w:val="18"/>
                <w:szCs w:val="18"/>
              </w:rPr>
              <w:t>miesta</w:t>
            </w:r>
          </w:p>
        </w:tc>
      </w:tr>
      <w:tr>
        <w:tblPrEx>
          <w:tblW w:w="8984" w:type="dxa"/>
          <w:tblInd w:w="70" w:type="dxa"/>
          <w:tblCellMar>
            <w:left w:w="70" w:type="dxa"/>
            <w:right w:w="70" w:type="dxa"/>
          </w:tblCellMar>
          <w:tblLook w:val="04A0"/>
        </w:tblPrEx>
        <w:trPr>
          <w:trHeight w:val="533"/>
        </w:trPr>
        <w:tc>
          <w:tcPr>
            <w:tcW w:w="2144" w:type="dxa"/>
            <w:tcBorders>
              <w:top w:val="single" w:sz="12" w:space="0" w:color="auto"/>
              <w:left w:val="single" w:sz="12" w:space="0" w:color="auto"/>
              <w:bottom w:val="single" w:sz="8" w:space="0" w:color="auto"/>
              <w:right w:val="single" w:sz="12" w:space="0" w:color="auto"/>
            </w:tcBorders>
            <w:textDirection w:val="lrTb"/>
            <w:vAlign w:val="bottom"/>
            <w:hideMark/>
          </w:tcPr>
          <w:p w:rsidR="008E1A35" w:rsidRPr="007735FD" w:rsidP="008E1A35">
            <w:pPr>
              <w:suppressAutoHyphens w:val="0"/>
              <w:bidi w:val="0"/>
              <w:spacing w:line="240" w:lineRule="auto"/>
              <w:jc w:val="center"/>
              <w:rPr>
                <w:b/>
                <w:bCs/>
                <w:color w:val="auto"/>
                <w:sz w:val="18"/>
                <w:szCs w:val="18"/>
                <w:lang w:eastAsia="sk-SK"/>
              </w:rPr>
            </w:pPr>
            <w:r w:rsidRPr="007735FD">
              <w:rPr>
                <w:b/>
                <w:bCs/>
                <w:color w:val="auto"/>
                <w:sz w:val="18"/>
                <w:szCs w:val="18"/>
                <w:lang w:eastAsia="sk-SK"/>
              </w:rPr>
              <w:t>Uvoľnené prac. miesta z  počtu 59 001</w:t>
            </w:r>
          </w:p>
        </w:tc>
        <w:tc>
          <w:tcPr>
            <w:tcW w:w="1684" w:type="dxa"/>
            <w:tcBorders>
              <w:top w:val="single" w:sz="12" w:space="0" w:color="auto"/>
              <w:left w:val="single" w:sz="12" w:space="0" w:color="auto"/>
              <w:bottom w:val="single" w:sz="8" w:space="0" w:color="auto"/>
              <w:right w:val="single" w:sz="12" w:space="0" w:color="auto"/>
            </w:tcBorders>
            <w:textDirection w:val="lrTb"/>
            <w:vAlign w:val="center"/>
            <w:hideMark/>
          </w:tcPr>
          <w:p w:rsidR="008E1A35" w:rsidRPr="007735FD" w:rsidP="008E1A35">
            <w:pPr>
              <w:suppressAutoHyphens w:val="0"/>
              <w:bidi w:val="0"/>
              <w:spacing w:line="240" w:lineRule="auto"/>
              <w:jc w:val="right"/>
              <w:rPr>
                <w:color w:val="auto"/>
                <w:sz w:val="18"/>
                <w:szCs w:val="18"/>
                <w:lang w:eastAsia="sk-SK"/>
              </w:rPr>
            </w:pPr>
            <w:r w:rsidRPr="007735FD">
              <w:rPr>
                <w:color w:val="auto"/>
                <w:sz w:val="18"/>
                <w:szCs w:val="18"/>
                <w:lang w:eastAsia="sk-SK"/>
              </w:rPr>
              <w:t>11 800</w:t>
              <w:br/>
              <w:t xml:space="preserve"> (20%)</w:t>
            </w:r>
          </w:p>
        </w:tc>
        <w:tc>
          <w:tcPr>
            <w:tcW w:w="1602" w:type="dxa"/>
            <w:tcBorders>
              <w:top w:val="single" w:sz="12" w:space="0" w:color="auto"/>
              <w:left w:val="single" w:sz="12" w:space="0" w:color="auto"/>
              <w:bottom w:val="single" w:sz="8" w:space="0" w:color="auto"/>
              <w:right w:val="single" w:sz="12" w:space="0" w:color="auto"/>
            </w:tcBorders>
            <w:textDirection w:val="lrTb"/>
            <w:vAlign w:val="center"/>
            <w:hideMark/>
          </w:tcPr>
          <w:p w:rsidR="008E1A35" w:rsidRPr="007735FD" w:rsidP="008E1A35">
            <w:pPr>
              <w:suppressAutoHyphens w:val="0"/>
              <w:bidi w:val="0"/>
              <w:spacing w:line="240" w:lineRule="auto"/>
              <w:jc w:val="right"/>
              <w:rPr>
                <w:color w:val="auto"/>
                <w:sz w:val="18"/>
                <w:szCs w:val="18"/>
                <w:lang w:eastAsia="sk-SK"/>
              </w:rPr>
            </w:pPr>
            <w:r w:rsidRPr="007735FD">
              <w:rPr>
                <w:color w:val="auto"/>
                <w:sz w:val="18"/>
                <w:szCs w:val="18"/>
                <w:lang w:eastAsia="sk-SK"/>
              </w:rPr>
              <w:t xml:space="preserve">23 600 </w:t>
              <w:br/>
              <w:t>(40%)</w:t>
            </w:r>
          </w:p>
        </w:tc>
        <w:tc>
          <w:tcPr>
            <w:tcW w:w="1837" w:type="dxa"/>
            <w:tcBorders>
              <w:top w:val="single" w:sz="12" w:space="0" w:color="auto"/>
              <w:left w:val="single" w:sz="12" w:space="0" w:color="auto"/>
              <w:bottom w:val="single" w:sz="8" w:space="0" w:color="auto"/>
              <w:right w:val="single" w:sz="12" w:space="0" w:color="auto"/>
            </w:tcBorders>
            <w:textDirection w:val="lrTb"/>
            <w:vAlign w:val="center"/>
            <w:hideMark/>
          </w:tcPr>
          <w:p w:rsidR="008E1A35" w:rsidRPr="007735FD" w:rsidP="008E1A35">
            <w:pPr>
              <w:suppressAutoHyphens w:val="0"/>
              <w:bidi w:val="0"/>
              <w:spacing w:line="240" w:lineRule="auto"/>
              <w:jc w:val="right"/>
              <w:rPr>
                <w:color w:val="auto"/>
                <w:sz w:val="18"/>
                <w:szCs w:val="18"/>
                <w:lang w:eastAsia="sk-SK"/>
              </w:rPr>
            </w:pPr>
            <w:r w:rsidRPr="007735FD">
              <w:rPr>
                <w:color w:val="auto"/>
                <w:sz w:val="18"/>
                <w:szCs w:val="18"/>
                <w:lang w:eastAsia="sk-SK"/>
              </w:rPr>
              <w:t xml:space="preserve">35 400 </w:t>
              <w:br/>
              <w:t>(60%)</w:t>
            </w:r>
          </w:p>
        </w:tc>
        <w:tc>
          <w:tcPr>
            <w:tcW w:w="1717" w:type="dxa"/>
            <w:tcBorders>
              <w:top w:val="single" w:sz="12" w:space="0" w:color="auto"/>
              <w:left w:val="single" w:sz="12" w:space="0" w:color="auto"/>
              <w:bottom w:val="single" w:sz="8" w:space="0" w:color="auto"/>
              <w:right w:val="single" w:sz="12" w:space="0" w:color="auto"/>
            </w:tcBorders>
            <w:textDirection w:val="lrTb"/>
            <w:vAlign w:val="center"/>
          </w:tcPr>
          <w:p w:rsidR="008E1A35" w:rsidRPr="007735FD" w:rsidP="008E1A35">
            <w:pPr>
              <w:suppressAutoHyphens w:val="0"/>
              <w:bidi w:val="0"/>
              <w:spacing w:line="240" w:lineRule="auto"/>
              <w:jc w:val="right"/>
              <w:rPr>
                <w:color w:val="auto"/>
                <w:sz w:val="18"/>
                <w:szCs w:val="18"/>
                <w:lang w:eastAsia="sk-SK"/>
              </w:rPr>
            </w:pPr>
            <w:r w:rsidRPr="007735FD">
              <w:rPr>
                <w:color w:val="auto"/>
                <w:sz w:val="18"/>
                <w:szCs w:val="18"/>
                <w:lang w:eastAsia="sk-SK"/>
              </w:rPr>
              <w:t>59</w:t>
            </w:r>
            <w:r w:rsidRPr="007735FD" w:rsidR="00F41C45">
              <w:rPr>
                <w:color w:val="auto"/>
                <w:sz w:val="18"/>
                <w:szCs w:val="18"/>
                <w:lang w:eastAsia="sk-SK"/>
              </w:rPr>
              <w:t> </w:t>
            </w:r>
            <w:r w:rsidRPr="007735FD">
              <w:rPr>
                <w:color w:val="auto"/>
                <w:sz w:val="18"/>
                <w:szCs w:val="18"/>
                <w:lang w:eastAsia="sk-SK"/>
              </w:rPr>
              <w:t>001</w:t>
            </w:r>
          </w:p>
          <w:p w:rsidR="00F41C45" w:rsidRPr="007735FD" w:rsidP="008E1A35">
            <w:pPr>
              <w:suppressAutoHyphens w:val="0"/>
              <w:bidi w:val="0"/>
              <w:spacing w:line="240" w:lineRule="auto"/>
              <w:jc w:val="right"/>
              <w:rPr>
                <w:color w:val="auto"/>
                <w:sz w:val="18"/>
                <w:szCs w:val="18"/>
                <w:lang w:eastAsia="sk-SK"/>
              </w:rPr>
            </w:pPr>
            <w:r w:rsidRPr="007735FD">
              <w:rPr>
                <w:color w:val="auto"/>
                <w:sz w:val="18"/>
                <w:szCs w:val="18"/>
                <w:lang w:eastAsia="sk-SK"/>
              </w:rPr>
              <w:t>(100%)</w:t>
            </w:r>
          </w:p>
        </w:tc>
      </w:tr>
      <w:tr>
        <w:tblPrEx>
          <w:tblW w:w="8984" w:type="dxa"/>
          <w:tblInd w:w="70" w:type="dxa"/>
          <w:tblCellMar>
            <w:left w:w="70" w:type="dxa"/>
            <w:right w:w="70" w:type="dxa"/>
          </w:tblCellMar>
          <w:tblLook w:val="04A0"/>
        </w:tblPrEx>
        <w:trPr>
          <w:trHeight w:val="465"/>
        </w:trPr>
        <w:tc>
          <w:tcPr>
            <w:tcW w:w="2144" w:type="dxa"/>
            <w:tcBorders>
              <w:top w:val="single" w:sz="8" w:space="0" w:color="auto"/>
              <w:left w:val="single" w:sz="12" w:space="0" w:color="auto"/>
              <w:bottom w:val="single" w:sz="12" w:space="0" w:color="auto"/>
              <w:right w:val="single" w:sz="12" w:space="0" w:color="auto"/>
            </w:tcBorders>
            <w:textDirection w:val="lrTb"/>
            <w:vAlign w:val="bottom"/>
            <w:hideMark/>
          </w:tcPr>
          <w:p w:rsidR="008E1A35" w:rsidRPr="007735FD" w:rsidP="00017519">
            <w:pPr>
              <w:suppressAutoHyphens w:val="0"/>
              <w:bidi w:val="0"/>
              <w:spacing w:line="240" w:lineRule="auto"/>
              <w:jc w:val="center"/>
              <w:rPr>
                <w:b/>
                <w:bCs/>
                <w:color w:val="auto"/>
                <w:sz w:val="18"/>
                <w:szCs w:val="18"/>
                <w:lang w:eastAsia="sk-SK"/>
              </w:rPr>
            </w:pPr>
            <w:r w:rsidRPr="007735FD" w:rsidR="00652602">
              <w:rPr>
                <w:b/>
                <w:bCs/>
                <w:color w:val="auto"/>
                <w:sz w:val="18"/>
                <w:szCs w:val="18"/>
                <w:lang w:eastAsia="sk-SK"/>
              </w:rPr>
              <w:t xml:space="preserve"> S</w:t>
            </w:r>
            <w:r w:rsidRPr="007735FD" w:rsidR="00B8142E">
              <w:rPr>
                <w:b/>
                <w:bCs/>
                <w:color w:val="auto"/>
                <w:sz w:val="18"/>
                <w:szCs w:val="18"/>
                <w:lang w:eastAsia="sk-SK"/>
              </w:rPr>
              <w:t>uma ušetrená na DvN</w:t>
            </w:r>
            <w:r w:rsidRPr="007735FD" w:rsidR="002B301B">
              <w:rPr>
                <w:b/>
                <w:bCs/>
                <w:color w:val="auto"/>
                <w:sz w:val="18"/>
                <w:szCs w:val="18"/>
                <w:lang w:eastAsia="sk-SK"/>
              </w:rPr>
              <w:t>*</w:t>
            </w:r>
          </w:p>
        </w:tc>
        <w:tc>
          <w:tcPr>
            <w:tcW w:w="1684" w:type="dxa"/>
            <w:tcBorders>
              <w:top w:val="single" w:sz="8" w:space="0" w:color="auto"/>
              <w:left w:val="single" w:sz="12" w:space="0" w:color="auto"/>
              <w:bottom w:val="single" w:sz="12" w:space="0" w:color="auto"/>
              <w:right w:val="single" w:sz="12" w:space="0" w:color="auto"/>
            </w:tcBorders>
            <w:noWrap/>
            <w:textDirection w:val="lrTb"/>
            <w:vAlign w:val="center"/>
            <w:hideMark/>
          </w:tcPr>
          <w:p w:rsidR="008E1A35" w:rsidRPr="007735FD" w:rsidP="00F41C45">
            <w:pPr>
              <w:suppressAutoHyphens w:val="0"/>
              <w:bidi w:val="0"/>
              <w:spacing w:line="240" w:lineRule="auto"/>
              <w:jc w:val="right"/>
              <w:rPr>
                <w:bCs/>
                <w:color w:val="auto"/>
                <w:sz w:val="18"/>
                <w:szCs w:val="18"/>
                <w:lang w:eastAsia="sk-SK"/>
              </w:rPr>
            </w:pPr>
            <w:r w:rsidRPr="007735FD" w:rsidR="00F344BB">
              <w:rPr>
                <w:bCs/>
                <w:color w:val="auto"/>
                <w:sz w:val="18"/>
                <w:szCs w:val="18"/>
                <w:lang w:eastAsia="sk-SK"/>
              </w:rPr>
              <w:t>22 089 600</w:t>
            </w:r>
            <w:r w:rsidRPr="007735FD">
              <w:rPr>
                <w:bCs/>
                <w:color w:val="auto"/>
                <w:sz w:val="18"/>
                <w:szCs w:val="18"/>
                <w:lang w:eastAsia="sk-SK"/>
              </w:rPr>
              <w:t xml:space="preserve"> €</w:t>
            </w:r>
          </w:p>
        </w:tc>
        <w:tc>
          <w:tcPr>
            <w:tcW w:w="1602" w:type="dxa"/>
            <w:tcBorders>
              <w:top w:val="single" w:sz="8" w:space="0" w:color="auto"/>
              <w:left w:val="single" w:sz="12" w:space="0" w:color="auto"/>
              <w:bottom w:val="single" w:sz="12" w:space="0" w:color="auto"/>
              <w:right w:val="single" w:sz="12" w:space="0" w:color="auto"/>
            </w:tcBorders>
            <w:noWrap/>
            <w:textDirection w:val="lrTb"/>
            <w:vAlign w:val="center"/>
            <w:hideMark/>
          </w:tcPr>
          <w:p w:rsidR="008E1A35" w:rsidRPr="007735FD" w:rsidP="00F41C45">
            <w:pPr>
              <w:suppressAutoHyphens w:val="0"/>
              <w:bidi w:val="0"/>
              <w:spacing w:line="240" w:lineRule="auto"/>
              <w:jc w:val="right"/>
              <w:rPr>
                <w:bCs/>
                <w:color w:val="auto"/>
                <w:sz w:val="18"/>
                <w:szCs w:val="18"/>
                <w:lang w:eastAsia="sk-SK"/>
              </w:rPr>
            </w:pPr>
            <w:r w:rsidRPr="007735FD" w:rsidR="00F344BB">
              <w:rPr>
                <w:bCs/>
                <w:color w:val="auto"/>
                <w:sz w:val="18"/>
                <w:szCs w:val="18"/>
                <w:lang w:eastAsia="sk-SK"/>
              </w:rPr>
              <w:t>44 179 200</w:t>
            </w:r>
            <w:r w:rsidRPr="007735FD">
              <w:rPr>
                <w:bCs/>
                <w:color w:val="auto"/>
                <w:sz w:val="18"/>
                <w:szCs w:val="18"/>
                <w:lang w:eastAsia="sk-SK"/>
              </w:rPr>
              <w:t xml:space="preserve"> €</w:t>
            </w:r>
          </w:p>
        </w:tc>
        <w:tc>
          <w:tcPr>
            <w:tcW w:w="1837" w:type="dxa"/>
            <w:tcBorders>
              <w:top w:val="single" w:sz="8" w:space="0" w:color="auto"/>
              <w:left w:val="single" w:sz="12" w:space="0" w:color="auto"/>
              <w:bottom w:val="single" w:sz="12" w:space="0" w:color="auto"/>
              <w:right w:val="single" w:sz="12" w:space="0" w:color="auto"/>
            </w:tcBorders>
            <w:noWrap/>
            <w:textDirection w:val="lrTb"/>
            <w:vAlign w:val="center"/>
            <w:hideMark/>
          </w:tcPr>
          <w:p w:rsidR="008E1A35" w:rsidRPr="007735FD" w:rsidP="00F41C45">
            <w:pPr>
              <w:suppressAutoHyphens w:val="0"/>
              <w:bidi w:val="0"/>
              <w:spacing w:line="240" w:lineRule="auto"/>
              <w:jc w:val="right"/>
              <w:rPr>
                <w:bCs/>
                <w:color w:val="auto"/>
                <w:sz w:val="18"/>
                <w:szCs w:val="18"/>
                <w:lang w:eastAsia="sk-SK"/>
              </w:rPr>
            </w:pPr>
            <w:r w:rsidRPr="007735FD" w:rsidR="00F344BB">
              <w:rPr>
                <w:bCs/>
                <w:color w:val="auto"/>
                <w:sz w:val="18"/>
                <w:szCs w:val="18"/>
                <w:lang w:eastAsia="sk-SK"/>
              </w:rPr>
              <w:t>66 268 800</w:t>
            </w:r>
            <w:r w:rsidRPr="007735FD" w:rsidR="00F41C45">
              <w:rPr>
                <w:bCs/>
                <w:color w:val="auto"/>
                <w:sz w:val="18"/>
                <w:szCs w:val="18"/>
                <w:lang w:eastAsia="sk-SK"/>
              </w:rPr>
              <w:t xml:space="preserve"> </w:t>
            </w:r>
            <w:r w:rsidRPr="007735FD">
              <w:rPr>
                <w:bCs/>
                <w:color w:val="auto"/>
                <w:sz w:val="18"/>
                <w:szCs w:val="18"/>
                <w:lang w:eastAsia="sk-SK"/>
              </w:rPr>
              <w:t>€</w:t>
            </w:r>
          </w:p>
        </w:tc>
        <w:tc>
          <w:tcPr>
            <w:tcW w:w="1717" w:type="dxa"/>
            <w:tcBorders>
              <w:top w:val="single" w:sz="8" w:space="0" w:color="auto"/>
              <w:left w:val="single" w:sz="12" w:space="0" w:color="auto"/>
              <w:bottom w:val="single" w:sz="12" w:space="0" w:color="auto"/>
              <w:right w:val="single" w:sz="12" w:space="0" w:color="auto"/>
            </w:tcBorders>
            <w:textDirection w:val="lrTb"/>
            <w:vAlign w:val="center"/>
          </w:tcPr>
          <w:p w:rsidR="008E1A35" w:rsidRPr="007735FD" w:rsidP="00F41C45">
            <w:pPr>
              <w:suppressAutoHyphens w:val="0"/>
              <w:bidi w:val="0"/>
              <w:spacing w:line="240" w:lineRule="auto"/>
              <w:jc w:val="right"/>
              <w:rPr>
                <w:bCs/>
                <w:color w:val="auto"/>
                <w:sz w:val="18"/>
                <w:szCs w:val="18"/>
                <w:lang w:eastAsia="sk-SK"/>
              </w:rPr>
            </w:pPr>
            <w:r w:rsidRPr="007735FD" w:rsidR="00F344BB">
              <w:rPr>
                <w:bCs/>
                <w:color w:val="auto"/>
                <w:sz w:val="18"/>
                <w:szCs w:val="18"/>
                <w:lang w:eastAsia="sk-SK"/>
              </w:rPr>
              <w:t>110 449 872</w:t>
            </w:r>
            <w:r w:rsidRPr="007735FD" w:rsidR="00F41C45">
              <w:rPr>
                <w:bCs/>
                <w:color w:val="auto"/>
                <w:sz w:val="18"/>
                <w:szCs w:val="18"/>
                <w:lang w:eastAsia="sk-SK"/>
              </w:rPr>
              <w:t xml:space="preserve"> € </w:t>
            </w:r>
          </w:p>
        </w:tc>
      </w:tr>
    </w:tbl>
    <w:p w:rsidR="00017519" w:rsidRPr="007735FD" w:rsidP="00860688">
      <w:pPr>
        <w:bidi w:val="0"/>
        <w:spacing w:before="120"/>
        <w:jc w:val="both"/>
        <w:rPr>
          <w:color w:val="auto"/>
          <w:sz w:val="18"/>
          <w:szCs w:val="18"/>
        </w:rPr>
      </w:pPr>
      <w:r w:rsidRPr="007735FD" w:rsidR="002B301B">
        <w:rPr>
          <w:color w:val="auto"/>
        </w:rPr>
        <w:t>*</w:t>
      </w:r>
      <w:r w:rsidRPr="007735FD" w:rsidR="002B301B">
        <w:rPr>
          <w:color w:val="auto"/>
          <w:sz w:val="18"/>
          <w:szCs w:val="18"/>
        </w:rPr>
        <w:t xml:space="preserve">1 </w:t>
      </w:r>
      <w:r w:rsidRPr="007735FD" w:rsidR="00B8142E">
        <w:rPr>
          <w:color w:val="auto"/>
          <w:sz w:val="18"/>
          <w:szCs w:val="18"/>
        </w:rPr>
        <w:t xml:space="preserve">uvoľnené </w:t>
      </w:r>
      <w:r w:rsidRPr="007735FD" w:rsidR="002B301B">
        <w:rPr>
          <w:color w:val="auto"/>
          <w:sz w:val="18"/>
          <w:szCs w:val="18"/>
        </w:rPr>
        <w:t xml:space="preserve">pracovné miesto </w:t>
      </w:r>
      <w:r w:rsidRPr="007735FD" w:rsidR="00B8142E">
        <w:rPr>
          <w:color w:val="auto"/>
          <w:sz w:val="18"/>
          <w:szCs w:val="18"/>
        </w:rPr>
        <w:t>ušetrí</w:t>
      </w:r>
      <w:r w:rsidRPr="007735FD" w:rsidR="002B301B">
        <w:rPr>
          <w:color w:val="auto"/>
          <w:sz w:val="18"/>
          <w:szCs w:val="18"/>
        </w:rPr>
        <w:t xml:space="preserve"> 6 mesiacov</w:t>
      </w:r>
      <w:r w:rsidRPr="007735FD" w:rsidR="00B8142E">
        <w:rPr>
          <w:color w:val="auto"/>
          <w:sz w:val="18"/>
          <w:szCs w:val="18"/>
        </w:rPr>
        <w:t xml:space="preserve"> vyplácania podpory v nezamestnanosti</w:t>
      </w:r>
    </w:p>
    <w:p w:rsidR="00967B22" w:rsidRPr="007735FD" w:rsidP="00967B22">
      <w:pPr>
        <w:bidi w:val="0"/>
        <w:spacing w:before="120"/>
        <w:jc w:val="both"/>
        <w:rPr>
          <w:color w:val="auto"/>
        </w:rPr>
      </w:pPr>
      <w:r w:rsidRPr="007735FD">
        <w:rPr>
          <w:color w:val="auto"/>
        </w:rPr>
        <w:t>Novela zákona, okrem úspor verejných financií a znižovaniu nezamestnanosti, priná</w:t>
      </w:r>
      <w:r w:rsidRPr="007735FD" w:rsidR="003B47BE">
        <w:rPr>
          <w:color w:val="auto"/>
        </w:rPr>
        <w:t>ša aj pozitívne dopady ako sú</w:t>
      </w:r>
      <w:r w:rsidR="00053F8B">
        <w:rPr>
          <w:color w:val="auto"/>
        </w:rPr>
        <w:t xml:space="preserve"> </w:t>
      </w:r>
      <w:r w:rsidRPr="007735FD">
        <w:rPr>
          <w:color w:val="auto"/>
        </w:rPr>
        <w:t>predchádzanie straty pracovných návykov, predchádzan</w:t>
      </w:r>
      <w:r w:rsidRPr="007735FD" w:rsidR="003B47BE">
        <w:rPr>
          <w:color w:val="auto"/>
        </w:rPr>
        <w:t>i</w:t>
      </w:r>
      <w:r w:rsidRPr="007735FD">
        <w:rPr>
          <w:color w:val="auto"/>
        </w:rPr>
        <w:t>e sociálneho vylúčenia, podporuje sanáciu ohrozených rodín.</w:t>
      </w:r>
    </w:p>
    <w:p w:rsidR="00860688" w:rsidRPr="007735FD" w:rsidP="00860688">
      <w:pPr>
        <w:bidi w:val="0"/>
        <w:spacing w:before="120"/>
        <w:jc w:val="both"/>
        <w:rPr>
          <w:rFonts w:eastAsia="Arial Unicode MS" w:hint="default"/>
          <w:color w:val="auto"/>
        </w:rPr>
      </w:pPr>
      <w:r w:rsidRPr="007735FD">
        <w:rPr>
          <w:rFonts w:eastAsia="Arial Unicode MS" w:hint="default"/>
          <w:color w:val="auto"/>
        </w:rPr>
        <w:t>Ná</w:t>
      </w:r>
      <w:r w:rsidRPr="007735FD">
        <w:rPr>
          <w:rFonts w:eastAsia="Arial Unicode MS" w:hint="default"/>
          <w:color w:val="auto"/>
        </w:rPr>
        <w:t>vrh zá</w:t>
      </w:r>
      <w:r w:rsidRPr="007735FD">
        <w:rPr>
          <w:rFonts w:eastAsia="Arial Unicode MS" w:hint="default"/>
          <w:color w:val="auto"/>
        </w:rPr>
        <w:t>kona je v </w:t>
      </w:r>
      <w:r w:rsidRPr="007735FD">
        <w:rPr>
          <w:rFonts w:eastAsia="Arial Unicode MS" w:hint="default"/>
          <w:color w:val="auto"/>
        </w:rPr>
        <w:t>sú</w:t>
      </w:r>
      <w:r w:rsidRPr="007735FD">
        <w:rPr>
          <w:rFonts w:eastAsia="Arial Unicode MS" w:hint="default"/>
          <w:color w:val="auto"/>
        </w:rPr>
        <w:t>lade s </w:t>
      </w:r>
      <w:r w:rsidRPr="007735FD">
        <w:rPr>
          <w:rFonts w:eastAsia="Arial Unicode MS" w:hint="default"/>
          <w:color w:val="auto"/>
        </w:rPr>
        <w:t>Ú</w:t>
      </w:r>
      <w:r w:rsidRPr="007735FD">
        <w:rPr>
          <w:rFonts w:eastAsia="Arial Unicode MS" w:hint="default"/>
          <w:color w:val="auto"/>
        </w:rPr>
        <w:t>stavou Slovenskej republiky, so zá</w:t>
      </w:r>
      <w:r w:rsidRPr="007735FD">
        <w:rPr>
          <w:rFonts w:eastAsia="Arial Unicode MS" w:hint="default"/>
          <w:color w:val="auto"/>
        </w:rPr>
        <w:t>konmi</w:t>
      </w:r>
      <w:r w:rsidR="00BC4C12">
        <w:rPr>
          <w:rFonts w:eastAsia="Arial Unicode MS"/>
          <w:color w:val="auto"/>
        </w:rPr>
        <w:t xml:space="preserve"> </w:t>
      </w:r>
      <w:r w:rsidRPr="007735FD">
        <w:rPr>
          <w:rFonts w:eastAsia="Arial Unicode MS"/>
          <w:color w:val="auto"/>
        </w:rPr>
        <w:t>ako aj s </w:t>
      </w:r>
      <w:r w:rsidRPr="007735FD">
        <w:rPr>
          <w:rFonts w:eastAsia="Arial Unicode MS" w:hint="default"/>
          <w:color w:val="auto"/>
        </w:rPr>
        <w:t>medziná</w:t>
      </w:r>
      <w:r w:rsidRPr="007735FD">
        <w:rPr>
          <w:rFonts w:eastAsia="Arial Unicode MS" w:hint="default"/>
          <w:color w:val="auto"/>
        </w:rPr>
        <w:t>rodný</w:t>
      </w:r>
      <w:r w:rsidRPr="007735FD">
        <w:rPr>
          <w:rFonts w:eastAsia="Arial Unicode MS" w:hint="default"/>
          <w:color w:val="auto"/>
        </w:rPr>
        <w:t>mi zmluvami, ktorý</w:t>
      </w:r>
      <w:r w:rsidRPr="007735FD">
        <w:rPr>
          <w:rFonts w:eastAsia="Arial Unicode MS" w:hint="default"/>
          <w:color w:val="auto"/>
        </w:rPr>
        <w:t>mi je Slovenská</w:t>
      </w:r>
      <w:r w:rsidRPr="007735FD">
        <w:rPr>
          <w:rFonts w:eastAsia="Arial Unicode MS" w:hint="default"/>
          <w:color w:val="auto"/>
        </w:rPr>
        <w:t xml:space="preserve"> republika viazaná.</w:t>
      </w:r>
    </w:p>
    <w:p w:rsidR="00336991" w:rsidP="001E00A8">
      <w:pPr>
        <w:bidi w:val="0"/>
        <w:jc w:val="both"/>
      </w:pPr>
    </w:p>
    <w:p w:rsidR="00860688" w:rsidRPr="00860688" w:rsidP="00860688">
      <w:pPr>
        <w:bidi w:val="0"/>
        <w:spacing w:before="120"/>
        <w:jc w:val="both"/>
        <w:rPr>
          <w:bCs/>
        </w:rPr>
      </w:pPr>
      <w:r w:rsidRPr="00860688" w:rsidR="00336991">
        <w:t xml:space="preserve">Navrhovaná zmena je aj v súlade s najnovšou judikatúrou Súdneho dvora Európskej únie, najmä rozhodnutím v právnej veci 341/08 (Peterson) zo dňa 12. januára 2010. </w:t>
      </w:r>
      <w:r w:rsidRPr="00860688" w:rsidR="00336991">
        <w:rPr>
          <w:b/>
          <w:bCs/>
        </w:rPr>
        <w:t xml:space="preserve">Rozhodnutie Súdneho dvora v tejto veci pripúšťa skončenie zamestnaneckého pomeru na základe dovŕšenia dôchodkového veku </w:t>
      </w:r>
      <w:r w:rsidRPr="00860688" w:rsidR="00336991">
        <w:rPr>
          <w:bCs/>
        </w:rPr>
        <w:t>a je precedensom, ktorý sa vzťahuje na všetky krajiny EÚ.</w:t>
      </w:r>
      <w:r w:rsidRPr="00C2102E" w:rsidR="00336991">
        <w:rPr>
          <w:bCs/>
        </w:rPr>
        <w:t xml:space="preserve"> </w:t>
      </w:r>
    </w:p>
    <w:p w:rsidR="00C57F87" w:rsidRPr="00C64D69" w:rsidP="00860688">
      <w:pPr>
        <w:bidi w:val="0"/>
        <w:spacing w:before="120"/>
        <w:jc w:val="both"/>
        <w:rPr>
          <w:rFonts w:eastAsia="Arial Unicode MS"/>
        </w:rPr>
      </w:pPr>
      <w:r w:rsidRPr="00C64D69">
        <w:rPr>
          <w:rFonts w:eastAsia="Arial Unicode MS"/>
        </w:rPr>
        <w:t>.</w:t>
      </w:r>
    </w:p>
    <w:p w:rsidR="002B6F9D" w:rsidP="002B6F9D">
      <w:pPr>
        <w:pStyle w:val="NormalWeb"/>
        <w:bidi w:val="0"/>
        <w:spacing w:before="0" w:beforeAutospacing="0" w:after="0" w:afterAutospacing="0" w:line="276" w:lineRule="auto"/>
        <w:jc w:val="both"/>
        <w:rPr>
          <w:rFonts w:ascii="Times New Roman" w:eastAsia="Arial Unicode MS" w:hAnsi="Times New Roman"/>
        </w:rPr>
      </w:pPr>
    </w:p>
    <w:p w:rsidR="002B6F9D" w:rsidRPr="002B6F9D" w:rsidP="002B6F9D">
      <w:pPr>
        <w:pStyle w:val="NormalWeb"/>
        <w:bidi w:val="0"/>
        <w:spacing w:before="0" w:beforeAutospacing="0" w:after="0" w:afterAutospacing="0" w:line="276" w:lineRule="auto"/>
        <w:jc w:val="both"/>
        <w:rPr>
          <w:rFonts w:ascii="Arial" w:hAnsi="Arial" w:cs="Arial"/>
          <w:color w:val="000000"/>
          <w:sz w:val="22"/>
          <w:szCs w:val="22"/>
          <w:lang w:eastAsia="ar-SA"/>
        </w:rPr>
      </w:pPr>
      <w:r w:rsidRPr="007735FD" w:rsidR="00C57F87">
        <w:rPr>
          <w:rFonts w:ascii="Times New Roman" w:eastAsia="Arial Unicode MS" w:hAnsi="Times New Roman"/>
        </w:rPr>
        <w:t>N</w:t>
      </w:r>
      <w:r w:rsidRPr="007735FD" w:rsidR="00C57F87">
        <w:rPr>
          <w:rFonts w:ascii="Arial" w:hAnsi="Arial" w:cs="Arial"/>
          <w:color w:val="000000"/>
          <w:sz w:val="22"/>
          <w:szCs w:val="22"/>
          <w:lang w:eastAsia="ar-SA"/>
        </w:rPr>
        <w:t xml:space="preserve">ávrh zákona má </w:t>
      </w:r>
      <w:r w:rsidRPr="007735FD">
        <w:rPr>
          <w:rFonts w:ascii="Arial" w:hAnsi="Arial" w:cs="Arial"/>
          <w:color w:val="000000"/>
          <w:sz w:val="22"/>
          <w:szCs w:val="22"/>
          <w:lang w:eastAsia="ar-SA"/>
        </w:rPr>
        <w:t xml:space="preserve">sociálne vplyvy na hospodárenie obyvateľstva, zamestnanosť </w:t>
      </w:r>
      <w:r w:rsidRPr="007735FD" w:rsidR="003B47BE">
        <w:rPr>
          <w:rFonts w:ascii="Arial" w:hAnsi="Arial" w:cs="Arial"/>
          <w:color w:val="000000"/>
          <w:sz w:val="22"/>
          <w:szCs w:val="22"/>
          <w:lang w:eastAsia="ar-SA"/>
        </w:rPr>
        <w:t xml:space="preserve">a </w:t>
      </w:r>
      <w:r w:rsidRPr="007735FD">
        <w:rPr>
          <w:rFonts w:ascii="Arial" w:hAnsi="Arial" w:cs="Arial"/>
          <w:color w:val="000000"/>
          <w:sz w:val="22"/>
          <w:szCs w:val="22"/>
          <w:lang w:eastAsia="ar-SA"/>
        </w:rPr>
        <w:t>rovnosť príležitostí. Návrh zákona bude mať neutrálny vplyv na sociálnu exklúziu.</w:t>
      </w:r>
    </w:p>
    <w:p w:rsidR="00C57F87" w:rsidRPr="00C64D69" w:rsidP="00860688">
      <w:pPr>
        <w:bidi w:val="0"/>
        <w:spacing w:before="120"/>
        <w:jc w:val="both"/>
        <w:rPr>
          <w:rFonts w:eastAsia="Arial Unicode MS" w:hint="default"/>
        </w:rPr>
      </w:pPr>
      <w:r w:rsidRPr="00C64D69">
        <w:rPr>
          <w:rFonts w:eastAsia="Arial Unicode MS"/>
        </w:rPr>
        <w:t xml:space="preserve"> </w:t>
      </w:r>
      <w:r w:rsidRPr="00C64D69" w:rsidR="002B6F9D">
        <w:rPr>
          <w:rFonts w:eastAsia="Arial Unicode MS"/>
        </w:rPr>
        <w:t>N</w:t>
      </w:r>
      <w:r w:rsidRPr="002B6F9D" w:rsidR="002B6F9D">
        <w:t xml:space="preserve">ávrh zákona </w:t>
      </w:r>
      <w:r>
        <w:rPr>
          <w:rFonts w:eastAsia="Arial Unicode MS" w:hint="default"/>
        </w:rPr>
        <w:t>nemá</w:t>
      </w:r>
      <w:r w:rsidRPr="00C64D69">
        <w:rPr>
          <w:rFonts w:eastAsia="Arial Unicode MS"/>
        </w:rPr>
        <w:t xml:space="preserve"> vp</w:t>
      </w:r>
      <w:r w:rsidRPr="00C64D69">
        <w:rPr>
          <w:rFonts w:eastAsia="Arial Unicode MS" w:hint="default"/>
        </w:rPr>
        <w:t>lyvy na informatizá</w:t>
      </w:r>
      <w:r w:rsidRPr="00C64D69">
        <w:rPr>
          <w:rFonts w:eastAsia="Arial Unicode MS" w:hint="default"/>
        </w:rPr>
        <w:t>ciu spoloč</w:t>
      </w:r>
      <w:r w:rsidRPr="00C64D69">
        <w:rPr>
          <w:rFonts w:eastAsia="Arial Unicode MS" w:hint="default"/>
        </w:rPr>
        <w:t>nosti a ž</w:t>
      </w:r>
      <w:r w:rsidRPr="00C64D69">
        <w:rPr>
          <w:rFonts w:eastAsia="Arial Unicode MS" w:hint="default"/>
        </w:rPr>
        <w:t>ivotné</w:t>
      </w:r>
      <w:r w:rsidRPr="00C64D69">
        <w:rPr>
          <w:rFonts w:eastAsia="Arial Unicode MS" w:hint="default"/>
        </w:rPr>
        <w:t xml:space="preserve"> prostredie.</w:t>
      </w:r>
    </w:p>
    <w:p w:rsidR="00336991" w:rsidP="001E00A8">
      <w:pPr>
        <w:bidi w:val="0"/>
        <w:jc w:val="both"/>
      </w:pPr>
    </w:p>
    <w:p w:rsidR="007914AA" w:rsidRPr="00363EF9" w:rsidP="007914AA">
      <w:pPr>
        <w:bidi w:val="0"/>
        <w:jc w:val="both"/>
        <w:rPr>
          <w:b/>
          <w:sz w:val="26"/>
        </w:rPr>
      </w:pPr>
      <w:r w:rsidRPr="00363EF9">
        <w:rPr>
          <w:b/>
          <w:sz w:val="26"/>
        </w:rPr>
        <w:t xml:space="preserve">B) Osobitná časť </w:t>
      </w:r>
    </w:p>
    <w:p w:rsidR="007914AA" w:rsidP="007914AA">
      <w:pPr>
        <w:bidi w:val="0"/>
        <w:rPr>
          <w:rFonts w:eastAsia="Arial Unicode MS"/>
          <w:b/>
        </w:rPr>
      </w:pPr>
    </w:p>
    <w:p w:rsidR="007914AA" w:rsidRPr="00363EF9" w:rsidP="007914AA">
      <w:pPr>
        <w:pStyle w:val="Heading3"/>
        <w:bidi w:val="0"/>
        <w:rPr>
          <w:sz w:val="24"/>
          <w:szCs w:val="24"/>
        </w:rPr>
      </w:pPr>
      <w:r w:rsidRPr="00363EF9">
        <w:rPr>
          <w:sz w:val="24"/>
          <w:szCs w:val="24"/>
        </w:rPr>
        <w:t>K Čl. I</w:t>
      </w:r>
    </w:p>
    <w:p w:rsidR="007914AA" w:rsidRPr="00363EF9" w:rsidP="007914AA">
      <w:pPr>
        <w:bidi w:val="0"/>
        <w:rPr>
          <w:rFonts w:eastAsia="Arial Unicode MS"/>
          <w:b/>
          <w:sz w:val="24"/>
          <w:szCs w:val="24"/>
        </w:rPr>
      </w:pPr>
      <w:r w:rsidRPr="00363EF9">
        <w:rPr>
          <w:rFonts w:eastAsia="Arial Unicode MS"/>
          <w:b/>
          <w:sz w:val="24"/>
          <w:szCs w:val="24"/>
        </w:rPr>
        <w:t>K</w:t>
      </w:r>
      <w:r w:rsidRPr="00363EF9" w:rsidR="00C57F87">
        <w:rPr>
          <w:rFonts w:eastAsia="Arial Unicode MS"/>
          <w:b/>
          <w:sz w:val="24"/>
          <w:szCs w:val="24"/>
        </w:rPr>
        <w:t> </w:t>
      </w:r>
      <w:r w:rsidRPr="00363EF9" w:rsidR="00C57F87">
        <w:rPr>
          <w:rFonts w:eastAsia="Arial Unicode MS"/>
          <w:b/>
          <w:sz w:val="24"/>
          <w:szCs w:val="24"/>
        </w:rPr>
        <w:t>bodu 1:</w:t>
      </w:r>
    </w:p>
    <w:p w:rsidR="007914AA" w:rsidRPr="00A107B1" w:rsidP="007914AA">
      <w:pPr>
        <w:bidi w:val="0"/>
        <w:rPr>
          <w:rFonts w:eastAsia="Arial Unicode MS"/>
        </w:rPr>
      </w:pPr>
      <w:r w:rsidR="00A107B1">
        <w:rPr>
          <w:rFonts w:eastAsia="Arial Unicode MS"/>
        </w:rPr>
        <w:t>Do</w:t>
      </w:r>
      <w:r w:rsidRPr="00A107B1" w:rsidR="00A107B1">
        <w:rPr>
          <w:rFonts w:eastAsia="Arial Unicode MS"/>
        </w:rPr>
        <w:t xml:space="preserve"> </w:t>
      </w:r>
      <w:r w:rsidR="00A107B1">
        <w:rPr>
          <w:rFonts w:eastAsia="Arial Unicode MS" w:hint="default"/>
        </w:rPr>
        <w:t>zá</w:t>
      </w:r>
      <w:r w:rsidR="00A107B1">
        <w:rPr>
          <w:rFonts w:eastAsia="Arial Unicode MS" w:hint="default"/>
        </w:rPr>
        <w:t>kona č</w:t>
      </w:r>
      <w:r w:rsidR="00A107B1">
        <w:rPr>
          <w:rFonts w:eastAsia="Arial Unicode MS" w:hint="default"/>
        </w:rPr>
        <w:t>. 311/2001 Z.z. Zá</w:t>
      </w:r>
      <w:r w:rsidR="00A107B1">
        <w:rPr>
          <w:rFonts w:eastAsia="Arial Unicode MS" w:hint="default"/>
        </w:rPr>
        <w:t>konní</w:t>
      </w:r>
      <w:r w:rsidR="00A107B1">
        <w:rPr>
          <w:rFonts w:eastAsia="Arial Unicode MS" w:hint="default"/>
        </w:rPr>
        <w:t>k prá</w:t>
      </w:r>
      <w:r w:rsidR="00A107B1">
        <w:rPr>
          <w:rFonts w:eastAsia="Arial Unicode MS" w:hint="default"/>
        </w:rPr>
        <w:t>ce sa do  §</w:t>
      </w:r>
      <w:r w:rsidR="00A107B1">
        <w:rPr>
          <w:rFonts w:eastAsia="Arial Unicode MS" w:hint="default"/>
        </w:rPr>
        <w:t xml:space="preserve"> 63 dopĺň</w:t>
      </w:r>
      <w:r w:rsidR="00A107B1">
        <w:rPr>
          <w:rFonts w:eastAsia="Arial Unicode MS" w:hint="default"/>
        </w:rPr>
        <w:t>a ustanovenie o </w:t>
      </w:r>
      <w:r w:rsidR="00A107B1">
        <w:rPr>
          <w:rFonts w:eastAsia="Arial Unicode MS" w:hint="default"/>
        </w:rPr>
        <w:t>mož</w:t>
      </w:r>
      <w:r w:rsidR="00A107B1">
        <w:rPr>
          <w:rFonts w:eastAsia="Arial Unicode MS" w:hint="default"/>
        </w:rPr>
        <w:t>nosti vý</w:t>
      </w:r>
      <w:r w:rsidR="00A107B1">
        <w:rPr>
          <w:rFonts w:eastAsia="Arial Unicode MS" w:hint="default"/>
        </w:rPr>
        <w:t>povede</w:t>
      </w:r>
      <w:r w:rsidR="008123D0">
        <w:rPr>
          <w:rFonts w:eastAsia="Arial Unicode MS"/>
        </w:rPr>
        <w:t xml:space="preserve"> zamestnancovi </w:t>
      </w:r>
      <w:r w:rsidR="00A107B1">
        <w:rPr>
          <w:rFonts w:eastAsia="Arial Unicode MS"/>
        </w:rPr>
        <w:t xml:space="preserve"> z </w:t>
      </w:r>
      <w:r w:rsidR="00A107B1">
        <w:rPr>
          <w:rFonts w:eastAsia="Arial Unicode MS" w:hint="default"/>
        </w:rPr>
        <w:t>dô</w:t>
      </w:r>
      <w:r w:rsidR="00A107B1">
        <w:rPr>
          <w:rFonts w:eastAsia="Arial Unicode MS" w:hint="default"/>
        </w:rPr>
        <w:t>vodu zí</w:t>
      </w:r>
      <w:r w:rsidR="00A107B1">
        <w:rPr>
          <w:rFonts w:eastAsia="Arial Unicode MS" w:hint="default"/>
        </w:rPr>
        <w:t>skania ná</w:t>
      </w:r>
      <w:r w:rsidR="00A107B1">
        <w:rPr>
          <w:rFonts w:eastAsia="Arial Unicode MS" w:hint="default"/>
        </w:rPr>
        <w:t>roku na starobný</w:t>
      </w:r>
      <w:r w:rsidR="00A107B1">
        <w:rPr>
          <w:rFonts w:eastAsia="Arial Unicode MS" w:hint="default"/>
        </w:rPr>
        <w:t xml:space="preserve"> dô</w:t>
      </w:r>
      <w:r w:rsidR="00A107B1">
        <w:rPr>
          <w:rFonts w:eastAsia="Arial Unicode MS" w:hint="default"/>
        </w:rPr>
        <w:t>chodok</w:t>
      </w:r>
      <w:r w:rsidR="00BC4C12">
        <w:rPr>
          <w:rFonts w:eastAsia="Arial Unicode MS"/>
        </w:rPr>
        <w:t>.</w:t>
      </w:r>
    </w:p>
    <w:p w:rsidR="00C57F87" w:rsidP="00C57F87">
      <w:pPr>
        <w:bidi w:val="0"/>
        <w:rPr>
          <w:rFonts w:eastAsia="Arial Unicode MS"/>
          <w:b/>
        </w:rPr>
      </w:pPr>
    </w:p>
    <w:p w:rsidR="00C57F87" w:rsidRPr="00363EF9" w:rsidP="00C57F87">
      <w:pPr>
        <w:bidi w:val="0"/>
        <w:rPr>
          <w:rFonts w:eastAsia="Arial Unicode MS"/>
          <w:b/>
          <w:sz w:val="24"/>
          <w:szCs w:val="24"/>
        </w:rPr>
      </w:pPr>
      <w:r w:rsidRPr="00363EF9">
        <w:rPr>
          <w:rFonts w:eastAsia="Arial Unicode MS"/>
          <w:b/>
          <w:sz w:val="24"/>
          <w:szCs w:val="24"/>
        </w:rPr>
        <w:t>K bod</w:t>
      </w:r>
      <w:r w:rsidRPr="00363EF9">
        <w:rPr>
          <w:rFonts w:eastAsia="Arial Unicode MS"/>
          <w:b/>
          <w:sz w:val="24"/>
          <w:szCs w:val="24"/>
        </w:rPr>
        <w:t>u 2:</w:t>
      </w:r>
    </w:p>
    <w:p w:rsidR="007914AA" w:rsidRPr="00C57F87" w:rsidP="007914AA">
      <w:pPr>
        <w:bidi w:val="0"/>
        <w:rPr>
          <w:rFonts w:eastAsia="Arial Unicode MS"/>
        </w:rPr>
      </w:pPr>
      <w:r w:rsidRPr="00C57F87" w:rsidR="00C57F87">
        <w:rPr>
          <w:rFonts w:eastAsia="Arial Unicode MS" w:hint="default"/>
        </w:rPr>
        <w:t>Legislatí</w:t>
      </w:r>
      <w:r w:rsidRPr="00C57F87" w:rsidR="00C57F87">
        <w:rPr>
          <w:rFonts w:eastAsia="Arial Unicode MS" w:hint="default"/>
        </w:rPr>
        <w:t>vno</w:t>
      </w:r>
      <w:r w:rsidR="00C57F87">
        <w:rPr>
          <w:rFonts w:eastAsia="Arial Unicode MS"/>
        </w:rPr>
        <w:t>-</w:t>
      </w:r>
      <w:r w:rsidRPr="00C57F87" w:rsidR="00C57F87">
        <w:rPr>
          <w:rFonts w:eastAsia="Arial Unicode MS" w:hint="default"/>
        </w:rPr>
        <w:t>technická</w:t>
      </w:r>
      <w:r w:rsidRPr="00C57F87" w:rsidR="00C57F87">
        <w:rPr>
          <w:rFonts w:eastAsia="Arial Unicode MS" w:hint="default"/>
        </w:rPr>
        <w:t xml:space="preserve"> ú</w:t>
      </w:r>
      <w:r w:rsidRPr="00C57F87" w:rsidR="00C57F87">
        <w:rPr>
          <w:rFonts w:eastAsia="Arial Unicode MS" w:hint="default"/>
        </w:rPr>
        <w:t>prava sú</w:t>
      </w:r>
      <w:r w:rsidRPr="00C57F87" w:rsidR="00C57F87">
        <w:rPr>
          <w:rFonts w:eastAsia="Arial Unicode MS" w:hint="default"/>
        </w:rPr>
        <w:t>visiaca s bodom 1.</w:t>
      </w:r>
    </w:p>
    <w:p w:rsidR="007914AA" w:rsidRPr="00363EF9" w:rsidP="007914AA">
      <w:pPr>
        <w:pStyle w:val="Heading3"/>
        <w:bidi w:val="0"/>
        <w:rPr>
          <w:sz w:val="24"/>
          <w:szCs w:val="24"/>
        </w:rPr>
      </w:pPr>
      <w:r w:rsidRPr="00363EF9">
        <w:rPr>
          <w:sz w:val="24"/>
          <w:szCs w:val="24"/>
        </w:rPr>
        <w:t>K Čl. II</w:t>
      </w:r>
    </w:p>
    <w:p w:rsidR="00C57F87" w:rsidRPr="00363EF9" w:rsidP="00C57F87">
      <w:pPr>
        <w:bidi w:val="0"/>
        <w:rPr>
          <w:rFonts w:eastAsia="Arial Unicode MS"/>
          <w:b/>
          <w:sz w:val="24"/>
          <w:szCs w:val="24"/>
        </w:rPr>
      </w:pPr>
      <w:r w:rsidRPr="00363EF9">
        <w:rPr>
          <w:rFonts w:eastAsia="Arial Unicode MS"/>
          <w:b/>
          <w:sz w:val="24"/>
          <w:szCs w:val="24"/>
        </w:rPr>
        <w:t>K bodu 1:</w:t>
      </w:r>
    </w:p>
    <w:p w:rsidR="00A107B1" w:rsidRPr="00A107B1" w:rsidP="00A107B1">
      <w:pPr>
        <w:bidi w:val="0"/>
        <w:rPr>
          <w:rFonts w:eastAsia="Arial Unicode MS"/>
        </w:rPr>
      </w:pPr>
      <w:r>
        <w:rPr>
          <w:rFonts w:eastAsia="Arial Unicode MS" w:hint="default"/>
        </w:rPr>
        <w:t>Do zá</w:t>
      </w:r>
      <w:r>
        <w:rPr>
          <w:rFonts w:eastAsia="Arial Unicode MS" w:hint="default"/>
        </w:rPr>
        <w:t>kona č</w:t>
      </w:r>
      <w:r>
        <w:rPr>
          <w:rFonts w:eastAsia="Arial Unicode MS" w:hint="default"/>
        </w:rPr>
        <w:t xml:space="preserve">. 400/2009 </w:t>
      </w:r>
      <w:r w:rsidR="008123D0">
        <w:rPr>
          <w:rFonts w:eastAsia="Arial Unicode MS"/>
        </w:rPr>
        <w:t xml:space="preserve">Z.z. </w:t>
      </w:r>
      <w:r>
        <w:rPr>
          <w:rFonts w:eastAsia="Arial Unicode MS"/>
        </w:rPr>
        <w:t>o </w:t>
      </w:r>
      <w:r>
        <w:rPr>
          <w:rFonts w:eastAsia="Arial Unicode MS" w:hint="default"/>
        </w:rPr>
        <w:t>š</w:t>
      </w:r>
      <w:r>
        <w:rPr>
          <w:rFonts w:eastAsia="Arial Unicode MS" w:hint="default"/>
        </w:rPr>
        <w:t>tá</w:t>
      </w:r>
      <w:r>
        <w:rPr>
          <w:rFonts w:eastAsia="Arial Unicode MS" w:hint="default"/>
        </w:rPr>
        <w:t>tnej služ</w:t>
      </w:r>
      <w:r>
        <w:rPr>
          <w:rFonts w:eastAsia="Arial Unicode MS" w:hint="default"/>
        </w:rPr>
        <w:t>be sa do §</w:t>
      </w:r>
      <w:r>
        <w:rPr>
          <w:rFonts w:eastAsia="Arial Unicode MS" w:hint="default"/>
        </w:rPr>
        <w:t xml:space="preserve"> 47 dopĺň</w:t>
      </w:r>
      <w:r>
        <w:rPr>
          <w:rFonts w:eastAsia="Arial Unicode MS" w:hint="default"/>
        </w:rPr>
        <w:t>a ustanovenie o </w:t>
      </w:r>
      <w:r>
        <w:rPr>
          <w:rFonts w:eastAsia="Arial Unicode MS" w:hint="default"/>
        </w:rPr>
        <w:t>mož</w:t>
      </w:r>
      <w:r>
        <w:rPr>
          <w:rFonts w:eastAsia="Arial Unicode MS" w:hint="default"/>
        </w:rPr>
        <w:t>nosti vý</w:t>
      </w:r>
      <w:r>
        <w:rPr>
          <w:rFonts w:eastAsia="Arial Unicode MS" w:hint="default"/>
        </w:rPr>
        <w:t>povede š</w:t>
      </w:r>
      <w:r>
        <w:rPr>
          <w:rFonts w:eastAsia="Arial Unicode MS" w:hint="default"/>
        </w:rPr>
        <w:t>tá</w:t>
      </w:r>
      <w:r>
        <w:rPr>
          <w:rFonts w:eastAsia="Arial Unicode MS" w:hint="default"/>
        </w:rPr>
        <w:t>tnemu zamestnancovi  z </w:t>
      </w:r>
      <w:r>
        <w:rPr>
          <w:rFonts w:eastAsia="Arial Unicode MS" w:hint="default"/>
        </w:rPr>
        <w:t>dô</w:t>
      </w:r>
      <w:r>
        <w:rPr>
          <w:rFonts w:eastAsia="Arial Unicode MS" w:hint="default"/>
        </w:rPr>
        <w:t>vodu zí</w:t>
      </w:r>
      <w:r>
        <w:rPr>
          <w:rFonts w:eastAsia="Arial Unicode MS" w:hint="default"/>
        </w:rPr>
        <w:t>skania ná</w:t>
      </w:r>
      <w:r>
        <w:rPr>
          <w:rFonts w:eastAsia="Arial Unicode MS" w:hint="default"/>
        </w:rPr>
        <w:t>roku na starobný</w:t>
      </w:r>
      <w:r>
        <w:rPr>
          <w:rFonts w:eastAsia="Arial Unicode MS" w:hint="default"/>
        </w:rPr>
        <w:t xml:space="preserve"> dô</w:t>
      </w:r>
      <w:r>
        <w:rPr>
          <w:rFonts w:eastAsia="Arial Unicode MS" w:hint="default"/>
        </w:rPr>
        <w:t>chodok</w:t>
      </w:r>
      <w:r w:rsidR="00BC4C12">
        <w:rPr>
          <w:rFonts w:eastAsia="Arial Unicode MS"/>
        </w:rPr>
        <w:t>.</w:t>
      </w:r>
    </w:p>
    <w:p w:rsidR="007914AA" w:rsidP="007914AA">
      <w:pPr>
        <w:bidi w:val="0"/>
        <w:rPr>
          <w:rFonts w:eastAsia="Arial Unicode MS"/>
          <w:b/>
        </w:rPr>
      </w:pPr>
    </w:p>
    <w:p w:rsidR="00C57F87" w:rsidRPr="00363EF9" w:rsidP="00C57F87">
      <w:pPr>
        <w:bidi w:val="0"/>
        <w:rPr>
          <w:rFonts w:eastAsia="Arial Unicode MS"/>
          <w:b/>
          <w:sz w:val="24"/>
          <w:szCs w:val="24"/>
        </w:rPr>
      </w:pPr>
      <w:r w:rsidRPr="00363EF9">
        <w:rPr>
          <w:rFonts w:eastAsia="Arial Unicode MS"/>
          <w:b/>
          <w:sz w:val="24"/>
          <w:szCs w:val="24"/>
        </w:rPr>
        <w:t>K bodu 2:</w:t>
      </w:r>
    </w:p>
    <w:p w:rsidR="00C57F87" w:rsidRPr="00C57F87" w:rsidP="007914AA">
      <w:pPr>
        <w:bidi w:val="0"/>
        <w:rPr>
          <w:rFonts w:eastAsia="Arial Unicode MS" w:hint="default"/>
        </w:rPr>
      </w:pPr>
      <w:r w:rsidRPr="00C57F87">
        <w:rPr>
          <w:rFonts w:eastAsia="Arial Unicode MS"/>
        </w:rPr>
        <w:t>Legis</w:t>
      </w:r>
      <w:r w:rsidRPr="00C57F87">
        <w:rPr>
          <w:rFonts w:eastAsia="Arial Unicode MS" w:hint="default"/>
        </w:rPr>
        <w:t>latí</w:t>
      </w:r>
      <w:r w:rsidRPr="00C57F87">
        <w:rPr>
          <w:rFonts w:eastAsia="Arial Unicode MS" w:hint="default"/>
        </w:rPr>
        <w:t>vno</w:t>
      </w:r>
      <w:r>
        <w:rPr>
          <w:rFonts w:eastAsia="Arial Unicode MS"/>
        </w:rPr>
        <w:t>-</w:t>
      </w:r>
      <w:r w:rsidRPr="00C57F87">
        <w:rPr>
          <w:rFonts w:eastAsia="Arial Unicode MS" w:hint="default"/>
        </w:rPr>
        <w:t>technická</w:t>
      </w:r>
      <w:r w:rsidRPr="00C57F87">
        <w:rPr>
          <w:rFonts w:eastAsia="Arial Unicode MS" w:hint="default"/>
        </w:rPr>
        <w:t xml:space="preserve"> ú</w:t>
      </w:r>
      <w:r w:rsidRPr="00C57F87">
        <w:rPr>
          <w:rFonts w:eastAsia="Arial Unicode MS" w:hint="default"/>
        </w:rPr>
        <w:t>prava sú</w:t>
      </w:r>
      <w:r w:rsidRPr="00C57F87">
        <w:rPr>
          <w:rFonts w:eastAsia="Arial Unicode MS" w:hint="default"/>
        </w:rPr>
        <w:t>visiaca s bodom 1.</w:t>
      </w:r>
    </w:p>
    <w:p w:rsidR="007914AA" w:rsidP="007914AA">
      <w:pPr>
        <w:bidi w:val="0"/>
        <w:rPr>
          <w:rFonts w:eastAsia="Arial Unicode MS"/>
          <w:b/>
        </w:rPr>
      </w:pPr>
    </w:p>
    <w:p w:rsidR="007914AA" w:rsidRPr="00363EF9" w:rsidP="007914AA">
      <w:pPr>
        <w:pStyle w:val="Heading3"/>
        <w:bidi w:val="0"/>
        <w:rPr>
          <w:sz w:val="24"/>
          <w:szCs w:val="24"/>
        </w:rPr>
      </w:pPr>
      <w:r w:rsidRPr="00363EF9">
        <w:rPr>
          <w:sz w:val="24"/>
          <w:szCs w:val="24"/>
        </w:rPr>
        <w:t>K Čl. II</w:t>
      </w:r>
    </w:p>
    <w:p w:rsidR="00336991" w:rsidP="007914AA">
      <w:pPr>
        <w:bidi w:val="0"/>
        <w:jc w:val="both"/>
      </w:pPr>
      <w:r w:rsidR="007914AA">
        <w:t xml:space="preserve">Účinnosť zákona sa navrhuje od 1. </w:t>
      </w:r>
      <w:r w:rsidR="00053F8B">
        <w:t>marca</w:t>
      </w:r>
      <w:r w:rsidR="007914AA">
        <w:t xml:space="preserve">  2014.</w:t>
      </w:r>
    </w:p>
    <w:p w:rsidR="00336991" w:rsidP="001E00A8">
      <w:pPr>
        <w:bidi w:val="0"/>
        <w:jc w:val="both"/>
      </w:pPr>
    </w:p>
    <w:p w:rsidR="007914AA" w:rsidP="00336991">
      <w:pPr>
        <w:bidi w:val="0"/>
        <w:jc w:val="both"/>
      </w:pPr>
    </w:p>
    <w:p w:rsidR="007914AA" w:rsidP="00336991">
      <w:pPr>
        <w:bidi w:val="0"/>
        <w:jc w:val="both"/>
      </w:pPr>
    </w:p>
    <w:p w:rsidR="007914AA" w:rsidP="00336991">
      <w:pPr>
        <w:bidi w:val="0"/>
        <w:jc w:val="both"/>
      </w:pPr>
    </w:p>
    <w:sectPr w:rsidSect="001C1266">
      <w:footerReference w:type="default" r:id="rId4"/>
      <w:pgSz w:w="11906" w:h="16838"/>
      <w:pgMar w:top="1417" w:right="1417" w:bottom="1417" w:left="1417" w:header="567" w:footer="56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66">
    <w:pPr>
      <w:pStyle w:val="Footer"/>
      <w:bidi w:val="0"/>
      <w:jc w:val="right"/>
    </w:pPr>
    <w:r>
      <w:fldChar w:fldCharType="begin"/>
    </w:r>
    <w:r>
      <w:instrText>PAGE   \* MERGEFORMAT</w:instrText>
    </w:r>
    <w:r>
      <w:fldChar w:fldCharType="separate"/>
    </w:r>
    <w:r w:rsidR="000E68C7">
      <w:rPr>
        <w:noProof/>
      </w:rPr>
      <w:t>1</w:t>
    </w:r>
    <w:r>
      <w:fldChar w:fldCharType="end"/>
    </w:r>
  </w:p>
  <w:p w:rsidR="001C126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146C"/>
    <w:multiLevelType w:val="hybridMultilevel"/>
    <w:tmpl w:val="4E50B0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E00A8"/>
    <w:rsid w:val="00017519"/>
    <w:rsid w:val="00026540"/>
    <w:rsid w:val="00053F8B"/>
    <w:rsid w:val="000A5311"/>
    <w:rsid w:val="000C4A24"/>
    <w:rsid w:val="000E3652"/>
    <w:rsid w:val="000E68C7"/>
    <w:rsid w:val="000F1836"/>
    <w:rsid w:val="00185058"/>
    <w:rsid w:val="001C1266"/>
    <w:rsid w:val="001C3CE8"/>
    <w:rsid w:val="001E00A8"/>
    <w:rsid w:val="001E5D3F"/>
    <w:rsid w:val="002B301B"/>
    <w:rsid w:val="002B6F9D"/>
    <w:rsid w:val="00336991"/>
    <w:rsid w:val="00363EF9"/>
    <w:rsid w:val="003B47BE"/>
    <w:rsid w:val="003E4E1E"/>
    <w:rsid w:val="004C5340"/>
    <w:rsid w:val="00583100"/>
    <w:rsid w:val="00585525"/>
    <w:rsid w:val="00652602"/>
    <w:rsid w:val="006E70BC"/>
    <w:rsid w:val="00736224"/>
    <w:rsid w:val="007735FD"/>
    <w:rsid w:val="007914AA"/>
    <w:rsid w:val="007D22F9"/>
    <w:rsid w:val="007E2D35"/>
    <w:rsid w:val="00806750"/>
    <w:rsid w:val="008123D0"/>
    <w:rsid w:val="008123F8"/>
    <w:rsid w:val="00860688"/>
    <w:rsid w:val="008A15F3"/>
    <w:rsid w:val="008E1876"/>
    <w:rsid w:val="008E1A35"/>
    <w:rsid w:val="00967B22"/>
    <w:rsid w:val="0098415A"/>
    <w:rsid w:val="00990CF9"/>
    <w:rsid w:val="009B1600"/>
    <w:rsid w:val="009D1FBF"/>
    <w:rsid w:val="00A107B1"/>
    <w:rsid w:val="00B8142E"/>
    <w:rsid w:val="00BC4C12"/>
    <w:rsid w:val="00C2102E"/>
    <w:rsid w:val="00C57F87"/>
    <w:rsid w:val="00C64D69"/>
    <w:rsid w:val="00D10F0C"/>
    <w:rsid w:val="00D520B6"/>
    <w:rsid w:val="00D66912"/>
    <w:rsid w:val="00DB0AFC"/>
    <w:rsid w:val="00DB26C0"/>
    <w:rsid w:val="00E04C31"/>
    <w:rsid w:val="00E2787D"/>
    <w:rsid w:val="00E4660B"/>
    <w:rsid w:val="00EB5F8F"/>
    <w:rsid w:val="00EB6B10"/>
    <w:rsid w:val="00F25811"/>
    <w:rsid w:val="00F344BB"/>
    <w:rsid w:val="00F41C45"/>
    <w:rsid w:val="00FB50B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A8"/>
    <w:pPr>
      <w:framePr w:wrap="auto"/>
      <w:widowControl/>
      <w:suppressAutoHyphens/>
      <w:autoSpaceDE/>
      <w:autoSpaceDN/>
      <w:adjustRightInd/>
      <w:spacing w:line="276" w:lineRule="auto"/>
      <w:ind w:left="0" w:right="0"/>
      <w:jc w:val="left"/>
      <w:textAlignment w:val="auto"/>
    </w:pPr>
    <w:rPr>
      <w:rFonts w:ascii="Arial" w:hAnsi="Arial" w:cs="Arial"/>
      <w:color w:val="000000"/>
      <w:sz w:val="22"/>
      <w:szCs w:val="22"/>
      <w:rtl w:val="0"/>
      <w:cs w:val="0"/>
      <w:lang w:val="sk-SK" w:eastAsia="ar-SA" w:bidi="ar-SA"/>
    </w:rPr>
  </w:style>
  <w:style w:type="paragraph" w:styleId="Heading1">
    <w:name w:val="heading 1"/>
    <w:basedOn w:val="Normal"/>
    <w:next w:val="Normal"/>
    <w:link w:val="Heading1Char"/>
    <w:uiPriority w:val="9"/>
    <w:qFormat/>
    <w:rsid w:val="00583100"/>
    <w:pPr>
      <w:keepNext/>
      <w:keepLines/>
      <w:spacing w:before="480"/>
      <w:jc w:val="left"/>
      <w:outlineLvl w:val="0"/>
    </w:pPr>
    <w:rPr>
      <w:rFonts w:ascii="Cambria" w:hAnsi="Cambria" w:cs="Times New Roman"/>
      <w:b/>
      <w:bCs/>
      <w:color w:val="365F91"/>
      <w:sz w:val="28"/>
      <w:szCs w:val="28"/>
    </w:rPr>
  </w:style>
  <w:style w:type="paragraph" w:styleId="Heading3">
    <w:name w:val="heading 3"/>
    <w:basedOn w:val="Normal"/>
    <w:next w:val="Normal"/>
    <w:link w:val="Heading3Char"/>
    <w:uiPriority w:val="9"/>
    <w:qFormat/>
    <w:rsid w:val="007914AA"/>
    <w:pPr>
      <w:keepNext/>
      <w:spacing w:before="240" w:after="60" w:line="240" w:lineRule="auto"/>
      <w:jc w:val="left"/>
      <w:outlineLvl w:val="2"/>
    </w:pPr>
    <w:rPr>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583100"/>
    <w:rPr>
      <w:rFonts w:ascii="Cambria" w:hAnsi="Cambria" w:cs="Cambria"/>
      <w:b/>
      <w:color w:val="365F91"/>
      <w:sz w:val="28"/>
      <w:lang w:val="x-none" w:eastAsia="ar-SA" w:bidi="ar-SA"/>
    </w:rPr>
  </w:style>
  <w:style w:type="character" w:customStyle="1" w:styleId="Heading3Char">
    <w:name w:val="Heading 3 Char"/>
    <w:link w:val="Heading3"/>
    <w:uiPriority w:val="9"/>
    <w:locked/>
    <w:rsid w:val="007914AA"/>
    <w:rPr>
      <w:rFonts w:ascii="Arial" w:hAnsi="Arial" w:cs="Arial"/>
      <w:b/>
      <w:sz w:val="26"/>
      <w:lang w:val="x-none" w:eastAsia="ar-SA" w:bidi="ar-SA"/>
    </w:rPr>
  </w:style>
  <w:style w:type="paragraph" w:styleId="ListParagraph">
    <w:name w:val="List Paragraph"/>
    <w:basedOn w:val="Normal"/>
    <w:uiPriority w:val="34"/>
    <w:qFormat/>
    <w:rsid w:val="00860688"/>
    <w:pPr>
      <w:ind w:left="720"/>
      <w:contextualSpacing/>
      <w:jc w:val="left"/>
    </w:pPr>
  </w:style>
  <w:style w:type="paragraph" w:styleId="NormalWeb">
    <w:name w:val="Normal (Web)"/>
    <w:basedOn w:val="Normal"/>
    <w:uiPriority w:val="99"/>
    <w:unhideWhenUsed/>
    <w:rsid w:val="002B6F9D"/>
    <w:pPr>
      <w:suppressAutoHyphens w:val="0"/>
      <w:spacing w:before="100" w:beforeAutospacing="1" w:after="100" w:afterAutospacing="1" w:line="240" w:lineRule="auto"/>
      <w:jc w:val="left"/>
    </w:pPr>
    <w:rPr>
      <w:rFonts w:ascii="Times New Roman" w:hAnsi="Times New Roman" w:cs="Times New Roman"/>
      <w:color w:val="auto"/>
      <w:sz w:val="24"/>
      <w:szCs w:val="24"/>
      <w:lang w:eastAsia="sk-SK"/>
    </w:rPr>
  </w:style>
  <w:style w:type="paragraph" w:styleId="Header">
    <w:name w:val="header"/>
    <w:basedOn w:val="Normal"/>
    <w:link w:val="HeaderChar"/>
    <w:uiPriority w:val="99"/>
    <w:unhideWhenUsed/>
    <w:rsid w:val="001C1266"/>
    <w:pPr>
      <w:tabs>
        <w:tab w:val="center" w:pos="4536"/>
        <w:tab w:val="right" w:pos="9072"/>
      </w:tabs>
      <w:jc w:val="left"/>
    </w:pPr>
    <w:rPr>
      <w:rFonts w:cs="Times New Roman"/>
    </w:rPr>
  </w:style>
  <w:style w:type="character" w:customStyle="1" w:styleId="HeaderChar">
    <w:name w:val="Header Char"/>
    <w:link w:val="Header"/>
    <w:uiPriority w:val="99"/>
    <w:locked/>
    <w:rsid w:val="001C1266"/>
    <w:rPr>
      <w:rFonts w:ascii="Arial" w:hAnsi="Arial" w:cs="Arial"/>
      <w:color w:val="000000"/>
      <w:sz w:val="22"/>
      <w:lang w:val="x-none" w:eastAsia="ar-SA" w:bidi="ar-SA"/>
    </w:rPr>
  </w:style>
  <w:style w:type="paragraph" w:styleId="Footer">
    <w:name w:val="footer"/>
    <w:basedOn w:val="Normal"/>
    <w:link w:val="FooterChar"/>
    <w:uiPriority w:val="99"/>
    <w:unhideWhenUsed/>
    <w:rsid w:val="001C1266"/>
    <w:pPr>
      <w:tabs>
        <w:tab w:val="center" w:pos="4536"/>
        <w:tab w:val="right" w:pos="9072"/>
      </w:tabs>
      <w:jc w:val="left"/>
    </w:pPr>
    <w:rPr>
      <w:rFonts w:cs="Times New Roman"/>
    </w:rPr>
  </w:style>
  <w:style w:type="character" w:customStyle="1" w:styleId="FooterChar">
    <w:name w:val="Footer Char"/>
    <w:link w:val="Footer"/>
    <w:uiPriority w:val="99"/>
    <w:locked/>
    <w:rsid w:val="001C1266"/>
    <w:rPr>
      <w:rFonts w:ascii="Arial" w:hAnsi="Arial" w:cs="Arial"/>
      <w:color w:val="000000"/>
      <w:sz w:val="22"/>
      <w:lang w:val="x-none" w:eastAsia="ar-SA"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971</Words>
  <Characters>5536</Characters>
  <Application>Microsoft Office Word</Application>
  <DocSecurity>0</DocSecurity>
  <Lines>0</Lines>
  <Paragraphs>0</Paragraphs>
  <ScaleCrop>false</ScaleCrop>
  <Company>Kancelaria NR SR</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Monika_Gibalova@nrsr.sk</dc:creator>
  <cp:lastModifiedBy>Gašparíková, Jarmila</cp:lastModifiedBy>
  <cp:revision>2</cp:revision>
  <cp:lastPrinted>2013-11-04T09:55:00Z</cp:lastPrinted>
  <dcterms:created xsi:type="dcterms:W3CDTF">2013-11-06T12:13:00Z</dcterms:created>
  <dcterms:modified xsi:type="dcterms:W3CDTF">2013-11-06T12:13:00Z</dcterms:modified>
</cp:coreProperties>
</file>