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1D06" w:rsidRPr="00242F11" w:rsidP="00521D06">
      <w:pPr>
        <w:bidi w:val="0"/>
        <w:jc w:val="center"/>
        <w:rPr>
          <w:rFonts w:ascii="Times New Roman" w:hAnsi="Times New Roman"/>
          <w:b/>
          <w:bCs/>
        </w:rPr>
      </w:pPr>
      <w:r w:rsidRPr="00242F11">
        <w:rPr>
          <w:rFonts w:ascii="Times New Roman" w:hAnsi="Times New Roman"/>
          <w:b/>
          <w:bCs/>
        </w:rPr>
        <w:t>DOLOŽKA ZLUČITEĽNOSTI</w:t>
      </w:r>
    </w:p>
    <w:p w:rsidR="00521D06" w:rsidRPr="00242F11" w:rsidP="00521D06">
      <w:pPr>
        <w:bidi w:val="0"/>
        <w:jc w:val="center"/>
        <w:rPr>
          <w:rFonts w:ascii="Times New Roman" w:hAnsi="Times New Roman"/>
          <w:b/>
          <w:bCs/>
        </w:rPr>
      </w:pPr>
      <w:r w:rsidRPr="00242F11">
        <w:rPr>
          <w:rFonts w:ascii="Times New Roman" w:hAnsi="Times New Roman"/>
          <w:b/>
          <w:bCs/>
        </w:rPr>
        <w:t>návrhu zákona s právom Európskej únie</w:t>
      </w:r>
    </w:p>
    <w:p w:rsidR="00521D06" w:rsidP="00521D06">
      <w:pPr>
        <w:bidi w:val="0"/>
        <w:rPr>
          <w:rFonts w:ascii="Times New Roman" w:hAnsi="Times New Roman"/>
        </w:rPr>
      </w:pPr>
    </w:p>
    <w:p w:rsidR="00521D06" w:rsidP="00521D06">
      <w:pPr>
        <w:widowControl w:val="0"/>
        <w:autoSpaceDE w:val="0"/>
        <w:autoSpaceDN w:val="0"/>
        <w:bidi w:val="0"/>
        <w:adjustRightInd w:val="0"/>
        <w:ind w:right="420"/>
        <w:jc w:val="center"/>
        <w:rPr>
          <w:rFonts w:ascii="TimesNewRomanPSMT" w:hAnsi="TimesNewRomanPSMT" w:cs="TimesNewRomanPSMT"/>
          <w:b/>
          <w:bCs/>
          <w:kern w:val="1"/>
        </w:rPr>
      </w:pPr>
      <w:r>
        <w:rPr>
          <w:rFonts w:ascii="TimesNewRomanPSMT" w:hAnsi="TimesNewRomanPSMT" w:cs="TimesNewRomanPSMT"/>
          <w:b/>
          <w:bCs/>
          <w:spacing w:val="30"/>
          <w:kern w:val="1"/>
        </w:rPr>
        <w:t>Doložka zlučiteľnosti</w:t>
      </w:r>
    </w:p>
    <w:p w:rsidR="00521D06" w:rsidP="00521D06">
      <w:pPr>
        <w:widowControl w:val="0"/>
        <w:autoSpaceDE w:val="0"/>
        <w:autoSpaceDN w:val="0"/>
        <w:bidi w:val="0"/>
        <w:adjustRightInd w:val="0"/>
        <w:ind w:right="420"/>
        <w:jc w:val="center"/>
        <w:rPr>
          <w:rFonts w:ascii="TimesNewRomanPSMT" w:hAnsi="TimesNewRomanPSMT" w:cs="TimesNewRomanPSMT"/>
          <w:kern w:val="1"/>
        </w:rPr>
      </w:pPr>
      <w:r>
        <w:rPr>
          <w:rFonts w:ascii="TimesNewRomanPSMT" w:hAnsi="TimesNewRomanPSMT" w:cs="TimesNewRomanPSMT"/>
          <w:b/>
          <w:bCs/>
          <w:kern w:val="1"/>
        </w:rPr>
        <w:t>právneho predpisu s právom Európskej únie </w:t>
      </w:r>
    </w:p>
    <w:p w:rsidR="00521D06" w:rsidP="00521D06">
      <w:pPr>
        <w:widowControl w:val="0"/>
        <w:autoSpaceDE w:val="0"/>
        <w:autoSpaceDN w:val="0"/>
        <w:bidi w:val="0"/>
        <w:adjustRightInd w:val="0"/>
        <w:ind w:right="420"/>
        <w:rPr>
          <w:rFonts w:ascii="TimesNewRomanPSMT" w:hAnsi="TimesNewRomanPSMT" w:cs="TimesNewRomanPSMT"/>
          <w:kern w:val="1"/>
        </w:rPr>
      </w:pPr>
    </w:p>
    <w:p w:rsidR="00521D06" w:rsidP="00521D06">
      <w:pPr>
        <w:widowControl w:val="0"/>
        <w:autoSpaceDE w:val="0"/>
        <w:autoSpaceDN w:val="0"/>
        <w:bidi w:val="0"/>
        <w:adjustRightInd w:val="0"/>
        <w:ind w:right="420"/>
        <w:rPr>
          <w:rFonts w:ascii="TimesNewRomanPSMT" w:hAnsi="TimesNewRomanPSMT" w:cs="TimesNewRomanPSMT"/>
          <w:kern w:val="1"/>
        </w:rPr>
      </w:pPr>
    </w:p>
    <w:p w:rsidR="00521D06" w:rsidRPr="00242F11" w:rsidP="00521D06">
      <w:pPr>
        <w:bidi w:val="0"/>
        <w:jc w:val="both"/>
        <w:rPr>
          <w:rFonts w:ascii="Times New Roman" w:hAnsi="Times New Roman"/>
        </w:rPr>
      </w:pPr>
      <w:r>
        <w:rPr>
          <w:rFonts w:ascii="TimesNewRomanPSMT" w:hAnsi="TimesNewRomanPSMT" w:cs="TimesNewRomanPSMT"/>
          <w:b/>
          <w:bCs/>
          <w:kern w:val="1"/>
        </w:rPr>
        <w:t>1.</w:t>
        <w:tab/>
      </w:r>
      <w:r w:rsidRPr="00242F11">
        <w:rPr>
          <w:rFonts w:ascii="Times New Roman" w:hAnsi="Times New Roman"/>
          <w:b/>
          <w:bCs/>
        </w:rPr>
        <w:t>Navrhovateľ zákona</w:t>
      </w:r>
      <w:r w:rsidRPr="00242F11">
        <w:rPr>
          <w:rFonts w:ascii="Times New Roman" w:hAnsi="Times New Roman"/>
        </w:rPr>
        <w:t xml:space="preserve">: </w:t>
      </w:r>
      <w:r>
        <w:rPr>
          <w:rFonts w:ascii="Times New Roman" w:hAnsi="Times New Roman"/>
        </w:rPr>
        <w:t>Dušan Jarjabek,</w:t>
      </w:r>
      <w:r w:rsidR="00F52A62">
        <w:rPr>
          <w:rFonts w:ascii="Times New Roman" w:hAnsi="Times New Roman"/>
        </w:rPr>
        <w:t xml:space="preserve"> Miroslav Číž, Boris Susko poslan</w:t>
      </w:r>
      <w:r>
        <w:rPr>
          <w:rFonts w:ascii="Times New Roman" w:hAnsi="Times New Roman"/>
        </w:rPr>
        <w:t>c</w:t>
      </w:r>
      <w:r w:rsidR="00F52A62">
        <w:rPr>
          <w:rFonts w:ascii="Times New Roman" w:hAnsi="Times New Roman"/>
        </w:rPr>
        <w:t>i</w:t>
      </w:r>
      <w:r>
        <w:rPr>
          <w:rFonts w:ascii="Times New Roman" w:hAnsi="Times New Roman"/>
        </w:rPr>
        <w:t xml:space="preserve"> </w:t>
      </w:r>
      <w:r w:rsidRPr="00242F11">
        <w:rPr>
          <w:rFonts w:ascii="Times New Roman" w:hAnsi="Times New Roman"/>
        </w:rPr>
        <w:t xml:space="preserve">Národnej rady Slovenskej republiky </w:t>
      </w:r>
    </w:p>
    <w:p w:rsidR="00521D06" w:rsidRPr="00242F11" w:rsidP="00521D06">
      <w:pPr>
        <w:bidi w:val="0"/>
        <w:jc w:val="both"/>
        <w:rPr>
          <w:rFonts w:ascii="Times New Roman" w:hAnsi="Times New Roman"/>
        </w:rPr>
      </w:pPr>
    </w:p>
    <w:p w:rsidR="00521D06" w:rsidP="00521D06">
      <w:pPr>
        <w:widowControl w:val="0"/>
        <w:autoSpaceDE w:val="0"/>
        <w:autoSpaceDN w:val="0"/>
        <w:bidi w:val="0"/>
        <w:adjustRightInd w:val="0"/>
        <w:ind w:left="705" w:right="420" w:hanging="705"/>
        <w:jc w:val="both"/>
        <w:rPr>
          <w:rFonts w:ascii="TimesNewRomanPSMT" w:hAnsi="TimesNewRomanPSMT" w:cs="TimesNewRomanPSMT"/>
          <w:kern w:val="1"/>
        </w:rPr>
      </w:pPr>
      <w:r>
        <w:rPr>
          <w:rFonts w:ascii="TimesNewRomanPSMT" w:hAnsi="TimesNewRomanPSMT" w:cs="TimesNewRomanPSMT"/>
          <w:b/>
          <w:bCs/>
          <w:kern w:val="1"/>
        </w:rPr>
        <w:t>2.</w:t>
        <w:tab/>
        <w:tab/>
        <w:t>Názov návrhu právneho predpisu:</w:t>
      </w:r>
      <w:r>
        <w:rPr>
          <w:rFonts w:ascii="TimesNewRomanPSMT" w:hAnsi="TimesNewRomanPSMT" w:cs="TimesNewRomanPSMT"/>
          <w:kern w:val="1"/>
        </w:rPr>
        <w:t xml:space="preserve"> Návrh zákona, ktorým sa mení a dopĺňa zákon č. 25/2006 Z. z. o verejnom obstarávaní a o zmene a doplnení niektorých zákonov v znení neskorších predpisov </w:t>
      </w:r>
    </w:p>
    <w:p w:rsidR="00521D06" w:rsidP="00521D06">
      <w:pPr>
        <w:widowControl w:val="0"/>
        <w:autoSpaceDE w:val="0"/>
        <w:autoSpaceDN w:val="0"/>
        <w:bidi w:val="0"/>
        <w:adjustRightInd w:val="0"/>
        <w:ind w:right="420"/>
        <w:rPr>
          <w:rFonts w:ascii="TimesNewRomanPSMT" w:hAnsi="TimesNewRomanPSMT" w:cs="TimesNewRomanPSMT"/>
          <w:kern w:val="1"/>
        </w:rPr>
      </w:pPr>
    </w:p>
    <w:p w:rsidR="00521D06" w:rsidP="00521D06">
      <w:pPr>
        <w:widowControl w:val="0"/>
        <w:autoSpaceDE w:val="0"/>
        <w:autoSpaceDN w:val="0"/>
        <w:bidi w:val="0"/>
        <w:adjustRightInd w:val="0"/>
        <w:ind w:left="360" w:right="420" w:hanging="360"/>
        <w:rPr>
          <w:rFonts w:ascii="TimesNewRomanPSMT" w:hAnsi="TimesNewRomanPSMT" w:cs="TimesNewRomanPSMT"/>
          <w:kern w:val="1"/>
        </w:rPr>
      </w:pPr>
      <w:r>
        <w:rPr>
          <w:rFonts w:ascii="TimesNewRomanPSMT" w:hAnsi="TimesNewRomanPSMT" w:cs="TimesNewRomanPSMT"/>
          <w:b/>
          <w:bCs/>
          <w:kern w:val="1"/>
        </w:rPr>
        <w:t>3.</w:t>
        <w:tab/>
        <w:t>Problematika návrhu právneho predpisu:</w:t>
      </w:r>
    </w:p>
    <w:p w:rsidR="00521D06" w:rsidP="00521D06">
      <w:pPr>
        <w:widowControl w:val="0"/>
        <w:autoSpaceDE w:val="0"/>
        <w:autoSpaceDN w:val="0"/>
        <w:bidi w:val="0"/>
        <w:adjustRightInd w:val="0"/>
        <w:ind w:right="420" w:firstLine="360"/>
        <w:rPr>
          <w:rFonts w:ascii="TimesNewRomanPSMT" w:hAnsi="TimesNewRomanPSMT" w:cs="TimesNewRomanPSMT"/>
          <w:kern w:val="1"/>
        </w:rPr>
      </w:pPr>
    </w:p>
    <w:p w:rsidR="00521D06" w:rsidP="00521D06">
      <w:pPr>
        <w:widowControl w:val="0"/>
        <w:autoSpaceDE w:val="0"/>
        <w:autoSpaceDN w:val="0"/>
        <w:bidi w:val="0"/>
        <w:adjustRightInd w:val="0"/>
        <w:ind w:left="709" w:right="420" w:hanging="349"/>
        <w:rPr>
          <w:rFonts w:ascii="TimesNewRomanPSMT" w:hAnsi="TimesNewRomanPSMT" w:cs="TimesNewRomanPSMT"/>
          <w:kern w:val="1"/>
        </w:rPr>
      </w:pPr>
      <w:r>
        <w:rPr>
          <w:rFonts w:ascii="TimesNewRomanPSMT" w:hAnsi="TimesNewRomanPSMT" w:cs="TimesNewRomanPSMT"/>
          <w:kern w:val="1"/>
        </w:rPr>
        <w:t>a)</w:t>
        <w:tab/>
        <w:t>je upravená v práve Európskej únie</w:t>
      </w:r>
    </w:p>
    <w:p w:rsidR="00521D06" w:rsidP="00521D06">
      <w:pPr>
        <w:widowControl w:val="0"/>
        <w:autoSpaceDE w:val="0"/>
        <w:autoSpaceDN w:val="0"/>
        <w:bidi w:val="0"/>
        <w:adjustRightInd w:val="0"/>
        <w:ind w:left="360" w:right="420"/>
        <w:rPr>
          <w:rFonts w:ascii="TimesNewRomanPSMT" w:hAnsi="TimesNewRomanPSMT" w:cs="TimesNewRomanPSMT"/>
          <w:kern w:val="1"/>
        </w:rPr>
      </w:pPr>
    </w:p>
    <w:p w:rsidR="00521D06" w:rsidP="00521D06">
      <w:pPr>
        <w:widowControl w:val="0"/>
        <w:tabs>
          <w:tab w:val="left" w:pos="879"/>
          <w:tab w:val="left" w:pos="1068"/>
        </w:tabs>
        <w:autoSpaceDE w:val="0"/>
        <w:autoSpaceDN w:val="0"/>
        <w:bidi w:val="0"/>
        <w:adjustRightInd w:val="0"/>
        <w:ind w:left="879" w:right="420" w:hanging="171"/>
        <w:rPr>
          <w:rFonts w:ascii="TimesNewRomanPSMT" w:hAnsi="TimesNewRomanPSMT" w:cs="TimesNewRomanPSMT"/>
          <w:kern w:val="1"/>
        </w:rPr>
      </w:pPr>
      <w:r>
        <w:rPr>
          <w:rFonts w:ascii="TimesNewRomanPSMT" w:hAnsi="TimesNewRomanPSMT" w:cs="TimesNewRomanPSMT"/>
          <w:kern w:val="1"/>
        </w:rPr>
        <w:t>-</w:t>
        <w:tab/>
      </w:r>
      <w:r>
        <w:rPr>
          <w:rFonts w:ascii="TimesNewRomanPSMT" w:hAnsi="TimesNewRomanPSMT" w:cs="TimesNewRomanPSMT"/>
          <w:i/>
          <w:iCs/>
          <w:kern w:val="1"/>
        </w:rPr>
        <w:t>primárnom</w:t>
      </w:r>
    </w:p>
    <w:p w:rsidR="00521D06" w:rsidP="00521D06">
      <w:pPr>
        <w:widowControl w:val="0"/>
        <w:autoSpaceDE w:val="0"/>
        <w:autoSpaceDN w:val="0"/>
        <w:bidi w:val="0"/>
        <w:adjustRightInd w:val="0"/>
        <w:ind w:left="851" w:right="420"/>
        <w:rPr>
          <w:rFonts w:ascii="TimesNewRomanPSMT" w:hAnsi="TimesNewRomanPSMT" w:cs="TimesNewRomanPSMT"/>
          <w:kern w:val="1"/>
        </w:rPr>
      </w:pPr>
    </w:p>
    <w:p w:rsidR="00521D06" w:rsidP="00521D06">
      <w:pPr>
        <w:widowControl w:val="0"/>
        <w:autoSpaceDE w:val="0"/>
        <w:autoSpaceDN w:val="0"/>
        <w:bidi w:val="0"/>
        <w:adjustRightInd w:val="0"/>
        <w:ind w:left="851" w:right="420"/>
        <w:rPr>
          <w:rFonts w:ascii="TimesNewRomanPSMT" w:hAnsi="TimesNewRomanPSMT" w:cs="TimesNewRomanPSMT"/>
          <w:kern w:val="1"/>
        </w:rPr>
      </w:pPr>
      <w:r>
        <w:rPr>
          <w:rFonts w:ascii="TimesNewRomanPSMT" w:hAnsi="TimesNewRomanPSMT" w:cs="TimesNewRomanPSMT"/>
          <w:kern w:val="1"/>
        </w:rPr>
        <w:t>Zmluva o Európskej únii a Zmluva o fungovaní Európskej únie - čl. 192 ods. 1 </w:t>
      </w:r>
    </w:p>
    <w:p w:rsidR="00521D06" w:rsidP="00521D06">
      <w:pPr>
        <w:widowControl w:val="0"/>
        <w:autoSpaceDE w:val="0"/>
        <w:autoSpaceDN w:val="0"/>
        <w:bidi w:val="0"/>
        <w:adjustRightInd w:val="0"/>
        <w:ind w:right="420" w:firstLine="360"/>
        <w:rPr>
          <w:rFonts w:ascii="TimesNewRomanPSMT" w:hAnsi="TimesNewRomanPSMT" w:cs="TimesNewRomanPSMT"/>
          <w:kern w:val="1"/>
        </w:rPr>
      </w:pPr>
    </w:p>
    <w:p w:rsidR="00521D06" w:rsidP="00521D06">
      <w:pPr>
        <w:widowControl w:val="0"/>
        <w:tabs>
          <w:tab w:val="left" w:pos="879"/>
          <w:tab w:val="left" w:pos="1068"/>
        </w:tabs>
        <w:autoSpaceDE w:val="0"/>
        <w:autoSpaceDN w:val="0"/>
        <w:bidi w:val="0"/>
        <w:adjustRightInd w:val="0"/>
        <w:ind w:left="879" w:right="420" w:hanging="171"/>
        <w:rPr>
          <w:rFonts w:ascii="TimesNewRomanPSMT" w:hAnsi="TimesNewRomanPSMT" w:cs="TimesNewRomanPSMT"/>
          <w:i/>
          <w:iCs/>
          <w:kern w:val="1"/>
        </w:rPr>
      </w:pPr>
      <w:r>
        <w:rPr>
          <w:rFonts w:ascii="TimesNewRomanPSMT" w:hAnsi="TimesNewRomanPSMT" w:cs="TimesNewRomanPSMT"/>
          <w:i/>
          <w:iCs/>
          <w:kern w:val="1"/>
        </w:rPr>
        <w:t>-</w:t>
        <w:tab/>
        <w:t>sekundárnom (prijatom po nadobudnutím platnosti Lisabonskej zmluvy, ktorou sa mení a dopĺňa Zmluva o Európskom spoločenstve a Zmluva o Európskej únii – po 30. novembri 2009)</w:t>
      </w:r>
    </w:p>
    <w:p w:rsidR="00521D06" w:rsidP="00521D06">
      <w:pPr>
        <w:widowControl w:val="0"/>
        <w:tabs>
          <w:tab w:val="left" w:pos="879"/>
          <w:tab w:val="left" w:pos="1068"/>
        </w:tabs>
        <w:autoSpaceDE w:val="0"/>
        <w:autoSpaceDN w:val="0"/>
        <w:bidi w:val="0"/>
        <w:adjustRightInd w:val="0"/>
        <w:ind w:left="879" w:right="420" w:hanging="171"/>
        <w:rPr>
          <w:rFonts w:ascii="TimesNewRomanPSMT" w:hAnsi="TimesNewRomanPSMT" w:cs="TimesNewRomanPSMT"/>
          <w:i/>
          <w:iCs/>
          <w:kern w:val="1"/>
        </w:rPr>
      </w:pPr>
    </w:p>
    <w:p w:rsidR="00521D06" w:rsidP="00521D06">
      <w:pPr>
        <w:widowControl w:val="0"/>
        <w:autoSpaceDE w:val="0"/>
        <w:autoSpaceDN w:val="0"/>
        <w:bidi w:val="0"/>
        <w:adjustRightInd w:val="0"/>
        <w:ind w:left="851" w:right="420"/>
        <w:rPr>
          <w:rFonts w:ascii="TimesNewRomanPSMT" w:hAnsi="TimesNewRomanPSMT" w:cs="TimesNewRomanPSMT"/>
          <w:kern w:val="1"/>
        </w:rPr>
      </w:pPr>
      <w:r>
        <w:rPr>
          <w:rFonts w:ascii="TimesNewRomanPSMT" w:hAnsi="TimesNewRomanPSMT" w:cs="TimesNewRomanPSMT"/>
          <w:kern w:val="1"/>
        </w:rPr>
        <w:t>1.</w:t>
        <w:tab/>
        <w:t xml:space="preserve">legislatívne akty </w:t>
      </w:r>
    </w:p>
    <w:p w:rsidR="00521D06" w:rsidP="00521D06">
      <w:pPr>
        <w:widowControl w:val="0"/>
        <w:autoSpaceDE w:val="0"/>
        <w:autoSpaceDN w:val="0"/>
        <w:bidi w:val="0"/>
        <w:adjustRightInd w:val="0"/>
        <w:ind w:right="420" w:firstLine="360"/>
        <w:rPr>
          <w:rFonts w:ascii="TimesNewRomanPSMT" w:hAnsi="TimesNewRomanPSMT" w:cs="TimesNewRomanPSMT"/>
          <w:kern w:val="1"/>
        </w:rPr>
      </w:pPr>
    </w:p>
    <w:p w:rsidR="00521D06" w:rsidP="00521D06">
      <w:pPr>
        <w:widowControl w:val="0"/>
        <w:autoSpaceDE w:val="0"/>
        <w:autoSpaceDN w:val="0"/>
        <w:bidi w:val="0"/>
        <w:adjustRightInd w:val="0"/>
        <w:ind w:left="851" w:right="420"/>
        <w:rPr>
          <w:rFonts w:ascii="TimesNewRomanPSMT" w:hAnsi="TimesNewRomanPSMT" w:cs="TimesNewRomanPSMT"/>
          <w:kern w:val="1"/>
        </w:rPr>
      </w:pPr>
      <w:r>
        <w:rPr>
          <w:rFonts w:ascii="TimesNewRomanPSMT" w:hAnsi="TimesNewRomanPSMT" w:cs="TimesNewRomanPSMT"/>
          <w:kern w:val="1"/>
        </w:rPr>
        <w:t> 2.</w:t>
        <w:tab/>
        <w:t>nelegislatívne akty</w:t>
      </w:r>
      <w:r>
        <w:rPr>
          <w:rFonts w:ascii="TimesNewRomanPSMT" w:hAnsi="TimesNewRomanPSMT" w:cs="TimesNewRomanPSMT"/>
          <w:i/>
          <w:iCs/>
          <w:kern w:val="1"/>
        </w:rPr>
        <w:t xml:space="preserve"> </w:t>
      </w:r>
    </w:p>
    <w:p w:rsidR="00521D06" w:rsidP="00521D06">
      <w:pPr>
        <w:widowControl w:val="0"/>
        <w:autoSpaceDE w:val="0"/>
        <w:autoSpaceDN w:val="0"/>
        <w:bidi w:val="0"/>
        <w:adjustRightInd w:val="0"/>
        <w:ind w:right="420" w:firstLine="708"/>
        <w:jc w:val="both"/>
        <w:rPr>
          <w:rFonts w:ascii="TimesNewRomanPSMT" w:hAnsi="TimesNewRomanPSMT" w:cs="TimesNewRomanPSMT"/>
          <w:kern w:val="1"/>
        </w:rPr>
      </w:pP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w:t>
        <w:tab/>
      </w:r>
      <w:r>
        <w:rPr>
          <w:rFonts w:ascii="TimesNewRomanPSMT" w:hAnsi="TimesNewRomanPSMT" w:cs="TimesNewRomanPSMT"/>
          <w:i/>
          <w:iCs/>
          <w:kern w:val="1"/>
        </w:rPr>
        <w:t>sekundárnom (prijatom pred nadobudnutím platnosti Lisabonskej zmluvy, ktorou sa mení a dopĺňa Zmluva o Európskom spoločenstve a Zmluva o Európskej únii – do 30. novembra 2009)</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 xml:space="preserve"> </w:t>
        <w:tab/>
        <w:t xml:space="preserve">Smernica 2004/17/ES Európskeho parlamentu a Rady z 31. marca 2004 o koordinácii postupov obstarávania subjektov pôsobiacich v odvetviach vodného hospodárstva, energetiky, dopravy a poštových služieb (Mimoriadne vydanie Ú. v. EÚ kap. 6/zv. 7),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Smernica 2004/18/ES Európskeho parlamentu a Rady z 31. marca 2004 o koordinácii postupov pri zadávaní verejných zákaziek na práce, verejných zákaziek na dodávku tovaru a verejných zákaziek na služby (Mimoriadne vydanie Ú. v. EÚ kap. 6/zv. 7),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Smernica Komisie 2005/51/ES zo 7. septembra 2005, ktorou sa mení a dopĺňa príloha XX k smernici Európskeho parlamentu a Rady 2004/17/ES a príloha VIII k smernici Európskeho parlamentu a Rady 2004/18/ES o verejnom obstarávaní (Ú. v. EÚ, L 257, 1. október 2005),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Smernica Európskeho parlamentu a Rady 2005/75/ES zo 16. novembra 2005, ktorou sa opravuje smernica 2004/18/ES o koordinácii postupov zadávania verejných zákaziek na práce, verejných zákaziek na dodávku tovaru a verejných zákaziek na služby (Ú. v. EÚ, L 323, 9. december 2005),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Smernica Rady 89/665/EHS z 21. decembra 1989 o koordinácii zákonov, iných právnych predpisov a správnych opatrení týkajúcich sa uplatňovania postupov a preskúmavania v rámci verejného obstarávania tovarov a prác (Mimoriadne vydanie Ú. v. EÚ kap. 6/zv. 1),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Smernica Rady 92/13/EHS z 25. februára 1992, ktorou sa koordinujú zákony, iné právne predpisy a správne opatrenia o uplatňovaní právnych prepisov spoločenstva o postupoch verejného obstarávania subjektov pôsobiacich vo vodnom, energetickom, dopravnom a telekomunikačnom sektore (Mimoriadne vydanie Ú. v. EÚ kap. 6/zv. 1),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r>
      <w:r>
        <w:rPr>
          <w:rFonts w:ascii="MS Mincho" w:eastAsia="MS Mincho" w:hAnsi="MS Mincho" w:cs="MS Mincho" w:hint="eastAsia"/>
          <w:kern w:val="1"/>
        </w:rPr>
        <w:t> </w:t>
      </w:r>
      <w:r>
        <w:rPr>
          <w:rFonts w:ascii="TimesNewRomanPSMT" w:hAnsi="TimesNewRomanPSMT" w:cs="TimesNewRomanPSMT"/>
          <w:kern w:val="1"/>
        </w:rPr>
        <w:t xml:space="preserve">Smernica Európskeho parlamentu a Rady 2007/66/ES z 11. decembra 2007, ktorou sa menia a dopĺňajú smernice Rady 89/665/EHS a 92/13/EHS, pokiaľ ide o zvýšenie účinnosti postupov preskúmania v oblasti zadávania verejných zákaziek (Ú. v. EÚ L 335/31, 20. december 2007),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Nariadenie (ES) č. 2195/2002 Európskeho parlamentu a Rady z 5. novembra 2002 o spoločnom slovníku obstarávania (CPV) (Ú. v. ES L 340, 16. decembra 2002),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Nariadenie Komisie (ES) č. 2151/2003 zo 16. decembra 2003, ktorým sa mení a dopĺňa nariadenie Európskeho parlamentu a Rady (ES) č. 2195/2002 o Spoločnom slovníku obstarávania (CPV) (Mimoriadne vydanie Ú. v. EÚ kap. 6/zv. 6),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Nariadenie Komisie (ES) č. 213/2008 z 28. novembra 2007, ktorým sa mení a dopĺňa nariadenie Európskeho parlamentu a Rady (ES) č. 2195/2002 o Spoločnom slovníku obstarávania (CPV) a smernice Európskeho parlamentu a Rady 2004/17/ES a 2004/18/ES o postupoch verejného obstarávania, pokiaľ ide o revíziu CPV (Ú.v. EÚ L 74,1, 15. marca 2008),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Nariadenie Komisie (ES) č. 1564/2005 zo 7. septembra 2005, ktorým sa ustanovujú štandardné formuláre na zverejňovanie oznámení v rámci postupov verejného obstarávania podľa smerníc Európskeho parlamentu a Rady 2004/17/ES a 2004/18/ES (Ú. v. EÚ, L 257, 1. október 2005),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Nariadenie Komisie (ES) č. 1150/2009 z 10. novembra 2009, ktorým sa mení a dopĺňa nariadenie (ES) č. 1564/2005, pokiaľ ide o štandardné formuláre na uverejňovanie oznámení v rámci verejného obstarávania v súlade so smernicami Rady 89/665/EHS a 92/13/EHS (Ú. v. EÚ, L 313, 28. novembra 2009), </w:t>
      </w:r>
      <w:r>
        <w:rPr>
          <w:rFonts w:ascii="MS Mincho" w:eastAsia="MS Mincho" w:hAnsi="MS Mincho" w:cs="MS Mincho" w:hint="eastAsia"/>
          <w:kern w:val="1"/>
        </w:rPr>
        <w:t>  </w:t>
      </w:r>
    </w:p>
    <w:p w:rsidR="00521D06" w:rsidP="00521D06">
      <w:pPr>
        <w:widowControl w:val="0"/>
        <w:tabs>
          <w:tab w:val="left" w:pos="879"/>
          <w:tab w:val="left" w:pos="1068"/>
        </w:tabs>
        <w:autoSpaceDE w:val="0"/>
        <w:autoSpaceDN w:val="0"/>
        <w:bidi w:val="0"/>
        <w:adjustRightInd w:val="0"/>
        <w:ind w:left="879" w:right="420" w:hanging="171"/>
        <w:jc w:val="both"/>
        <w:rPr>
          <w:rFonts w:ascii="TimesNewRomanPSMT" w:hAnsi="TimesNewRomanPSMT" w:cs="TimesNewRomanPSMT"/>
          <w:kern w:val="1"/>
        </w:rPr>
      </w:pPr>
      <w:r>
        <w:rPr>
          <w:rFonts w:ascii="TimesNewRomanPSMT" w:hAnsi="TimesNewRomanPSMT" w:cs="TimesNewRomanPSMT"/>
          <w:kern w:val="1"/>
        </w:rPr>
        <w:tab/>
        <w:t xml:space="preserve">Nariadenie Komisie (ES) č. 1177/2009 z 30. novembra 2009, ktorým sa menia a dopĺňajú smernice Európskeho parlamentu a Rady 2004/17/ES a 2004/18/ES, pokiaľ ide o uplatňovanie prahových hodnôt v oblasti postupov zadávania zákaziek (Ú. v. EÚ, L 314, 1. decembra 2009) </w:t>
      </w:r>
      <w:r>
        <w:rPr>
          <w:rFonts w:ascii="MS Mincho" w:eastAsia="MS Mincho" w:hAnsi="MS Mincho" w:cs="MS Mincho" w:hint="eastAsia"/>
          <w:kern w:val="1"/>
        </w:rPr>
        <w:t> </w:t>
      </w:r>
      <w:r>
        <w:rPr>
          <w:rFonts w:ascii="TimesNewRomanPSMT" w:hAnsi="TimesNewRomanPSMT" w:cs="TimesNewRomanPSMT"/>
          <w:kern w:val="1"/>
        </w:rPr>
        <w:t> </w:t>
      </w:r>
    </w:p>
    <w:p w:rsidR="00521D06" w:rsidP="00521D06">
      <w:pPr>
        <w:widowControl w:val="0"/>
        <w:autoSpaceDE w:val="0"/>
        <w:autoSpaceDN w:val="0"/>
        <w:bidi w:val="0"/>
        <w:adjustRightInd w:val="0"/>
        <w:ind w:right="420" w:firstLine="360"/>
        <w:rPr>
          <w:rFonts w:ascii="TimesNewRomanPSMT" w:hAnsi="TimesNewRomanPSMT" w:cs="TimesNewRomanPSMT"/>
          <w:kern w:val="1"/>
        </w:rPr>
      </w:pPr>
    </w:p>
    <w:p w:rsidR="00521D06" w:rsidP="00521D06">
      <w:pPr>
        <w:widowControl w:val="0"/>
        <w:autoSpaceDE w:val="0"/>
        <w:autoSpaceDN w:val="0"/>
        <w:bidi w:val="0"/>
        <w:adjustRightInd w:val="0"/>
        <w:ind w:left="709" w:right="420" w:hanging="349"/>
        <w:rPr>
          <w:rFonts w:ascii="TimesNewRomanPSMT" w:hAnsi="TimesNewRomanPSMT" w:cs="TimesNewRomanPSMT"/>
          <w:kern w:val="1"/>
        </w:rPr>
      </w:pPr>
      <w:r>
        <w:rPr>
          <w:rFonts w:ascii="TimesNewRomanPSMT" w:hAnsi="TimesNewRomanPSMT" w:cs="TimesNewRomanPSMT"/>
          <w:kern w:val="1"/>
        </w:rPr>
        <w:t>b)</w:t>
        <w:tab/>
        <w:t>je obsiahnutá v judikatúre Súdneho dvora Európskej únie.</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vo veci C-513/99, Concordia Bus Finland Oy Ab proti Helsingin kaupunki, HKL-Bussiliikenne;</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 spojených veciach C</w:t>
      </w:r>
      <w:r>
        <w:rPr>
          <w:rFonts w:ascii="MS Mincho" w:eastAsia="MS Mincho" w:hAnsi="MS Mincho" w:cs="MS Mincho" w:hint="eastAsia"/>
          <w:kern w:val="1"/>
        </w:rPr>
        <w:t>‑</w:t>
      </w:r>
      <w:r>
        <w:rPr>
          <w:rFonts w:ascii="TimesNewRomanPSMT" w:hAnsi="TimesNewRomanPSMT" w:cs="TimesNewRomanPSMT"/>
          <w:kern w:val="1"/>
        </w:rPr>
        <w:t>21/03 a C-34-03, Fabricom SA proti Belgickému kráľovstvu;</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vo veci C</w:t>
      </w:r>
      <w:r>
        <w:rPr>
          <w:rFonts w:ascii="MS Mincho" w:eastAsia="MS Mincho" w:hAnsi="MS Mincho" w:cs="MS Mincho" w:hint="eastAsia"/>
          <w:kern w:val="1"/>
        </w:rPr>
        <w:t>‑</w:t>
      </w:r>
      <w:r>
        <w:rPr>
          <w:rFonts w:ascii="TimesNewRomanPSMT" w:hAnsi="TimesNewRomanPSMT" w:cs="TimesNewRomanPSMT"/>
          <w:kern w:val="1"/>
        </w:rPr>
        <w:t>348/10, Norma-A SIA, Dekom SIA proti Latgales plānošanas reģions;</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vo veci C</w:t>
      </w:r>
      <w:r>
        <w:rPr>
          <w:rFonts w:ascii="MS Mincho" w:eastAsia="MS Mincho" w:hAnsi="MS Mincho" w:cs="MS Mincho" w:hint="eastAsia"/>
          <w:kern w:val="1"/>
        </w:rPr>
        <w:t>‑</w:t>
      </w:r>
      <w:r>
        <w:rPr>
          <w:rFonts w:ascii="TimesNewRomanPSMT" w:hAnsi="TimesNewRomanPSMT" w:cs="TimesNewRomanPSMT"/>
          <w:kern w:val="1"/>
        </w:rPr>
        <w:t>26/03, Norma-A SIA, Dekom SIA proti Latgales plānošanas reģions;</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vo veci C</w:t>
      </w:r>
      <w:r>
        <w:rPr>
          <w:rFonts w:ascii="MS Mincho" w:eastAsia="MS Mincho" w:hAnsi="MS Mincho" w:cs="MS Mincho" w:hint="eastAsia"/>
          <w:kern w:val="1"/>
        </w:rPr>
        <w:t>‑</w:t>
      </w:r>
      <w:r>
        <w:rPr>
          <w:rFonts w:ascii="TimesNewRomanPSMT" w:hAnsi="TimesNewRomanPSMT" w:cs="TimesNewRomanPSMT"/>
          <w:kern w:val="1"/>
        </w:rPr>
        <w:t>599/10, SAG ELV Slovensko, a. s., FELA Management AG, ASCOM (Schweiz) AG, Asseco Central Europe, a. s., TESLA STROPKOV, akciová spoločnosť, Autostrade per l’Italia SpA, EFKON AG, Stalexport Autostrady SA proti Úradu pre verejné obstarávanie, za účasti: Národnej dial’ničnej spoločnosti, a.s.;</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vo veci C</w:t>
      </w:r>
      <w:r>
        <w:rPr>
          <w:rFonts w:ascii="MS Mincho" w:eastAsia="MS Mincho" w:hAnsi="MS Mincho" w:cs="MS Mincho" w:hint="eastAsia"/>
          <w:kern w:val="1"/>
        </w:rPr>
        <w:t>‑</w:t>
      </w:r>
      <w:r>
        <w:rPr>
          <w:rFonts w:ascii="TimesNewRomanPSMT" w:hAnsi="TimesNewRomanPSMT" w:cs="TimesNewRomanPSMT"/>
          <w:kern w:val="1"/>
        </w:rPr>
        <w:t>234/03, Contse SA, Vivisol Srl, Oxigen Salud SA proti Instituto Nacional de Gestión Sanitaria (Ingesa), pôvodne Instituto Nacional de la Salud (Insalud), za účasti: Air Liquide Medicinal SL, Sociedad Española de Carburos Metálicos SA;</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 spojených veciach C</w:t>
      </w:r>
      <w:r>
        <w:rPr>
          <w:rFonts w:ascii="MS Mincho" w:eastAsia="MS Mincho" w:hAnsi="MS Mincho" w:cs="MS Mincho" w:hint="eastAsia"/>
          <w:kern w:val="1"/>
        </w:rPr>
        <w:t>‑</w:t>
      </w:r>
      <w:r>
        <w:rPr>
          <w:rFonts w:ascii="TimesNewRomanPSMT" w:hAnsi="TimesNewRomanPSMT" w:cs="TimesNewRomanPSMT"/>
          <w:kern w:val="1"/>
        </w:rPr>
        <w:t>226/04 a C</w:t>
      </w:r>
      <w:r>
        <w:rPr>
          <w:rFonts w:ascii="MS Mincho" w:eastAsia="MS Mincho" w:hAnsi="MS Mincho" w:cs="MS Mincho" w:hint="eastAsia"/>
          <w:kern w:val="1"/>
        </w:rPr>
        <w:t>‑</w:t>
      </w:r>
      <w:r>
        <w:rPr>
          <w:rFonts w:ascii="TimesNewRomanPSMT" w:hAnsi="TimesNewRomanPSMT" w:cs="TimesNewRomanPSMT"/>
          <w:kern w:val="1"/>
        </w:rPr>
        <w:t>228/04, Cascina Soc. coop. arl, Zilch Srl (C</w:t>
      </w:r>
      <w:r>
        <w:rPr>
          <w:rFonts w:ascii="MS Mincho" w:eastAsia="MS Mincho" w:hAnsi="MS Mincho" w:cs="MS Mincho" w:hint="eastAsia"/>
          <w:kern w:val="1"/>
        </w:rPr>
        <w:t>‑</w:t>
      </w:r>
      <w:r>
        <w:rPr>
          <w:rFonts w:ascii="TimesNewRomanPSMT" w:hAnsi="TimesNewRomanPSMT" w:cs="TimesNewRomanPSMT"/>
          <w:kern w:val="1"/>
        </w:rPr>
        <w:t>226/04), proti Ministero della Difesa, Ministero dell’Economia e delle Finanze, Pedus Service, Cooperativa Italiana di Ristorazione soc. coop. arl (CIR), Istituto nazionale per l’assicurazione contro gli infortuni sul lavoro (INAIL), a Consorzio G. f. M. (C</w:t>
      </w:r>
      <w:r>
        <w:rPr>
          <w:rFonts w:ascii="MS Mincho" w:eastAsia="MS Mincho" w:hAnsi="MS Mincho" w:cs="MS Mincho" w:hint="eastAsia"/>
          <w:kern w:val="1"/>
        </w:rPr>
        <w:t>‑</w:t>
      </w:r>
      <w:r>
        <w:rPr>
          <w:rFonts w:ascii="TimesNewRomanPSMT" w:hAnsi="TimesNewRomanPSMT" w:cs="TimesNewRomanPSMT"/>
          <w:kern w:val="1"/>
        </w:rPr>
        <w:t>228/04) proti Ministero della Difesa, La Cascina Soc. coop. arl;</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vo veci C</w:t>
      </w:r>
      <w:r>
        <w:rPr>
          <w:rFonts w:ascii="MS Mincho" w:eastAsia="MS Mincho" w:hAnsi="MS Mincho" w:cs="MS Mincho" w:hint="eastAsia"/>
          <w:kern w:val="1"/>
        </w:rPr>
        <w:t>‑</w:t>
      </w:r>
      <w:r>
        <w:rPr>
          <w:rFonts w:ascii="TimesNewRomanPSMT" w:hAnsi="TimesNewRomanPSMT" w:cs="TimesNewRomanPSMT"/>
          <w:kern w:val="1"/>
        </w:rPr>
        <w:t>570/08, Symvoulio Apochetefseon Lefkosias proti Anatheoritiki Archi Prosforon;</w:t>
      </w:r>
    </w:p>
    <w:p w:rsidR="00521D06" w:rsidP="00521D06">
      <w:pPr>
        <w:widowControl w:val="0"/>
        <w:autoSpaceDE w:val="0"/>
        <w:autoSpaceDN w:val="0"/>
        <w:bidi w:val="0"/>
        <w:adjustRightInd w:val="0"/>
        <w:ind w:left="709" w:right="420" w:hanging="3"/>
        <w:jc w:val="both"/>
        <w:rPr>
          <w:rFonts w:ascii="TimesNewRomanPSMT" w:hAnsi="TimesNewRomanPSMT" w:cs="TimesNewRomanPSMT"/>
          <w:kern w:val="1"/>
        </w:rPr>
      </w:pPr>
      <w:r>
        <w:rPr>
          <w:rFonts w:ascii="TimesNewRomanPSMT" w:hAnsi="TimesNewRomanPSMT" w:cs="TimesNewRomanPSMT"/>
          <w:kern w:val="1"/>
        </w:rPr>
        <w:t>Rozhodnutie ESD vo veci C-247/02, Sintesi SpA proti Autorità per la Vigilanza sui Lavori Pubblici, za účasti: Ingg. Provera e Carrassi SpA Rozhodnutie ESD vo veci C</w:t>
      </w:r>
      <w:r>
        <w:rPr>
          <w:rFonts w:ascii="MS Mincho" w:eastAsia="MS Mincho" w:hAnsi="MS Mincho" w:cs="MS Mincho" w:hint="eastAsia"/>
          <w:kern w:val="1"/>
        </w:rPr>
        <w:t>‑</w:t>
      </w:r>
      <w:r>
        <w:rPr>
          <w:rFonts w:ascii="TimesNewRomanPSMT" w:hAnsi="TimesNewRomanPSMT" w:cs="TimesNewRomanPSMT"/>
          <w:kern w:val="1"/>
        </w:rPr>
        <w:t>29/04, Komisia Európskych spoločenstiev proti Rakúskej republike.</w:t>
      </w:r>
      <w:r>
        <w:rPr>
          <w:rFonts w:ascii="MS Mincho" w:eastAsia="MS Mincho" w:hAnsi="MS Mincho" w:cs="MS Mincho" w:hint="eastAsia"/>
          <w:kern w:val="1"/>
        </w:rPr>
        <w:t> </w:t>
      </w:r>
    </w:p>
    <w:p w:rsidR="00521D06" w:rsidP="00521D06">
      <w:pPr>
        <w:widowControl w:val="0"/>
        <w:autoSpaceDE w:val="0"/>
        <w:autoSpaceDN w:val="0"/>
        <w:bidi w:val="0"/>
        <w:adjustRightInd w:val="0"/>
        <w:ind w:right="420"/>
        <w:rPr>
          <w:rFonts w:ascii="TimesNewRomanPSMT" w:hAnsi="TimesNewRomanPSMT" w:cs="TimesNewRomanPSMT"/>
          <w:kern w:val="1"/>
        </w:rPr>
      </w:pPr>
    </w:p>
    <w:p w:rsidR="00521D06" w:rsidP="00521D06">
      <w:pPr>
        <w:widowControl w:val="0"/>
        <w:autoSpaceDE w:val="0"/>
        <w:autoSpaceDN w:val="0"/>
        <w:bidi w:val="0"/>
        <w:adjustRightInd w:val="0"/>
        <w:ind w:left="360" w:right="420" w:hanging="360"/>
        <w:rPr>
          <w:rFonts w:ascii="TimesNewRomanPSMT" w:hAnsi="TimesNewRomanPSMT" w:cs="TimesNewRomanPSMT"/>
          <w:kern w:val="1"/>
        </w:rPr>
      </w:pPr>
      <w:r>
        <w:rPr>
          <w:rFonts w:ascii="TimesNewRomanPSMT" w:hAnsi="TimesNewRomanPSMT" w:cs="TimesNewRomanPSMT"/>
          <w:b/>
          <w:bCs/>
          <w:kern w:val="1"/>
        </w:rPr>
        <w:t>4.</w:t>
        <w:tab/>
        <w:t xml:space="preserve">Záväzky Slovenskej republiky vo vzťahu k Európskej únii: </w:t>
      </w:r>
    </w:p>
    <w:p w:rsidR="00521D06" w:rsidP="00521D06">
      <w:pPr>
        <w:widowControl w:val="0"/>
        <w:autoSpaceDE w:val="0"/>
        <w:autoSpaceDN w:val="0"/>
        <w:bidi w:val="0"/>
        <w:adjustRightInd w:val="0"/>
        <w:ind w:right="420"/>
        <w:rPr>
          <w:rFonts w:ascii="TimesNewRomanPSMT" w:hAnsi="TimesNewRomanPSMT" w:cs="TimesNewRomanPSMT"/>
          <w:kern w:val="1"/>
        </w:rPr>
      </w:pPr>
    </w:p>
    <w:p w:rsidR="00521D06" w:rsidP="00521D06">
      <w:pPr>
        <w:widowControl w:val="0"/>
        <w:autoSpaceDE w:val="0"/>
        <w:autoSpaceDN w:val="0"/>
        <w:bidi w:val="0"/>
        <w:adjustRightInd w:val="0"/>
        <w:ind w:left="709" w:right="420" w:hanging="349"/>
        <w:jc w:val="both"/>
        <w:rPr>
          <w:rFonts w:ascii="TimesNewRomanPSMT" w:hAnsi="TimesNewRomanPSMT" w:cs="TimesNewRomanPSMT"/>
          <w:kern w:val="1"/>
        </w:rPr>
      </w:pPr>
      <w:r>
        <w:rPr>
          <w:rFonts w:ascii="TimesNewRomanPSMT" w:hAnsi="TimesNewRomanPSMT" w:cs="TimesNewRomanPSMT"/>
          <w:kern w:val="1"/>
        </w:rPr>
        <w:t>a)</w:t>
        <w:tab/>
        <w:t>lehota na prebratie smernice alebo lehota na implementáciu nariadenia alebo rozhodnutia</w:t>
      </w:r>
    </w:p>
    <w:p w:rsidR="00521D06" w:rsidP="00521D06">
      <w:pPr>
        <w:widowControl w:val="0"/>
        <w:autoSpaceDE w:val="0"/>
        <w:autoSpaceDN w:val="0"/>
        <w:bidi w:val="0"/>
        <w:adjustRightInd w:val="0"/>
        <w:ind w:left="720" w:right="420"/>
        <w:rPr>
          <w:rFonts w:ascii="TimesNewRomanPSMT" w:hAnsi="TimesNewRomanPSMT" w:cs="TimesNewRomanPSMT"/>
          <w:kern w:val="1"/>
        </w:rPr>
      </w:pPr>
    </w:p>
    <w:p w:rsidR="00521D06" w:rsidP="00521D06">
      <w:pPr>
        <w:widowControl w:val="0"/>
        <w:autoSpaceDE w:val="0"/>
        <w:autoSpaceDN w:val="0"/>
        <w:bidi w:val="0"/>
        <w:adjustRightInd w:val="0"/>
        <w:ind w:left="720" w:right="420"/>
        <w:rPr>
          <w:rFonts w:ascii="TimesNewRomanPSMT" w:hAnsi="TimesNewRomanPSMT" w:cs="TimesNewRomanPSMT"/>
          <w:kern w:val="1"/>
        </w:rPr>
      </w:pPr>
      <w:r>
        <w:rPr>
          <w:rFonts w:ascii="TimesNewRomanPSMT" w:hAnsi="TimesNewRomanPSMT" w:cs="TimesNewRomanPSMT"/>
          <w:kern w:val="1"/>
        </w:rPr>
        <w:t>bezpredmetné </w:t>
      </w:r>
    </w:p>
    <w:p w:rsidR="00521D06" w:rsidP="00521D06">
      <w:pPr>
        <w:widowControl w:val="0"/>
        <w:autoSpaceDE w:val="0"/>
        <w:autoSpaceDN w:val="0"/>
        <w:bidi w:val="0"/>
        <w:adjustRightInd w:val="0"/>
        <w:ind w:right="420"/>
        <w:jc w:val="both"/>
        <w:rPr>
          <w:rFonts w:ascii="TimesNewRomanPSMT" w:hAnsi="TimesNewRomanPSMT" w:cs="TimesNewRomanPSMT"/>
          <w:kern w:val="1"/>
        </w:rPr>
      </w:pPr>
    </w:p>
    <w:p w:rsidR="00521D06" w:rsidP="00521D06">
      <w:pPr>
        <w:widowControl w:val="0"/>
        <w:autoSpaceDE w:val="0"/>
        <w:autoSpaceDN w:val="0"/>
        <w:bidi w:val="0"/>
        <w:adjustRightInd w:val="0"/>
        <w:ind w:left="709" w:right="420" w:hanging="349"/>
        <w:jc w:val="both"/>
        <w:rPr>
          <w:rFonts w:ascii="TimesNewRomanPSMT" w:hAnsi="TimesNewRomanPSMT" w:cs="TimesNewRomanPSMT"/>
          <w:kern w:val="1"/>
        </w:rPr>
      </w:pPr>
      <w:r>
        <w:rPr>
          <w:rFonts w:ascii="TimesNewRomanPSMT" w:hAnsi="TimesNewRomanPSMT" w:cs="TimesNewRomanPSMT"/>
          <w:kern w:val="1"/>
        </w:rPr>
        <w:t>b)</w:t>
        <w:tab/>
        <w:t>informácia o konaní začatom proti Slovenskej republike o porušení Zmluvy o fungovaní Európskej únie podľa čl. 258 až 260 tejto zmluvy</w:t>
      </w:r>
    </w:p>
    <w:p w:rsidR="00521D06" w:rsidP="00521D06">
      <w:pPr>
        <w:widowControl w:val="0"/>
        <w:autoSpaceDE w:val="0"/>
        <w:autoSpaceDN w:val="0"/>
        <w:bidi w:val="0"/>
        <w:adjustRightInd w:val="0"/>
        <w:ind w:left="709" w:right="420" w:hanging="349"/>
        <w:jc w:val="both"/>
        <w:rPr>
          <w:rFonts w:ascii="TimesNewRomanPSMT" w:hAnsi="TimesNewRomanPSMT" w:cs="TimesNewRomanPSMT"/>
          <w:kern w:val="1"/>
        </w:rPr>
      </w:pPr>
    </w:p>
    <w:p w:rsidR="00521D06" w:rsidP="00521D06">
      <w:pPr>
        <w:widowControl w:val="0"/>
        <w:autoSpaceDE w:val="0"/>
        <w:autoSpaceDN w:val="0"/>
        <w:bidi w:val="0"/>
        <w:adjustRightInd w:val="0"/>
        <w:ind w:left="709" w:right="420" w:hanging="349"/>
        <w:rPr>
          <w:rFonts w:ascii="TimesNewRomanPSMT" w:hAnsi="TimesNewRomanPSMT" w:cs="TimesNewRomanPSMT"/>
          <w:kern w:val="1"/>
        </w:rPr>
      </w:pPr>
      <w:r>
        <w:rPr>
          <w:rFonts w:ascii="TimesNewRomanPSMT" w:hAnsi="TimesNewRomanPSMT" w:cs="TimesNewRomanPSMT"/>
          <w:kern w:val="1"/>
        </w:rPr>
        <w:tab/>
        <w:t>bezpredmetné </w:t>
      </w:r>
    </w:p>
    <w:p w:rsidR="00521D06" w:rsidP="00521D06">
      <w:pPr>
        <w:widowControl w:val="0"/>
        <w:autoSpaceDE w:val="0"/>
        <w:autoSpaceDN w:val="0"/>
        <w:bidi w:val="0"/>
        <w:adjustRightInd w:val="0"/>
        <w:ind w:right="420" w:firstLine="708"/>
        <w:rPr>
          <w:rFonts w:ascii="TimesNewRomanPSMT" w:hAnsi="TimesNewRomanPSMT" w:cs="TimesNewRomanPSMT"/>
          <w:kern w:val="1"/>
        </w:rPr>
      </w:pPr>
    </w:p>
    <w:p w:rsidR="00521D06" w:rsidP="00521D06">
      <w:pPr>
        <w:widowControl w:val="0"/>
        <w:autoSpaceDE w:val="0"/>
        <w:autoSpaceDN w:val="0"/>
        <w:bidi w:val="0"/>
        <w:adjustRightInd w:val="0"/>
        <w:ind w:left="709" w:right="420" w:hanging="349"/>
        <w:jc w:val="both"/>
        <w:rPr>
          <w:rFonts w:ascii="TimesNewRomanPSMT" w:hAnsi="TimesNewRomanPSMT" w:cs="TimesNewRomanPSMT"/>
          <w:kern w:val="1"/>
        </w:rPr>
      </w:pPr>
      <w:r>
        <w:rPr>
          <w:rFonts w:ascii="TimesNewRomanPSMT" w:hAnsi="TimesNewRomanPSMT" w:cs="TimesNewRomanPSMT"/>
          <w:kern w:val="1"/>
        </w:rPr>
        <w:t>c)</w:t>
        <w:tab/>
        <w:t>informácia o právnych predpisoch, v ktorých sú preberané smernice už prebraté spolu s uvedením rozsahu tohto prebratia</w:t>
      </w:r>
    </w:p>
    <w:p w:rsidR="00521D06" w:rsidP="00521D06">
      <w:pPr>
        <w:widowControl w:val="0"/>
        <w:autoSpaceDE w:val="0"/>
        <w:autoSpaceDN w:val="0"/>
        <w:bidi w:val="0"/>
        <w:adjustRightInd w:val="0"/>
        <w:ind w:left="720" w:right="420"/>
        <w:rPr>
          <w:rFonts w:ascii="TimesNewRomanPSMT" w:hAnsi="TimesNewRomanPSMT" w:cs="TimesNewRomanPSMT"/>
          <w:kern w:val="1"/>
        </w:rPr>
      </w:pPr>
    </w:p>
    <w:p w:rsidR="00521D06" w:rsidP="00521D06">
      <w:pPr>
        <w:widowControl w:val="0"/>
        <w:autoSpaceDE w:val="0"/>
        <w:autoSpaceDN w:val="0"/>
        <w:bidi w:val="0"/>
        <w:adjustRightInd w:val="0"/>
        <w:ind w:right="420" w:firstLine="708"/>
        <w:rPr>
          <w:rFonts w:ascii="TimesNewRomanPSMT" w:hAnsi="TimesNewRomanPSMT" w:cs="TimesNewRomanPSMT"/>
          <w:kern w:val="1"/>
        </w:rPr>
      </w:pPr>
      <w:r>
        <w:rPr>
          <w:rFonts w:ascii="TimesNewRomanPSMT" w:hAnsi="TimesNewRomanPSMT" w:cs="TimesNewRomanPSMT"/>
          <w:kern w:val="1"/>
        </w:rPr>
        <w:t>bezpredmetné </w:t>
      </w:r>
    </w:p>
    <w:p w:rsidR="00521D06" w:rsidP="00521D06">
      <w:pPr>
        <w:widowControl w:val="0"/>
        <w:autoSpaceDE w:val="0"/>
        <w:autoSpaceDN w:val="0"/>
        <w:bidi w:val="0"/>
        <w:adjustRightInd w:val="0"/>
        <w:ind w:right="420" w:firstLine="708"/>
        <w:rPr>
          <w:rFonts w:ascii="TimesNewRomanPSMT" w:hAnsi="TimesNewRomanPSMT" w:cs="TimesNewRomanPSMT"/>
          <w:kern w:val="1"/>
        </w:rPr>
      </w:pPr>
    </w:p>
    <w:p w:rsidR="00521D06" w:rsidP="00521D06">
      <w:pPr>
        <w:widowControl w:val="0"/>
        <w:autoSpaceDE w:val="0"/>
        <w:autoSpaceDN w:val="0"/>
        <w:bidi w:val="0"/>
        <w:adjustRightInd w:val="0"/>
        <w:ind w:left="360" w:right="420" w:hanging="360"/>
        <w:rPr>
          <w:rFonts w:ascii="TimesNewRomanPSMT" w:hAnsi="TimesNewRomanPSMT" w:cs="TimesNewRomanPSMT"/>
          <w:kern w:val="1"/>
        </w:rPr>
      </w:pPr>
      <w:r>
        <w:rPr>
          <w:rFonts w:ascii="TimesNewRomanPSMT" w:hAnsi="TimesNewRomanPSMT" w:cs="TimesNewRomanPSMT"/>
          <w:b/>
          <w:bCs/>
          <w:kern w:val="1"/>
        </w:rPr>
        <w:t>5.</w:t>
        <w:tab/>
        <w:t>Stupeň zlučiteľnosti návrhu právneho predpisu s právom Európskej únie:</w:t>
      </w:r>
    </w:p>
    <w:p w:rsidR="00521D06" w:rsidP="00521D06">
      <w:pPr>
        <w:widowControl w:val="0"/>
        <w:autoSpaceDE w:val="0"/>
        <w:autoSpaceDN w:val="0"/>
        <w:bidi w:val="0"/>
        <w:adjustRightInd w:val="0"/>
        <w:ind w:right="420"/>
        <w:rPr>
          <w:rFonts w:ascii="TimesNewRomanPSMT" w:hAnsi="TimesNewRomanPSMT" w:cs="TimesNewRomanPSMT"/>
          <w:kern w:val="1"/>
        </w:rPr>
      </w:pPr>
    </w:p>
    <w:p w:rsidR="00521D06" w:rsidP="00521D06">
      <w:pPr>
        <w:widowControl w:val="0"/>
        <w:autoSpaceDE w:val="0"/>
        <w:autoSpaceDN w:val="0"/>
        <w:bidi w:val="0"/>
        <w:adjustRightInd w:val="0"/>
        <w:ind w:right="420" w:firstLine="360"/>
        <w:rPr>
          <w:rFonts w:ascii="TimesNewRomanPSMT" w:hAnsi="TimesNewRomanPSMT" w:cs="TimesNewRomanPSMT"/>
          <w:kern w:val="1"/>
        </w:rPr>
      </w:pPr>
      <w:r>
        <w:rPr>
          <w:rFonts w:ascii="TimesNewRomanPSMT" w:hAnsi="TimesNewRomanPSMT" w:cs="TimesNewRomanPSMT"/>
          <w:kern w:val="1"/>
        </w:rPr>
        <w:tab/>
        <w:t>Stupeň zlučiteľnosti - úplný </w:t>
      </w:r>
    </w:p>
    <w:p w:rsidR="00521D06" w:rsidP="00521D06">
      <w:pPr>
        <w:widowControl w:val="0"/>
        <w:autoSpaceDE w:val="0"/>
        <w:autoSpaceDN w:val="0"/>
        <w:bidi w:val="0"/>
        <w:adjustRightInd w:val="0"/>
        <w:ind w:right="420"/>
        <w:rPr>
          <w:rFonts w:ascii="TimesNewRomanPSMT" w:hAnsi="TimesNewRomanPSMT" w:cs="TimesNewRomanPSMT"/>
          <w:kern w:val="1"/>
        </w:rPr>
      </w:pPr>
    </w:p>
    <w:p w:rsidR="00521D06" w:rsidP="00521D06">
      <w:pPr>
        <w:widowControl w:val="0"/>
        <w:autoSpaceDE w:val="0"/>
        <w:autoSpaceDN w:val="0"/>
        <w:bidi w:val="0"/>
        <w:adjustRightInd w:val="0"/>
        <w:ind w:left="360" w:right="420" w:hanging="360"/>
        <w:rPr>
          <w:rFonts w:ascii="TimesNewRomanPSMT" w:hAnsi="TimesNewRomanPSMT" w:cs="TimesNewRomanPSMT"/>
          <w:kern w:val="1"/>
        </w:rPr>
      </w:pPr>
      <w:r>
        <w:rPr>
          <w:rFonts w:ascii="TimesNewRomanPSMT" w:hAnsi="TimesNewRomanPSMT" w:cs="TimesNewRomanPSMT"/>
          <w:b/>
          <w:bCs/>
          <w:kern w:val="1"/>
        </w:rPr>
        <w:t>6.</w:t>
        <w:tab/>
        <w:t xml:space="preserve">Gestor a spolupracujúce rezorty: </w:t>
      </w:r>
    </w:p>
    <w:p w:rsidR="00521D06" w:rsidP="00521D06">
      <w:pPr>
        <w:widowControl w:val="0"/>
        <w:tabs>
          <w:tab w:val="left" w:pos="360"/>
        </w:tabs>
        <w:autoSpaceDE w:val="0"/>
        <w:autoSpaceDN w:val="0"/>
        <w:bidi w:val="0"/>
        <w:adjustRightInd w:val="0"/>
        <w:ind w:left="360" w:right="420"/>
        <w:rPr>
          <w:rFonts w:ascii="TimesNewRomanPSMT" w:hAnsi="TimesNewRomanPSMT" w:cs="TimesNewRomanPSMT"/>
          <w:kern w:val="1"/>
        </w:rPr>
      </w:pPr>
      <w:r>
        <w:rPr>
          <w:rFonts w:ascii="TimesNewRomanPSMT" w:hAnsi="TimesNewRomanPSMT" w:cs="TimesNewRomanPSMT"/>
          <w:kern w:val="1"/>
        </w:rPr>
        <w:tab/>
        <w:t>Ministerstvo kultúry Slovenskej republiky</w:t>
      </w:r>
    </w:p>
    <w:p w:rsidR="00521D06" w:rsidP="00521D06">
      <w:pPr>
        <w:widowControl w:val="0"/>
        <w:tabs>
          <w:tab w:val="left" w:pos="360"/>
        </w:tabs>
        <w:autoSpaceDE w:val="0"/>
        <w:autoSpaceDN w:val="0"/>
        <w:bidi w:val="0"/>
        <w:adjustRightInd w:val="0"/>
        <w:ind w:left="360" w:right="420"/>
        <w:rPr>
          <w:rFonts w:ascii="TimesNewRomanPSMT" w:hAnsi="TimesNewRomanPSMT" w:cs="TimesNewRomanPSMT"/>
          <w:kern w:val="1"/>
        </w:rPr>
      </w:pPr>
      <w:r>
        <w:rPr>
          <w:rFonts w:ascii="TimesNewRomanPSMT" w:hAnsi="TimesNewRomanPSMT" w:cs="TimesNewRomanPSMT"/>
          <w:kern w:val="1"/>
        </w:rPr>
        <w:tab/>
        <w:t>Úrad pre verejné obstarávanie</w:t>
      </w:r>
    </w:p>
    <w:p w:rsidR="00521D06" w:rsidP="00521D06">
      <w:pPr>
        <w:widowControl w:val="0"/>
        <w:tabs>
          <w:tab w:val="left" w:pos="360"/>
        </w:tabs>
        <w:autoSpaceDE w:val="0"/>
        <w:autoSpaceDN w:val="0"/>
        <w:bidi w:val="0"/>
        <w:adjustRightInd w:val="0"/>
        <w:ind w:right="420"/>
        <w:rPr>
          <w:rFonts w:ascii="TimesNewRomanPSMT" w:hAnsi="TimesNewRomanPSMT" w:cs="TimesNewRomanPSMT"/>
          <w:b/>
          <w:bCs/>
          <w:kern w:val="1"/>
        </w:rPr>
      </w:pPr>
    </w:p>
    <w:p w:rsidR="00AF5754">
      <w:pPr>
        <w:bidi w:val="0"/>
        <w:rPr>
          <w:rFonts w:ascii="Times New Roman" w:hAnsi="Times New Roman"/>
        </w:rPr>
      </w:pPr>
    </w:p>
    <w:sectPr w:rsidSect="00D347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21D06"/>
    <w:rsid w:val="00013831"/>
    <w:rsid w:val="00021177"/>
    <w:rsid w:val="00031D1C"/>
    <w:rsid w:val="00035CB1"/>
    <w:rsid w:val="0004109D"/>
    <w:rsid w:val="000752E5"/>
    <w:rsid w:val="00077DBE"/>
    <w:rsid w:val="000837CA"/>
    <w:rsid w:val="00086BCF"/>
    <w:rsid w:val="0008718F"/>
    <w:rsid w:val="0009203E"/>
    <w:rsid w:val="000B7E42"/>
    <w:rsid w:val="000F2950"/>
    <w:rsid w:val="000F528C"/>
    <w:rsid w:val="0010169C"/>
    <w:rsid w:val="0011395A"/>
    <w:rsid w:val="00131B8F"/>
    <w:rsid w:val="00156646"/>
    <w:rsid w:val="001A4832"/>
    <w:rsid w:val="001B3770"/>
    <w:rsid w:val="001D1066"/>
    <w:rsid w:val="001E12B2"/>
    <w:rsid w:val="001E1BDB"/>
    <w:rsid w:val="001E1D7B"/>
    <w:rsid w:val="001E532F"/>
    <w:rsid w:val="00201B23"/>
    <w:rsid w:val="00203FCD"/>
    <w:rsid w:val="00223F34"/>
    <w:rsid w:val="00242F11"/>
    <w:rsid w:val="00253335"/>
    <w:rsid w:val="002533F5"/>
    <w:rsid w:val="00264A41"/>
    <w:rsid w:val="00266688"/>
    <w:rsid w:val="002751F5"/>
    <w:rsid w:val="00277CB1"/>
    <w:rsid w:val="00290A9E"/>
    <w:rsid w:val="002C2669"/>
    <w:rsid w:val="003107A8"/>
    <w:rsid w:val="003126A5"/>
    <w:rsid w:val="003174F0"/>
    <w:rsid w:val="00325360"/>
    <w:rsid w:val="0034293E"/>
    <w:rsid w:val="00346BDC"/>
    <w:rsid w:val="00352395"/>
    <w:rsid w:val="0038663B"/>
    <w:rsid w:val="003A60F4"/>
    <w:rsid w:val="003B57EB"/>
    <w:rsid w:val="003E43CC"/>
    <w:rsid w:val="00405B49"/>
    <w:rsid w:val="00410B97"/>
    <w:rsid w:val="00416456"/>
    <w:rsid w:val="0042377A"/>
    <w:rsid w:val="004245B0"/>
    <w:rsid w:val="004500B1"/>
    <w:rsid w:val="00450FBC"/>
    <w:rsid w:val="004674DD"/>
    <w:rsid w:val="00470056"/>
    <w:rsid w:val="00473A57"/>
    <w:rsid w:val="00487D1C"/>
    <w:rsid w:val="004A325B"/>
    <w:rsid w:val="004A5048"/>
    <w:rsid w:val="004A536F"/>
    <w:rsid w:val="004A59AB"/>
    <w:rsid w:val="004B1FFF"/>
    <w:rsid w:val="004D0492"/>
    <w:rsid w:val="004D78C8"/>
    <w:rsid w:val="004D7C15"/>
    <w:rsid w:val="004E2FD6"/>
    <w:rsid w:val="004F7F1D"/>
    <w:rsid w:val="005035F2"/>
    <w:rsid w:val="0050682B"/>
    <w:rsid w:val="00506AB0"/>
    <w:rsid w:val="00520AF4"/>
    <w:rsid w:val="00521D06"/>
    <w:rsid w:val="00535976"/>
    <w:rsid w:val="00535F3D"/>
    <w:rsid w:val="00536E1C"/>
    <w:rsid w:val="00540F80"/>
    <w:rsid w:val="00560BEF"/>
    <w:rsid w:val="00562ED7"/>
    <w:rsid w:val="00581F06"/>
    <w:rsid w:val="005918C0"/>
    <w:rsid w:val="00592087"/>
    <w:rsid w:val="005B54CB"/>
    <w:rsid w:val="005B5C5A"/>
    <w:rsid w:val="00617BE1"/>
    <w:rsid w:val="00622B20"/>
    <w:rsid w:val="006722E0"/>
    <w:rsid w:val="00687131"/>
    <w:rsid w:val="006A16A1"/>
    <w:rsid w:val="006C6684"/>
    <w:rsid w:val="006D0F67"/>
    <w:rsid w:val="006D531C"/>
    <w:rsid w:val="006F6BC8"/>
    <w:rsid w:val="006F76C6"/>
    <w:rsid w:val="00705EEF"/>
    <w:rsid w:val="007350CC"/>
    <w:rsid w:val="0073721F"/>
    <w:rsid w:val="00770287"/>
    <w:rsid w:val="00771CD7"/>
    <w:rsid w:val="0077312D"/>
    <w:rsid w:val="0077510B"/>
    <w:rsid w:val="00781021"/>
    <w:rsid w:val="007A5024"/>
    <w:rsid w:val="007B0238"/>
    <w:rsid w:val="007B0B26"/>
    <w:rsid w:val="007C2B9B"/>
    <w:rsid w:val="007D0AC8"/>
    <w:rsid w:val="007E1F68"/>
    <w:rsid w:val="007E55E9"/>
    <w:rsid w:val="00802027"/>
    <w:rsid w:val="00806FC0"/>
    <w:rsid w:val="008075C2"/>
    <w:rsid w:val="00813BFE"/>
    <w:rsid w:val="00861431"/>
    <w:rsid w:val="008701D2"/>
    <w:rsid w:val="00871FBE"/>
    <w:rsid w:val="008A61ED"/>
    <w:rsid w:val="00921B9F"/>
    <w:rsid w:val="0093114B"/>
    <w:rsid w:val="0093283B"/>
    <w:rsid w:val="009439B3"/>
    <w:rsid w:val="00960B10"/>
    <w:rsid w:val="00962970"/>
    <w:rsid w:val="0096526B"/>
    <w:rsid w:val="00985D4D"/>
    <w:rsid w:val="009A59BC"/>
    <w:rsid w:val="009D223B"/>
    <w:rsid w:val="00A13FB5"/>
    <w:rsid w:val="00A1622C"/>
    <w:rsid w:val="00A504D5"/>
    <w:rsid w:val="00A65968"/>
    <w:rsid w:val="00A73450"/>
    <w:rsid w:val="00A77414"/>
    <w:rsid w:val="00A774B1"/>
    <w:rsid w:val="00A7795E"/>
    <w:rsid w:val="00A80A33"/>
    <w:rsid w:val="00A82E3D"/>
    <w:rsid w:val="00A86B56"/>
    <w:rsid w:val="00A9065B"/>
    <w:rsid w:val="00AA33AD"/>
    <w:rsid w:val="00AB5FFB"/>
    <w:rsid w:val="00AE7A8C"/>
    <w:rsid w:val="00AF316F"/>
    <w:rsid w:val="00AF412D"/>
    <w:rsid w:val="00AF5754"/>
    <w:rsid w:val="00B03865"/>
    <w:rsid w:val="00B046B2"/>
    <w:rsid w:val="00B16F6C"/>
    <w:rsid w:val="00B44A43"/>
    <w:rsid w:val="00B64840"/>
    <w:rsid w:val="00B847BF"/>
    <w:rsid w:val="00B855C1"/>
    <w:rsid w:val="00BA0291"/>
    <w:rsid w:val="00BB0337"/>
    <w:rsid w:val="00BB05AF"/>
    <w:rsid w:val="00BC03B8"/>
    <w:rsid w:val="00BC215A"/>
    <w:rsid w:val="00BC5CBF"/>
    <w:rsid w:val="00BD6FA1"/>
    <w:rsid w:val="00BE3544"/>
    <w:rsid w:val="00C01926"/>
    <w:rsid w:val="00C1565F"/>
    <w:rsid w:val="00C214DF"/>
    <w:rsid w:val="00C35421"/>
    <w:rsid w:val="00C40109"/>
    <w:rsid w:val="00C41AF2"/>
    <w:rsid w:val="00C441A6"/>
    <w:rsid w:val="00C50706"/>
    <w:rsid w:val="00C922A3"/>
    <w:rsid w:val="00CB52DE"/>
    <w:rsid w:val="00CC50F5"/>
    <w:rsid w:val="00CC54DB"/>
    <w:rsid w:val="00CE46A0"/>
    <w:rsid w:val="00CF0545"/>
    <w:rsid w:val="00CF66C3"/>
    <w:rsid w:val="00CF738E"/>
    <w:rsid w:val="00D24D6D"/>
    <w:rsid w:val="00D347BE"/>
    <w:rsid w:val="00D526EF"/>
    <w:rsid w:val="00D72459"/>
    <w:rsid w:val="00D77F83"/>
    <w:rsid w:val="00D81ABB"/>
    <w:rsid w:val="00D82FC2"/>
    <w:rsid w:val="00D927E0"/>
    <w:rsid w:val="00D96F51"/>
    <w:rsid w:val="00DA6DB5"/>
    <w:rsid w:val="00DB003C"/>
    <w:rsid w:val="00DD3C97"/>
    <w:rsid w:val="00DD5759"/>
    <w:rsid w:val="00DD6CD5"/>
    <w:rsid w:val="00DF02D2"/>
    <w:rsid w:val="00DF3629"/>
    <w:rsid w:val="00E04E01"/>
    <w:rsid w:val="00E10B2B"/>
    <w:rsid w:val="00E32F68"/>
    <w:rsid w:val="00E47985"/>
    <w:rsid w:val="00E52CD4"/>
    <w:rsid w:val="00E56DE3"/>
    <w:rsid w:val="00E75CD1"/>
    <w:rsid w:val="00E8792B"/>
    <w:rsid w:val="00E97AAD"/>
    <w:rsid w:val="00EA78C5"/>
    <w:rsid w:val="00ED566C"/>
    <w:rsid w:val="00ED5C85"/>
    <w:rsid w:val="00ED65E3"/>
    <w:rsid w:val="00EF22C6"/>
    <w:rsid w:val="00EF230B"/>
    <w:rsid w:val="00EF2377"/>
    <w:rsid w:val="00F4439A"/>
    <w:rsid w:val="00F5084A"/>
    <w:rsid w:val="00F50AFD"/>
    <w:rsid w:val="00F52A62"/>
    <w:rsid w:val="00F81113"/>
    <w:rsid w:val="00FA411A"/>
    <w:rsid w:val="00FA4454"/>
    <w:rsid w:val="00FA4E8D"/>
    <w:rsid w:val="00FB15C0"/>
    <w:rsid w:val="00FC4114"/>
    <w:rsid w:val="00FD69C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0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1035</Words>
  <Characters>5904</Characters>
  <Application>Microsoft Office Word</Application>
  <DocSecurity>0</DocSecurity>
  <Lines>0</Lines>
  <Paragraphs>0</Paragraphs>
  <ScaleCrop>false</ScaleCrop>
  <Company>Kancelaria NR SR</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2013-11-04T16:26:00Z</dcterms:created>
  <dcterms:modified xsi:type="dcterms:W3CDTF">2013-11-04T16:26:00Z</dcterms:modified>
</cp:coreProperties>
</file>