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A10" w:rsidRPr="000619E5" w:rsidP="00DF29BF">
      <w:pPr>
        <w:tabs>
          <w:tab w:val="left" w:pos="1418"/>
        </w:tabs>
        <w:bidi w:val="0"/>
        <w:spacing w:after="120"/>
        <w:ind w:left="-181"/>
        <w:jc w:val="center"/>
        <w:rPr>
          <w:rFonts w:ascii="Times New Roman" w:hAnsi="Times New Roman"/>
          <w:b/>
          <w:szCs w:val="24"/>
        </w:rPr>
      </w:pPr>
      <w:r w:rsidRPr="000619E5">
        <w:rPr>
          <w:rFonts w:ascii="Times New Roman" w:hAnsi="Times New Roman"/>
          <w:b/>
          <w:szCs w:val="24"/>
        </w:rPr>
        <w:t xml:space="preserve">Návrh rozpočtu Sociálnej poisťovne na rok 2014 </w:t>
      </w:r>
      <w:r w:rsidR="00A61695">
        <w:rPr>
          <w:rFonts w:ascii="Times New Roman" w:hAnsi="Times New Roman"/>
          <w:b/>
          <w:szCs w:val="24"/>
        </w:rPr>
        <w:t>a rozpočtový výhľad na roky 2015 a 2016</w:t>
      </w:r>
    </w:p>
    <w:p w:rsidR="00B47898" w:rsidRPr="000619E5" w:rsidP="00694A10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Pr="000619E5" w:rsidR="00B229E9">
        <w:rPr>
          <w:rFonts w:ascii="Times New Roman" w:hAnsi="Times New Roman"/>
          <w:szCs w:val="24"/>
        </w:rPr>
        <w:t xml:space="preserve">Návrh rozpočtu Sociálnej poisťovne na rok 2014 </w:t>
      </w:r>
      <w:r w:rsidR="00A61695">
        <w:rPr>
          <w:rFonts w:ascii="Times New Roman" w:hAnsi="Times New Roman"/>
          <w:szCs w:val="24"/>
        </w:rPr>
        <w:t xml:space="preserve">a rozpočtový výhľad na roky 2015 a 2016 (ďalej len „návrh rozpočtu“) </w:t>
      </w:r>
      <w:r w:rsidRPr="000619E5" w:rsidR="00F11721">
        <w:rPr>
          <w:rFonts w:ascii="Times New Roman" w:hAnsi="Times New Roman"/>
        </w:rPr>
        <w:t xml:space="preserve">je zostavený v podmienkach </w:t>
      </w:r>
      <w:r w:rsidRPr="000619E5" w:rsidR="00B229E9">
        <w:rPr>
          <w:rFonts w:ascii="Times New Roman" w:hAnsi="Times New Roman"/>
          <w:szCs w:val="24"/>
        </w:rPr>
        <w:t>zákona č. </w:t>
      </w:r>
      <w:r w:rsidRPr="000619E5" w:rsidR="00F11721">
        <w:rPr>
          <w:rFonts w:ascii="Times New Roman" w:hAnsi="Times New Roman"/>
          <w:szCs w:val="24"/>
        </w:rPr>
        <w:t>461/2003 Z. z. o sociálnom poistení v znení neskorších predpisov a o zmene a doplnení niektorých zákonov (ďalej len „zákon o sociálnom poistení“)</w:t>
      </w:r>
      <w:r w:rsidRPr="000619E5" w:rsidR="00F11721">
        <w:rPr>
          <w:rFonts w:ascii="Times New Roman" w:hAnsi="Times New Roman"/>
        </w:rPr>
        <w:t xml:space="preserve"> účinných k termínu spracovávania materiálu. </w:t>
      </w:r>
    </w:p>
    <w:p w:rsidR="00F11721" w:rsidRPr="0072461E" w:rsidP="00694A10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>Zohľadňuje skutočné výsledky hospodárenia Sociálnej poisťovne v roku 201</w:t>
      </w:r>
      <w:r w:rsidRPr="000619E5" w:rsidR="00B47898">
        <w:rPr>
          <w:rFonts w:ascii="Times New Roman" w:hAnsi="Times New Roman"/>
        </w:rPr>
        <w:t>2</w:t>
      </w:r>
      <w:r w:rsidRPr="000619E5">
        <w:rPr>
          <w:rFonts w:ascii="Times New Roman" w:hAnsi="Times New Roman"/>
        </w:rPr>
        <w:t xml:space="preserve"> </w:t>
      </w:r>
      <w:r w:rsidRPr="000619E5" w:rsidR="00694A10">
        <w:rPr>
          <w:rFonts w:ascii="Times New Roman" w:hAnsi="Times New Roman"/>
        </w:rPr>
        <w:t xml:space="preserve">a v mesiacoch január až </w:t>
      </w:r>
      <w:r w:rsidR="00F4221E">
        <w:rPr>
          <w:rFonts w:ascii="Times New Roman" w:hAnsi="Times New Roman"/>
        </w:rPr>
        <w:t>august</w:t>
      </w:r>
      <w:r w:rsidRPr="000619E5" w:rsidR="00694A10">
        <w:rPr>
          <w:rFonts w:ascii="Times New Roman" w:hAnsi="Times New Roman"/>
        </w:rPr>
        <w:t xml:space="preserve"> 2013 </w:t>
      </w:r>
      <w:r w:rsidRPr="000619E5">
        <w:rPr>
          <w:rFonts w:ascii="Times New Roman" w:hAnsi="Times New Roman"/>
        </w:rPr>
        <w:t>a predpoklad ich vývoja do konca roka 201</w:t>
      </w:r>
      <w:r w:rsidRPr="000619E5" w:rsidR="00B47898">
        <w:rPr>
          <w:rFonts w:ascii="Times New Roman" w:hAnsi="Times New Roman"/>
        </w:rPr>
        <w:t>3</w:t>
      </w:r>
      <w:r w:rsidRPr="000619E5" w:rsidR="00694A10">
        <w:rPr>
          <w:rFonts w:ascii="Times New Roman" w:hAnsi="Times New Roman"/>
        </w:rPr>
        <w:t>,</w:t>
      </w:r>
      <w:r w:rsidRPr="000619E5">
        <w:rPr>
          <w:rFonts w:ascii="Times New Roman" w:hAnsi="Times New Roman"/>
        </w:rPr>
        <w:t xml:space="preserve"> vplyv  makroekonomických ukazovateľov zverejnených Inštitútom finančnej politiky Ministerstva financií Slovenskej republiky </w:t>
      </w:r>
      <w:r w:rsidR="00D47C3E">
        <w:rPr>
          <w:rFonts w:ascii="Times New Roman" w:hAnsi="Times New Roman"/>
        </w:rPr>
        <w:t xml:space="preserve">(IFP MF SR) </w:t>
      </w:r>
      <w:r w:rsidR="00B710FD">
        <w:rPr>
          <w:rFonts w:ascii="Times New Roman" w:hAnsi="Times New Roman"/>
        </w:rPr>
        <w:t>1</w:t>
      </w:r>
      <w:r w:rsidR="00F4221E">
        <w:rPr>
          <w:rFonts w:ascii="Times New Roman" w:hAnsi="Times New Roman"/>
        </w:rPr>
        <w:t>6</w:t>
      </w:r>
      <w:r w:rsidR="00B710FD">
        <w:rPr>
          <w:rFonts w:ascii="Times New Roman" w:hAnsi="Times New Roman"/>
        </w:rPr>
        <w:t xml:space="preserve">. </w:t>
      </w:r>
      <w:r w:rsidR="00F4221E">
        <w:rPr>
          <w:rFonts w:ascii="Times New Roman" w:hAnsi="Times New Roman"/>
        </w:rPr>
        <w:t>septembra</w:t>
      </w:r>
      <w:r w:rsidRPr="000619E5" w:rsidR="00B47898">
        <w:rPr>
          <w:rFonts w:ascii="Times New Roman" w:hAnsi="Times New Roman"/>
        </w:rPr>
        <w:t xml:space="preserve"> 2013</w:t>
      </w:r>
      <w:r w:rsidRPr="000619E5" w:rsidR="00694A10">
        <w:rPr>
          <w:rFonts w:ascii="Times New Roman" w:hAnsi="Times New Roman"/>
        </w:rPr>
        <w:t xml:space="preserve"> a</w:t>
      </w:r>
      <w:r w:rsidR="005B6860">
        <w:rPr>
          <w:rFonts w:ascii="Times New Roman" w:hAnsi="Times New Roman"/>
        </w:rPr>
        <w:t> </w:t>
      </w:r>
      <w:r w:rsidRPr="005B6860" w:rsidR="005B6860">
        <w:rPr>
          <w:rFonts w:ascii="Times New Roman" w:hAnsi="Times New Roman"/>
          <w:color w:val="FF0000"/>
        </w:rPr>
        <w:t xml:space="preserve"> </w:t>
      </w:r>
      <w:r w:rsidRPr="0072461E" w:rsidR="00B229E9">
        <w:rPr>
          <w:rFonts w:ascii="Times New Roman" w:hAnsi="Times New Roman"/>
        </w:rPr>
        <w:t>Ministerstvo</w:t>
      </w:r>
      <w:r w:rsidRPr="0072461E" w:rsidR="009115F7">
        <w:rPr>
          <w:rFonts w:ascii="Times New Roman" w:hAnsi="Times New Roman"/>
        </w:rPr>
        <w:t>m</w:t>
      </w:r>
      <w:r w:rsidRPr="0072461E" w:rsidR="00B229E9">
        <w:rPr>
          <w:rFonts w:ascii="Times New Roman" w:hAnsi="Times New Roman"/>
        </w:rPr>
        <w:t xml:space="preserve"> financií Slovenskej republiky</w:t>
      </w:r>
      <w:r w:rsidRPr="0072461E" w:rsidR="00694A10">
        <w:rPr>
          <w:rFonts w:ascii="Times New Roman" w:hAnsi="Times New Roman"/>
        </w:rPr>
        <w:t xml:space="preserve"> </w:t>
      </w:r>
      <w:r w:rsidRPr="0072461E" w:rsidR="00DC26E6">
        <w:rPr>
          <w:rFonts w:ascii="Times New Roman" w:hAnsi="Times New Roman"/>
        </w:rPr>
        <w:t>navrhované limity príjmov a výdavkov Sociálnej poisťovne</w:t>
      </w:r>
      <w:r w:rsidRPr="0072461E" w:rsidR="00694A10">
        <w:rPr>
          <w:rFonts w:ascii="Times New Roman" w:hAnsi="Times New Roman"/>
        </w:rPr>
        <w:t>.</w:t>
      </w:r>
    </w:p>
    <w:p w:rsidR="00694A10" w:rsidRPr="000619E5" w:rsidP="00694A10">
      <w:pPr>
        <w:pStyle w:val="BodyTextIndent2"/>
        <w:numPr>
          <w:numId w:val="27"/>
        </w:numPr>
        <w:bidi w:val="0"/>
        <w:spacing w:before="240" w:line="240" w:lineRule="auto"/>
        <w:ind w:left="709" w:hanging="709"/>
        <w:jc w:val="both"/>
        <w:rPr>
          <w:rFonts w:ascii="Times New Roman" w:hAnsi="Times New Roman"/>
          <w:b/>
          <w:szCs w:val="24"/>
        </w:rPr>
      </w:pPr>
      <w:r w:rsidRPr="000619E5">
        <w:rPr>
          <w:rFonts w:ascii="Times New Roman" w:hAnsi="Times New Roman"/>
          <w:b/>
          <w:szCs w:val="24"/>
        </w:rPr>
        <w:t>Očakávané výsledky hospodárenia Sociálnej poisťovne v roku 2013</w:t>
      </w:r>
    </w:p>
    <w:p w:rsidR="00694A10" w:rsidP="00694A10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b/>
          <w:szCs w:val="24"/>
        </w:rPr>
        <w:t xml:space="preserve">Príjmy Sociálnej poisťovne v roku 2013 </w:t>
      </w:r>
      <w:r w:rsidRPr="000619E5" w:rsidR="00597938">
        <w:rPr>
          <w:rFonts w:ascii="Times New Roman" w:hAnsi="Times New Roman"/>
          <w:szCs w:val="24"/>
        </w:rPr>
        <w:t>sa</w:t>
      </w:r>
      <w:r w:rsidRPr="000619E5" w:rsidR="00597938">
        <w:rPr>
          <w:rFonts w:ascii="Times New Roman" w:hAnsi="Times New Roman"/>
          <w:b/>
          <w:szCs w:val="24"/>
        </w:rPr>
        <w:t xml:space="preserve"> </w:t>
      </w:r>
      <w:r w:rsidRPr="000619E5">
        <w:rPr>
          <w:rFonts w:ascii="Times New Roman" w:hAnsi="Times New Roman"/>
          <w:szCs w:val="24"/>
        </w:rPr>
        <w:t xml:space="preserve">očakávajú: </w:t>
      </w:r>
    </w:p>
    <w:tbl>
      <w:tblPr>
        <w:tblStyle w:val="TableNormal"/>
        <w:tblW w:w="96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1640"/>
        <w:gridCol w:w="1600"/>
        <w:gridCol w:w="1480"/>
      </w:tblGrid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Rozdiel 2-1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 xml:space="preserve">Schválený rozpočet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0138B" w:rsidRPr="002B5011" w:rsidP="00F013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Zdroje celkom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7 261 826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7 188 015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-73 811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prevod z minulých rokov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549 312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531 638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-17 674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6 712 514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6 656 377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-56 137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5011" w:rsidRPr="002B5011" w:rsidP="00237B11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a) príjmy z bežného poistného od ekonomicky aktívneho obyvateľstva (EAO)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5 278 842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5 190 684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-88 158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b) príjmy z poistného od štátu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233 504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234 410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c) príjmy od Sociálnej poisťovne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d) príjmy zo sankcií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4 445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14 916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B5011">
              <w:rPr>
                <w:rFonts w:ascii="Times New Roman" w:hAnsi="Times New Roman"/>
                <w:i/>
                <w:iCs/>
                <w:sz w:val="22"/>
                <w:szCs w:val="22"/>
              </w:rPr>
              <w:t>10 471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 xml:space="preserve">e) príjmy z dlžného poistného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230 058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228 211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-1 847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 xml:space="preserve">f) ostatné príjmy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703 593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733 628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30 035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B501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z toho príjmy zo štátneho rozpočtu SR (ŠR SR)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689 099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714 496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25 397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g) príjmy z otvorenia II. piliera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229 138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239 727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10 589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h) príspevky na starobné dôchodkové sporenie (SDS) zaplatené zamestnávateľom po uplynutí 60 dní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29 854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11 766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-18 088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i) príjmy správneho fondu z príspevkov na SDS (EAO)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1 009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965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-44</w:t>
            </w:r>
          </w:p>
        </w:tc>
      </w:tr>
      <w:tr>
        <w:tblPrEx>
          <w:tblW w:w="9697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5011" w:rsidRPr="002B5011" w:rsidP="00F013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j) príjmy správneho fondu z príspevkov na SDS (štát)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</w:tbl>
    <w:p w:rsidR="008969BB" w:rsidP="00694A10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8510BF" w:rsidP="008510BF">
      <w:pPr>
        <w:bidi w:val="0"/>
        <w:spacing w:after="120"/>
        <w:ind w:firstLine="709"/>
        <w:jc w:val="both"/>
        <w:rPr>
          <w:rFonts w:ascii="Times New Roman" w:eastAsia="Calibri" w:hAnsi="Times New Roman"/>
          <w:szCs w:val="24"/>
        </w:rPr>
      </w:pPr>
      <w:r w:rsidRPr="008510BF" w:rsidR="00694A10">
        <w:rPr>
          <w:rFonts w:ascii="Times New Roman" w:eastAsia="Calibri" w:hAnsi="Times New Roman" w:hint="default"/>
          <w:szCs w:val="24"/>
        </w:rPr>
        <w:t>Na zá</w:t>
      </w:r>
      <w:r w:rsidRPr="008510BF" w:rsidR="00694A10">
        <w:rPr>
          <w:rFonts w:ascii="Times New Roman" w:eastAsia="Calibri" w:hAnsi="Times New Roman" w:hint="default"/>
          <w:szCs w:val="24"/>
        </w:rPr>
        <w:t>klade aktuá</w:t>
      </w:r>
      <w:r w:rsidRPr="008510BF" w:rsidR="00694A10">
        <w:rPr>
          <w:rFonts w:ascii="Times New Roman" w:eastAsia="Calibri" w:hAnsi="Times New Roman" w:hint="default"/>
          <w:szCs w:val="24"/>
        </w:rPr>
        <w:t>lneho vý</w:t>
      </w:r>
      <w:r w:rsidRPr="008510BF" w:rsidR="00694A10">
        <w:rPr>
          <w:rFonts w:ascii="Times New Roman" w:eastAsia="Calibri" w:hAnsi="Times New Roman" w:hint="default"/>
          <w:szCs w:val="24"/>
        </w:rPr>
        <w:t>voja makroekonomický</w:t>
      </w:r>
      <w:r w:rsidRPr="008510BF" w:rsidR="00694A10">
        <w:rPr>
          <w:rFonts w:ascii="Times New Roman" w:eastAsia="Calibri" w:hAnsi="Times New Roman" w:hint="default"/>
          <w:szCs w:val="24"/>
        </w:rPr>
        <w:t>ch ukazovateľ</w:t>
      </w:r>
      <w:r w:rsidRPr="008510BF" w:rsidR="00694A10">
        <w:rPr>
          <w:rFonts w:ascii="Times New Roman" w:eastAsia="Calibri" w:hAnsi="Times New Roman" w:hint="default"/>
          <w:szCs w:val="24"/>
        </w:rPr>
        <w:t>ov a </w:t>
      </w:r>
      <w:r w:rsidRPr="008510BF" w:rsidR="00694A10">
        <w:rPr>
          <w:rFonts w:ascii="Times New Roman" w:eastAsia="Calibri" w:hAnsi="Times New Roman" w:hint="default"/>
          <w:szCs w:val="24"/>
        </w:rPr>
        <w:t>skutoč</w:t>
      </w:r>
      <w:r w:rsidRPr="008510BF" w:rsidR="00694A10">
        <w:rPr>
          <w:rFonts w:ascii="Times New Roman" w:eastAsia="Calibri" w:hAnsi="Times New Roman" w:hint="default"/>
          <w:szCs w:val="24"/>
        </w:rPr>
        <w:t>né</w:t>
      </w:r>
      <w:r w:rsidRPr="008510BF" w:rsidR="00694A10">
        <w:rPr>
          <w:rFonts w:ascii="Times New Roman" w:eastAsia="Calibri" w:hAnsi="Times New Roman" w:hint="default"/>
          <w:szCs w:val="24"/>
        </w:rPr>
        <w:t>ho plnenia prí</w:t>
      </w:r>
      <w:r w:rsidRPr="008510BF" w:rsidR="00694A10">
        <w:rPr>
          <w:rFonts w:ascii="Times New Roman" w:eastAsia="Calibri" w:hAnsi="Times New Roman" w:hint="default"/>
          <w:szCs w:val="24"/>
        </w:rPr>
        <w:t>jmovej č</w:t>
      </w:r>
      <w:r w:rsidRPr="008510BF" w:rsidR="00694A10">
        <w:rPr>
          <w:rFonts w:ascii="Times New Roman" w:eastAsia="Calibri" w:hAnsi="Times New Roman" w:hint="default"/>
          <w:szCs w:val="24"/>
        </w:rPr>
        <w:t>asti rozpoč</w:t>
      </w:r>
      <w:r w:rsidRPr="008510BF" w:rsidR="00694A10">
        <w:rPr>
          <w:rFonts w:ascii="Times New Roman" w:eastAsia="Calibri" w:hAnsi="Times New Roman" w:hint="default"/>
          <w:szCs w:val="24"/>
        </w:rPr>
        <w:t>tu v </w:t>
      </w:r>
      <w:r w:rsidRPr="008510BF" w:rsidR="00694A10">
        <w:rPr>
          <w:rFonts w:ascii="Times New Roman" w:eastAsia="Calibri" w:hAnsi="Times New Roman" w:hint="default"/>
          <w:szCs w:val="24"/>
        </w:rPr>
        <w:t>mesiacoch januá</w:t>
      </w:r>
      <w:r w:rsidRPr="008510BF" w:rsidR="00694A10">
        <w:rPr>
          <w:rFonts w:ascii="Times New Roman" w:eastAsia="Calibri" w:hAnsi="Times New Roman" w:hint="default"/>
          <w:szCs w:val="24"/>
        </w:rPr>
        <w:t>r až</w:t>
      </w:r>
      <w:r w:rsidRPr="008510BF" w:rsidR="00694A10">
        <w:rPr>
          <w:rFonts w:ascii="Times New Roman" w:eastAsia="Calibri" w:hAnsi="Times New Roman" w:hint="default"/>
          <w:szCs w:val="24"/>
        </w:rPr>
        <w:t xml:space="preserve"> </w:t>
      </w:r>
      <w:r w:rsidRPr="008510BF" w:rsidR="0034649A">
        <w:rPr>
          <w:rFonts w:ascii="Times New Roman" w:eastAsia="Calibri" w:hAnsi="Times New Roman"/>
          <w:szCs w:val="24"/>
        </w:rPr>
        <w:t>august</w:t>
      </w:r>
      <w:r w:rsidRPr="008510BF" w:rsidR="00694A10">
        <w:rPr>
          <w:rFonts w:ascii="Times New Roman" w:eastAsia="Calibri" w:hAnsi="Times New Roman"/>
          <w:szCs w:val="24"/>
        </w:rPr>
        <w:t xml:space="preserve"> 2013 </w:t>
      </w:r>
      <w:r w:rsidR="007B2633">
        <w:rPr>
          <w:rFonts w:ascii="Times New Roman" w:eastAsia="Calibri" w:hAnsi="Times New Roman"/>
          <w:szCs w:val="24"/>
        </w:rPr>
        <w:t xml:space="preserve">sa </w:t>
      </w:r>
      <w:r w:rsidRPr="008510BF" w:rsidR="00694A10">
        <w:rPr>
          <w:rFonts w:ascii="Times New Roman" w:eastAsia="Calibri" w:hAnsi="Times New Roman" w:hint="default"/>
          <w:szCs w:val="24"/>
        </w:rPr>
        <w:t>oč</w:t>
      </w:r>
      <w:r w:rsidRPr="008510BF" w:rsidR="00694A10">
        <w:rPr>
          <w:rFonts w:ascii="Times New Roman" w:eastAsia="Calibri" w:hAnsi="Times New Roman" w:hint="default"/>
          <w:szCs w:val="24"/>
        </w:rPr>
        <w:t>aká</w:t>
      </w:r>
      <w:r w:rsidRPr="008510BF" w:rsidR="00694A10">
        <w:rPr>
          <w:rFonts w:ascii="Times New Roman" w:eastAsia="Calibri" w:hAnsi="Times New Roman" w:hint="default"/>
          <w:szCs w:val="24"/>
        </w:rPr>
        <w:t xml:space="preserve">va </w:t>
      </w:r>
      <w:r w:rsidR="007B2633">
        <w:rPr>
          <w:rFonts w:ascii="Times New Roman" w:eastAsia="Calibri" w:hAnsi="Times New Roman" w:hint="default"/>
          <w:szCs w:val="24"/>
        </w:rPr>
        <w:t>nižš</w:t>
      </w:r>
      <w:r w:rsidR="007B2633">
        <w:rPr>
          <w:rFonts w:ascii="Times New Roman" w:eastAsia="Calibri" w:hAnsi="Times New Roman" w:hint="default"/>
          <w:szCs w:val="24"/>
        </w:rPr>
        <w:t>ie plnenie</w:t>
      </w:r>
      <w:r w:rsidRPr="008510BF" w:rsidR="00694A10">
        <w:rPr>
          <w:rFonts w:ascii="Times New Roman" w:eastAsia="Calibri" w:hAnsi="Times New Roman" w:hint="default"/>
          <w:szCs w:val="24"/>
        </w:rPr>
        <w:t xml:space="preserve"> rozpoč</w:t>
      </w:r>
      <w:r w:rsidRPr="008510BF" w:rsidR="00694A10">
        <w:rPr>
          <w:rFonts w:ascii="Times New Roman" w:eastAsia="Calibri" w:hAnsi="Times New Roman" w:hint="default"/>
          <w:szCs w:val="24"/>
        </w:rPr>
        <w:t>tu prí</w:t>
      </w:r>
      <w:r w:rsidRPr="008510BF" w:rsidR="00694A10">
        <w:rPr>
          <w:rFonts w:ascii="Times New Roman" w:eastAsia="Calibri" w:hAnsi="Times New Roman" w:hint="default"/>
          <w:szCs w:val="24"/>
        </w:rPr>
        <w:t xml:space="preserve">jmov </w:t>
      </w:r>
      <w:r w:rsidRPr="008510BF" w:rsidR="00B229E9">
        <w:rPr>
          <w:rFonts w:ascii="Times New Roman" w:eastAsia="Calibri" w:hAnsi="Times New Roman"/>
          <w:szCs w:val="24"/>
        </w:rPr>
        <w:t>z</w:t>
      </w:r>
      <w:r w:rsidRPr="008510BF" w:rsidR="00923001">
        <w:rPr>
          <w:rFonts w:ascii="Times New Roman" w:eastAsia="Calibri" w:hAnsi="Times New Roman"/>
          <w:szCs w:val="24"/>
        </w:rPr>
        <w:t> </w:t>
      </w:r>
      <w:r w:rsidRPr="008510BF" w:rsidR="00923001">
        <w:rPr>
          <w:rFonts w:ascii="Times New Roman" w:eastAsia="Calibri" w:hAnsi="Times New Roman" w:hint="default"/>
          <w:szCs w:val="24"/>
        </w:rPr>
        <w:t>bež</w:t>
      </w:r>
      <w:r w:rsidRPr="008510BF" w:rsidR="00923001">
        <w:rPr>
          <w:rFonts w:ascii="Times New Roman" w:eastAsia="Calibri" w:hAnsi="Times New Roman" w:hint="default"/>
          <w:szCs w:val="24"/>
        </w:rPr>
        <w:t>né</w:t>
      </w:r>
      <w:r w:rsidRPr="008510BF" w:rsidR="00923001">
        <w:rPr>
          <w:rFonts w:ascii="Times New Roman" w:eastAsia="Calibri" w:hAnsi="Times New Roman" w:hint="default"/>
          <w:szCs w:val="24"/>
        </w:rPr>
        <w:t xml:space="preserve">ho </w:t>
      </w:r>
      <w:r w:rsidRPr="008510BF" w:rsidR="00B229E9">
        <w:rPr>
          <w:rFonts w:ascii="Times New Roman" w:eastAsia="Calibri" w:hAnsi="Times New Roman" w:hint="default"/>
          <w:szCs w:val="24"/>
        </w:rPr>
        <w:t>poistné</w:t>
      </w:r>
      <w:r w:rsidRPr="008510BF" w:rsidR="00B229E9">
        <w:rPr>
          <w:rFonts w:ascii="Times New Roman" w:eastAsia="Calibri" w:hAnsi="Times New Roman" w:hint="default"/>
          <w:szCs w:val="24"/>
        </w:rPr>
        <w:t xml:space="preserve">ho </w:t>
      </w:r>
      <w:r w:rsidRPr="008510BF" w:rsidR="00694A10">
        <w:rPr>
          <w:rFonts w:ascii="Times New Roman" w:eastAsia="Calibri" w:hAnsi="Times New Roman"/>
          <w:szCs w:val="24"/>
        </w:rPr>
        <w:t>od EAO v roku 2013 o</w:t>
      </w:r>
      <w:r w:rsidRPr="008510BF" w:rsidR="0034649A">
        <w:rPr>
          <w:rFonts w:ascii="Times New Roman" w:eastAsia="Calibri" w:hAnsi="Times New Roman"/>
          <w:szCs w:val="24"/>
        </w:rPr>
        <w:t> </w:t>
      </w:r>
      <w:r w:rsidRPr="008510BF" w:rsidR="0034649A">
        <w:rPr>
          <w:rFonts w:ascii="Times New Roman" w:eastAsia="Calibri" w:hAnsi="Times New Roman"/>
          <w:szCs w:val="24"/>
        </w:rPr>
        <w:t>88 158</w:t>
      </w:r>
      <w:r w:rsidRPr="008510BF" w:rsidR="00694A10">
        <w:rPr>
          <w:rFonts w:ascii="Times New Roman" w:eastAsia="Calibri" w:hAnsi="Times New Roman"/>
          <w:szCs w:val="24"/>
        </w:rPr>
        <w:t> </w:t>
      </w:r>
      <w:r w:rsidRPr="008510BF" w:rsidR="00694A10">
        <w:rPr>
          <w:rFonts w:ascii="Times New Roman" w:eastAsia="Calibri" w:hAnsi="Times New Roman"/>
          <w:szCs w:val="24"/>
        </w:rPr>
        <w:t>tis. Eur</w:t>
      </w:r>
      <w:r w:rsidRPr="008510BF" w:rsidR="0072461E">
        <w:rPr>
          <w:rFonts w:ascii="Times New Roman" w:eastAsia="Calibri" w:hAnsi="Times New Roman"/>
          <w:szCs w:val="24"/>
        </w:rPr>
        <w:t xml:space="preserve"> a o </w:t>
      </w:r>
      <w:r w:rsidRPr="008510BF" w:rsidR="002B5011">
        <w:rPr>
          <w:rFonts w:ascii="Times New Roman" w:eastAsia="Calibri" w:hAnsi="Times New Roman"/>
          <w:szCs w:val="24"/>
        </w:rPr>
        <w:t>1</w:t>
      </w:r>
      <w:r w:rsidRPr="008510BF" w:rsidR="0072461E">
        <w:rPr>
          <w:rFonts w:ascii="Times New Roman" w:eastAsia="Calibri" w:hAnsi="Times New Roman"/>
          <w:szCs w:val="24"/>
        </w:rPr>
        <w:t> </w:t>
      </w:r>
      <w:r w:rsidRPr="008510BF" w:rsidR="002B5011">
        <w:rPr>
          <w:rFonts w:ascii="Times New Roman" w:eastAsia="Calibri" w:hAnsi="Times New Roman"/>
          <w:szCs w:val="24"/>
        </w:rPr>
        <w:t>847</w:t>
      </w:r>
      <w:r w:rsidRPr="008510BF" w:rsidR="0072461E">
        <w:rPr>
          <w:rFonts w:ascii="Times New Roman" w:eastAsia="Calibri" w:hAnsi="Times New Roman"/>
          <w:szCs w:val="24"/>
        </w:rPr>
        <w:t> </w:t>
      </w:r>
      <w:r w:rsidRPr="008510BF" w:rsidR="0072461E">
        <w:rPr>
          <w:rFonts w:ascii="Times New Roman" w:eastAsia="Calibri" w:hAnsi="Times New Roman"/>
          <w:szCs w:val="24"/>
        </w:rPr>
        <w:t>tis. Eur z </w:t>
      </w:r>
      <w:r w:rsidRPr="008510BF" w:rsidR="0072461E">
        <w:rPr>
          <w:rFonts w:ascii="Times New Roman" w:eastAsia="Calibri" w:hAnsi="Times New Roman" w:hint="default"/>
          <w:szCs w:val="24"/>
        </w:rPr>
        <w:t>dlž</w:t>
      </w:r>
      <w:r w:rsidRPr="008510BF" w:rsidR="0072461E">
        <w:rPr>
          <w:rFonts w:ascii="Times New Roman" w:eastAsia="Calibri" w:hAnsi="Times New Roman" w:hint="default"/>
          <w:szCs w:val="24"/>
        </w:rPr>
        <w:t>né</w:t>
      </w:r>
      <w:r w:rsidRPr="008510BF" w:rsidR="0072461E">
        <w:rPr>
          <w:rFonts w:ascii="Times New Roman" w:eastAsia="Calibri" w:hAnsi="Times New Roman" w:hint="default"/>
          <w:szCs w:val="24"/>
        </w:rPr>
        <w:t>ho poistné</w:t>
      </w:r>
      <w:r w:rsidRPr="008510BF" w:rsidR="0072461E">
        <w:rPr>
          <w:rFonts w:ascii="Times New Roman" w:eastAsia="Calibri" w:hAnsi="Times New Roman" w:hint="default"/>
          <w:szCs w:val="24"/>
        </w:rPr>
        <w:t>ho</w:t>
      </w:r>
      <w:r w:rsidRPr="008510BF" w:rsidR="00694A10">
        <w:rPr>
          <w:rFonts w:ascii="Times New Roman" w:eastAsia="Calibri" w:hAnsi="Times New Roman"/>
          <w:szCs w:val="24"/>
        </w:rPr>
        <w:t>.</w:t>
      </w:r>
      <w:r w:rsidRPr="008510BF" w:rsidR="00923001">
        <w:rPr>
          <w:rFonts w:ascii="Times New Roman" w:eastAsia="Calibri" w:hAnsi="Times New Roman"/>
          <w:szCs w:val="24"/>
        </w:rPr>
        <w:t xml:space="preserve"> </w:t>
      </w:r>
      <w:r w:rsidRPr="008510BF">
        <w:rPr>
          <w:rFonts w:ascii="Times New Roman" w:eastAsia="Calibri" w:hAnsi="Times New Roman"/>
          <w:szCs w:val="24"/>
        </w:rPr>
        <w:t>V </w:t>
      </w:r>
      <w:r w:rsidRPr="008510BF">
        <w:rPr>
          <w:rFonts w:ascii="Times New Roman" w:eastAsia="Calibri" w:hAnsi="Times New Roman" w:hint="default"/>
          <w:szCs w:val="24"/>
        </w:rPr>
        <w:t>oč</w:t>
      </w:r>
      <w:r w:rsidRPr="008510BF">
        <w:rPr>
          <w:rFonts w:ascii="Times New Roman" w:eastAsia="Calibri" w:hAnsi="Times New Roman" w:hint="default"/>
          <w:szCs w:val="24"/>
        </w:rPr>
        <w:t>aká</w:t>
      </w:r>
      <w:r w:rsidRPr="008510BF">
        <w:rPr>
          <w:rFonts w:ascii="Times New Roman" w:eastAsia="Calibri" w:hAnsi="Times New Roman" w:hint="default"/>
          <w:szCs w:val="24"/>
        </w:rPr>
        <w:t>vanej skutoč</w:t>
      </w:r>
      <w:r w:rsidRPr="008510BF">
        <w:rPr>
          <w:rFonts w:ascii="Times New Roman" w:eastAsia="Calibri" w:hAnsi="Times New Roman" w:hint="default"/>
          <w:szCs w:val="24"/>
        </w:rPr>
        <w:t>nosti prí</w:t>
      </w:r>
      <w:r w:rsidRPr="008510BF">
        <w:rPr>
          <w:rFonts w:ascii="Times New Roman" w:eastAsia="Calibri" w:hAnsi="Times New Roman" w:hint="default"/>
          <w:szCs w:val="24"/>
        </w:rPr>
        <w:t>jmov z dlž</w:t>
      </w:r>
      <w:r w:rsidRPr="008510BF">
        <w:rPr>
          <w:rFonts w:ascii="Times New Roman" w:eastAsia="Calibri" w:hAnsi="Times New Roman" w:hint="default"/>
          <w:szCs w:val="24"/>
        </w:rPr>
        <w:t>né</w:t>
      </w:r>
      <w:r w:rsidRPr="008510BF">
        <w:rPr>
          <w:rFonts w:ascii="Times New Roman" w:eastAsia="Calibri" w:hAnsi="Times New Roman" w:hint="default"/>
          <w:szCs w:val="24"/>
        </w:rPr>
        <w:t>ho poistné</w:t>
      </w:r>
      <w:r w:rsidRPr="008510BF">
        <w:rPr>
          <w:rFonts w:ascii="Times New Roman" w:eastAsia="Calibri" w:hAnsi="Times New Roman" w:hint="default"/>
          <w:szCs w:val="24"/>
        </w:rPr>
        <w:t>ho je zapracované</w:t>
      </w:r>
      <w:r w:rsidRPr="008510BF">
        <w:rPr>
          <w:rFonts w:ascii="Times New Roman" w:eastAsia="Calibri" w:hAnsi="Times New Roman" w:hint="default"/>
          <w:szCs w:val="24"/>
        </w:rPr>
        <w:t xml:space="preserve"> plá</w:t>
      </w:r>
      <w:r w:rsidRPr="008510BF">
        <w:rPr>
          <w:rFonts w:ascii="Times New Roman" w:eastAsia="Calibri" w:hAnsi="Times New Roman" w:hint="default"/>
          <w:szCs w:val="24"/>
        </w:rPr>
        <w:t>nované</w:t>
      </w:r>
      <w:r w:rsidRPr="008510BF">
        <w:rPr>
          <w:rFonts w:ascii="Times New Roman" w:eastAsia="Calibri" w:hAnsi="Times New Roman" w:hint="default"/>
          <w:szCs w:val="24"/>
        </w:rPr>
        <w:t xml:space="preserve"> oddlž</w:t>
      </w:r>
      <w:r w:rsidRPr="008510BF">
        <w:rPr>
          <w:rFonts w:ascii="Times New Roman" w:eastAsia="Calibri" w:hAnsi="Times New Roman" w:hint="default"/>
          <w:szCs w:val="24"/>
        </w:rPr>
        <w:t>enie zdravotní</w:t>
      </w:r>
      <w:r w:rsidRPr="008510BF">
        <w:rPr>
          <w:rFonts w:ascii="Times New Roman" w:eastAsia="Calibri" w:hAnsi="Times New Roman" w:hint="default"/>
          <w:szCs w:val="24"/>
        </w:rPr>
        <w:t>ckych zariadení</w:t>
      </w:r>
      <w:r w:rsidRPr="008510BF">
        <w:rPr>
          <w:rFonts w:ascii="Times New Roman" w:eastAsia="Calibri" w:hAnsi="Times New Roman" w:hint="default"/>
          <w:szCs w:val="24"/>
        </w:rPr>
        <w:t xml:space="preserve"> vo výš</w:t>
      </w:r>
      <w:r w:rsidRPr="008510BF">
        <w:rPr>
          <w:rFonts w:ascii="Times New Roman" w:eastAsia="Calibri" w:hAnsi="Times New Roman" w:hint="default"/>
          <w:szCs w:val="24"/>
        </w:rPr>
        <w:t xml:space="preserve">ke 9 mil. Eur. </w:t>
      </w:r>
    </w:p>
    <w:p w:rsidR="00694A10" w:rsidRPr="008510BF" w:rsidP="008510BF">
      <w:pPr>
        <w:bidi w:val="0"/>
        <w:spacing w:after="120"/>
        <w:ind w:firstLine="709"/>
        <w:jc w:val="both"/>
        <w:rPr>
          <w:rFonts w:ascii="Times New Roman" w:eastAsia="Calibri" w:hAnsi="Times New Roman"/>
          <w:szCs w:val="24"/>
        </w:rPr>
      </w:pPr>
      <w:r w:rsidRPr="008510BF" w:rsidR="00923001">
        <w:rPr>
          <w:rFonts w:ascii="Times New Roman" w:eastAsia="Calibri" w:hAnsi="Times New Roman" w:hint="default"/>
          <w:szCs w:val="24"/>
        </w:rPr>
        <w:t>Vý</w:t>
      </w:r>
      <w:r w:rsidRPr="008510BF" w:rsidR="00923001">
        <w:rPr>
          <w:rFonts w:ascii="Times New Roman" w:eastAsia="Calibri" w:hAnsi="Times New Roman" w:hint="default"/>
          <w:szCs w:val="24"/>
        </w:rPr>
        <w:t>ber od EAO vrá</w:t>
      </w:r>
      <w:r w:rsidRPr="008510BF" w:rsidR="00923001">
        <w:rPr>
          <w:rFonts w:ascii="Times New Roman" w:eastAsia="Calibri" w:hAnsi="Times New Roman" w:hint="default"/>
          <w:szCs w:val="24"/>
        </w:rPr>
        <w:t>tane prí</w:t>
      </w:r>
      <w:r w:rsidRPr="008510BF" w:rsidR="00923001">
        <w:rPr>
          <w:rFonts w:ascii="Times New Roman" w:eastAsia="Calibri" w:hAnsi="Times New Roman" w:hint="default"/>
          <w:szCs w:val="24"/>
        </w:rPr>
        <w:t>spevkov na SDS sa v </w:t>
      </w:r>
      <w:r w:rsidRPr="008510BF" w:rsidR="00923001">
        <w:rPr>
          <w:rFonts w:ascii="Times New Roman" w:eastAsia="Calibri" w:hAnsi="Times New Roman" w:hint="default"/>
          <w:szCs w:val="24"/>
        </w:rPr>
        <w:t>roku 2013 oč</w:t>
      </w:r>
      <w:r w:rsidRPr="008510BF" w:rsidR="00923001">
        <w:rPr>
          <w:rFonts w:ascii="Times New Roman" w:eastAsia="Calibri" w:hAnsi="Times New Roman" w:hint="default"/>
          <w:szCs w:val="24"/>
        </w:rPr>
        <w:t>aká</w:t>
      </w:r>
      <w:r w:rsidRPr="008510BF" w:rsidR="00923001">
        <w:rPr>
          <w:rFonts w:ascii="Times New Roman" w:eastAsia="Calibri" w:hAnsi="Times New Roman" w:hint="default"/>
          <w:szCs w:val="24"/>
        </w:rPr>
        <w:t>va o</w:t>
      </w:r>
      <w:r w:rsidRPr="008510BF" w:rsidR="006A139F">
        <w:rPr>
          <w:rFonts w:ascii="Times New Roman" w:eastAsia="Calibri" w:hAnsi="Times New Roman"/>
          <w:szCs w:val="24"/>
        </w:rPr>
        <w:t> </w:t>
      </w:r>
      <w:r w:rsidRPr="008510BF" w:rsidR="008510BF">
        <w:rPr>
          <w:rFonts w:ascii="Times New Roman" w:eastAsia="Calibri" w:hAnsi="Times New Roman"/>
          <w:szCs w:val="24"/>
        </w:rPr>
        <w:t>97</w:t>
      </w:r>
      <w:r w:rsidRPr="008510BF" w:rsidR="006A139F">
        <w:rPr>
          <w:rFonts w:ascii="Times New Roman" w:eastAsia="Calibri" w:hAnsi="Times New Roman"/>
          <w:szCs w:val="24"/>
        </w:rPr>
        <w:t> </w:t>
      </w:r>
      <w:r w:rsidRPr="008510BF" w:rsidR="008510BF">
        <w:rPr>
          <w:rFonts w:ascii="Times New Roman" w:eastAsia="Calibri" w:hAnsi="Times New Roman"/>
          <w:szCs w:val="24"/>
        </w:rPr>
        <w:t>045</w:t>
      </w:r>
      <w:r w:rsidRPr="008510BF" w:rsidR="006A139F">
        <w:rPr>
          <w:rFonts w:ascii="Times New Roman" w:eastAsia="Calibri" w:hAnsi="Times New Roman"/>
          <w:szCs w:val="24"/>
        </w:rPr>
        <w:t> </w:t>
      </w:r>
      <w:r w:rsidRPr="008510BF" w:rsidR="006A139F">
        <w:rPr>
          <w:rFonts w:ascii="Times New Roman" w:eastAsia="Calibri" w:hAnsi="Times New Roman"/>
          <w:szCs w:val="24"/>
        </w:rPr>
        <w:t>tis. </w:t>
      </w:r>
      <w:r w:rsidRPr="008510BF" w:rsidR="006A139F">
        <w:rPr>
          <w:rFonts w:ascii="Times New Roman" w:eastAsia="Calibri" w:hAnsi="Times New Roman" w:hint="default"/>
          <w:szCs w:val="24"/>
        </w:rPr>
        <w:t>Eur nižší</w:t>
      </w:r>
      <w:r w:rsidRPr="008510BF" w:rsidR="006A139F">
        <w:rPr>
          <w:rFonts w:ascii="Times New Roman" w:eastAsia="Calibri" w:hAnsi="Times New Roman" w:hint="default"/>
          <w:szCs w:val="24"/>
        </w:rPr>
        <w:t>, ako</w:t>
      </w:r>
      <w:r w:rsidRPr="008510BF" w:rsidR="006A139F">
        <w:rPr>
          <w:rFonts w:ascii="Times New Roman" w:eastAsia="Calibri" w:hAnsi="Times New Roman" w:hint="default"/>
          <w:szCs w:val="24"/>
        </w:rPr>
        <w:t xml:space="preserve"> bol</w:t>
      </w:r>
      <w:r w:rsidRPr="008510BF" w:rsidR="0060186D">
        <w:rPr>
          <w:rFonts w:ascii="Times New Roman" w:eastAsia="Calibri" w:hAnsi="Times New Roman"/>
          <w:szCs w:val="24"/>
        </w:rPr>
        <w:t>o</w:t>
      </w:r>
      <w:r w:rsidRPr="008510BF" w:rsidR="006A139F">
        <w:rPr>
          <w:rFonts w:ascii="Times New Roman" w:eastAsia="Calibri" w:hAnsi="Times New Roman" w:hint="default"/>
          <w:szCs w:val="24"/>
        </w:rPr>
        <w:t xml:space="preserve"> rozpoč</w:t>
      </w:r>
      <w:r w:rsidRPr="008510BF" w:rsidR="006A139F">
        <w:rPr>
          <w:rFonts w:ascii="Times New Roman" w:eastAsia="Calibri" w:hAnsi="Times New Roman" w:hint="default"/>
          <w:szCs w:val="24"/>
        </w:rPr>
        <w:t>tované</w:t>
      </w:r>
      <w:r w:rsidRPr="008510BF" w:rsidR="0060186D">
        <w:rPr>
          <w:rFonts w:ascii="Times New Roman" w:eastAsia="Calibri" w:hAnsi="Times New Roman"/>
          <w:szCs w:val="24"/>
        </w:rPr>
        <w:t>.</w:t>
      </w:r>
    </w:p>
    <w:p w:rsidR="0072461E" w:rsidP="00694A10">
      <w:pPr>
        <w:bidi w:val="0"/>
        <w:spacing w:after="120"/>
        <w:ind w:firstLine="709"/>
        <w:jc w:val="both"/>
        <w:rPr>
          <w:rFonts w:ascii="Times New Roman" w:eastAsia="Calibri" w:hAnsi="Times New Roman"/>
          <w:szCs w:val="24"/>
        </w:rPr>
      </w:pPr>
    </w:p>
    <w:p w:rsidR="00C0463B" w:rsidRPr="008510BF" w:rsidP="00694A10">
      <w:pPr>
        <w:bidi w:val="0"/>
        <w:spacing w:after="120"/>
        <w:ind w:firstLine="709"/>
        <w:jc w:val="both"/>
        <w:rPr>
          <w:rFonts w:ascii="Times New Roman" w:eastAsia="Calibri" w:hAnsi="Times New Roman"/>
          <w:szCs w:val="24"/>
        </w:rPr>
      </w:pPr>
    </w:p>
    <w:p w:rsidR="00237B11" w:rsidP="0072461E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619E5" w:rsidR="00694A10">
        <w:rPr>
          <w:rFonts w:ascii="Times New Roman" w:hAnsi="Times New Roman"/>
          <w:b/>
          <w:szCs w:val="24"/>
        </w:rPr>
        <w:t>Výdavky (náklady) Sociálnej poisťovne</w:t>
      </w:r>
      <w:r w:rsidRPr="000619E5" w:rsidR="00597938">
        <w:rPr>
          <w:rFonts w:ascii="Times New Roman" w:hAnsi="Times New Roman"/>
          <w:b/>
          <w:szCs w:val="24"/>
        </w:rPr>
        <w:t xml:space="preserve"> v roku 2013 </w:t>
      </w:r>
      <w:r w:rsidRPr="000619E5" w:rsidR="00694A10">
        <w:rPr>
          <w:rFonts w:ascii="Times New Roman" w:hAnsi="Times New Roman"/>
        </w:rPr>
        <w:t xml:space="preserve">sa </w:t>
      </w:r>
      <w:r w:rsidRPr="000619E5" w:rsidR="00694A10">
        <w:rPr>
          <w:rFonts w:ascii="Times New Roman" w:hAnsi="Times New Roman"/>
          <w:szCs w:val="24"/>
        </w:rPr>
        <w:t>predpokladajú:</w:t>
      </w:r>
    </w:p>
    <w:tbl>
      <w:tblPr>
        <w:tblStyle w:val="TableNormal"/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387"/>
        <w:gridCol w:w="1418"/>
        <w:gridCol w:w="1433"/>
        <w:gridCol w:w="277"/>
        <w:gridCol w:w="160"/>
        <w:gridCol w:w="965"/>
      </w:tblGrid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2671F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2671F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2671F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Rozdiel  2-1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2671F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Schválený rozpočet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2671F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2671F" w:rsidRPr="0062671F" w:rsidP="0062671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Použitie prostriedkov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6 705 243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6 688 515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-16 728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základný fond nemocenského poistenia (ZFNP)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452 273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422 843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-29 430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základný fond starobného poistenia (ZFSP)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4 960 919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4 986 221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25 302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základný fond invalidného poistenia (ZFIP)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933 662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909 206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-24 456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základný fond úrazového poistenia ( ZFÚP), v tom: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45 665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44 209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-1 456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 - výdavky na úrazové dávky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43 430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41 974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-1 456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 - úhrada poistného na starobné poistenie  (SP) a príspevkov na SDS za poberateľov úrazovej renty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2 235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2 235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základný fond garančného poistenia (ZFGP), v tom: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22 528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18 596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-3 932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 - výdavky na dávku garančného poistenia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7 871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5 745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-2 126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2B5011" w:rsidRPr="0062671F" w:rsidP="0037478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 - úhrada príspevkov na SDS nezaplatených zamestnávateľom do základného fondu príspevkov na </w:t>
            </w:r>
            <w:r>
              <w:rPr>
                <w:rFonts w:ascii="Times New Roman" w:hAnsi="Times New Roman"/>
                <w:sz w:val="22"/>
                <w:szCs w:val="22"/>
              </w:rPr>
              <w:t>SDS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14 657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12 851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-1 806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 xml:space="preserve">základný fond poistenia v nezamestnanosti (ZFPvN)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171 896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181 440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9 544</w:t>
            </w:r>
          </w:p>
        </w:tc>
      </w:tr>
      <w:tr>
        <w:tblPrEx>
          <w:tblW w:w="9640" w:type="dxa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2B5011" w:rsidRPr="0062671F" w:rsidP="0062671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2671F">
              <w:rPr>
                <w:rFonts w:ascii="Times New Roman" w:hAnsi="Times New Roman"/>
                <w:sz w:val="22"/>
                <w:szCs w:val="22"/>
              </w:rPr>
              <w:t>správny fond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118 300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126 000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2B5011" w:rsidRPr="002B5011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5011">
              <w:rPr>
                <w:rFonts w:ascii="Times New Roman" w:hAnsi="Times New Roman"/>
                <w:sz w:val="22"/>
                <w:szCs w:val="22"/>
              </w:rPr>
              <w:t>7 700</w:t>
            </w:r>
          </w:p>
        </w:tc>
      </w:tr>
    </w:tbl>
    <w:p w:rsidR="0062671F" w:rsidP="00775E0A">
      <w:pPr>
        <w:pStyle w:val="BodyTextIndent2"/>
        <w:bidi w:val="0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F24172" w:rsidP="00F24172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B42D98" w:rsidR="005126CB">
        <w:rPr>
          <w:rFonts w:ascii="Times New Roman" w:hAnsi="Times New Roman"/>
          <w:b/>
          <w:color w:val="000000"/>
          <w:szCs w:val="24"/>
        </w:rPr>
        <w:t>V roku 2013</w:t>
      </w:r>
      <w:r w:rsidRPr="00B42D98" w:rsidR="005126CB">
        <w:rPr>
          <w:rFonts w:ascii="Times New Roman" w:hAnsi="Times New Roman"/>
          <w:color w:val="000000"/>
          <w:szCs w:val="24"/>
        </w:rPr>
        <w:t xml:space="preserve"> sa očakávajú </w:t>
      </w:r>
      <w:r w:rsidRPr="00B42D98" w:rsidR="005126CB">
        <w:rPr>
          <w:rFonts w:ascii="Times New Roman" w:hAnsi="Times New Roman"/>
          <w:b/>
          <w:color w:val="000000"/>
          <w:szCs w:val="24"/>
        </w:rPr>
        <w:t>celkovo</w:t>
      </w:r>
      <w:r w:rsidRPr="00B42D98" w:rsidR="005126CB">
        <w:rPr>
          <w:rFonts w:ascii="Times New Roman" w:hAnsi="Times New Roman"/>
          <w:color w:val="000000"/>
          <w:szCs w:val="24"/>
        </w:rPr>
        <w:t xml:space="preserve"> </w:t>
      </w:r>
      <w:r w:rsidRPr="00B42D98" w:rsidR="00B42D98">
        <w:rPr>
          <w:rFonts w:ascii="Times New Roman" w:hAnsi="Times New Roman"/>
          <w:b/>
          <w:color w:val="000000"/>
          <w:szCs w:val="24"/>
        </w:rPr>
        <w:t>nižšie</w:t>
      </w:r>
      <w:r w:rsidRPr="00B42D98" w:rsidR="005126CB">
        <w:rPr>
          <w:rFonts w:ascii="Times New Roman" w:hAnsi="Times New Roman"/>
          <w:color w:val="000000"/>
          <w:szCs w:val="24"/>
        </w:rPr>
        <w:t xml:space="preserve"> </w:t>
      </w:r>
      <w:r w:rsidRPr="00B42D98" w:rsidR="005126CB">
        <w:rPr>
          <w:rFonts w:ascii="Times New Roman" w:hAnsi="Times New Roman"/>
          <w:b/>
          <w:color w:val="000000"/>
          <w:szCs w:val="24"/>
        </w:rPr>
        <w:t>výdavky</w:t>
      </w:r>
      <w:r w:rsidRPr="00B42D98" w:rsidR="005126CB">
        <w:rPr>
          <w:rFonts w:ascii="Times New Roman" w:hAnsi="Times New Roman"/>
          <w:color w:val="000000"/>
          <w:szCs w:val="24"/>
        </w:rPr>
        <w:t xml:space="preserve"> (náklady) Sociálnej poisťovne </w:t>
      </w:r>
      <w:r w:rsidRPr="00B42D98" w:rsidR="005126CB">
        <w:rPr>
          <w:rFonts w:ascii="Times New Roman" w:hAnsi="Times New Roman"/>
          <w:b/>
          <w:color w:val="000000"/>
          <w:szCs w:val="24"/>
        </w:rPr>
        <w:t>o</w:t>
      </w:r>
      <w:r w:rsidRPr="00B42D98" w:rsidR="006018AD">
        <w:rPr>
          <w:rFonts w:ascii="Times New Roman" w:hAnsi="Times New Roman"/>
          <w:b/>
          <w:color w:val="000000"/>
          <w:szCs w:val="24"/>
        </w:rPr>
        <w:t> </w:t>
      </w:r>
      <w:r w:rsidRPr="00B42D98" w:rsidR="00B42D98">
        <w:rPr>
          <w:rFonts w:ascii="Times New Roman" w:hAnsi="Times New Roman"/>
          <w:b/>
          <w:color w:val="000000"/>
          <w:szCs w:val="24"/>
        </w:rPr>
        <w:t>1</w:t>
      </w:r>
      <w:r w:rsidRPr="00B42D98" w:rsidR="006018AD">
        <w:rPr>
          <w:rFonts w:ascii="Times New Roman" w:hAnsi="Times New Roman"/>
          <w:b/>
          <w:color w:val="000000"/>
          <w:szCs w:val="24"/>
        </w:rPr>
        <w:t>6 </w:t>
      </w:r>
      <w:r w:rsidRPr="00B42D98" w:rsidR="00B42D98">
        <w:rPr>
          <w:rFonts w:ascii="Times New Roman" w:hAnsi="Times New Roman"/>
          <w:b/>
          <w:color w:val="000000"/>
          <w:szCs w:val="24"/>
        </w:rPr>
        <w:t>728</w:t>
      </w:r>
      <w:r w:rsidRPr="00B42D98" w:rsidR="005126CB">
        <w:rPr>
          <w:rFonts w:ascii="Times New Roman" w:hAnsi="Times New Roman"/>
          <w:b/>
          <w:color w:val="000000"/>
          <w:szCs w:val="24"/>
        </w:rPr>
        <w:t> tis. Eur</w:t>
      </w:r>
      <w:r w:rsidRPr="00B42D98" w:rsidR="005126CB">
        <w:rPr>
          <w:rFonts w:ascii="Times New Roman" w:hAnsi="Times New Roman"/>
          <w:color w:val="000000"/>
          <w:szCs w:val="24"/>
        </w:rPr>
        <w:t xml:space="preserve"> oproti schválenému rozpočtu na rok 2013. </w:t>
      </w:r>
    </w:p>
    <w:p w:rsidR="00B42D98" w:rsidP="00F24172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B42D98">
        <w:rPr>
          <w:rFonts w:ascii="Times New Roman" w:hAnsi="Times New Roman"/>
          <w:b/>
          <w:color w:val="000000"/>
          <w:szCs w:val="24"/>
        </w:rPr>
        <w:t>Nižšie výdavky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24172" w:rsidR="00F24172">
        <w:rPr>
          <w:rFonts w:ascii="Times New Roman" w:hAnsi="Times New Roman"/>
          <w:b/>
          <w:color w:val="000000"/>
          <w:szCs w:val="24"/>
        </w:rPr>
        <w:t>poistenia</w:t>
      </w:r>
      <w:r w:rsidR="00F2417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sa predpokladajú </w:t>
      </w:r>
      <w:r w:rsidR="00F24172">
        <w:rPr>
          <w:rFonts w:ascii="Times New Roman" w:hAnsi="Times New Roman"/>
          <w:color w:val="000000"/>
          <w:szCs w:val="24"/>
        </w:rPr>
        <w:t xml:space="preserve">najmä </w:t>
      </w:r>
      <w:r>
        <w:rPr>
          <w:rFonts w:ascii="Times New Roman" w:hAnsi="Times New Roman"/>
          <w:color w:val="000000"/>
          <w:szCs w:val="24"/>
        </w:rPr>
        <w:t>v</w:t>
      </w:r>
      <w:r w:rsidRPr="00B42D98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ZFNP</w:t>
      </w:r>
      <w:r w:rsidRPr="00B42D98">
        <w:rPr>
          <w:rFonts w:ascii="Times New Roman" w:hAnsi="Times New Roman"/>
          <w:color w:val="000000"/>
          <w:szCs w:val="24"/>
        </w:rPr>
        <w:t xml:space="preserve"> o 29 430 tis. Eur najmä z dôvodu nižšieho priemerného mesačného počtu prípadov vyplatených dávok oproti údajom zapracovaným v rozpočte na rok 2013</w:t>
      </w:r>
      <w:r w:rsidR="00F24172">
        <w:rPr>
          <w:rFonts w:ascii="Times New Roman" w:hAnsi="Times New Roman"/>
          <w:color w:val="000000"/>
          <w:szCs w:val="24"/>
        </w:rPr>
        <w:t xml:space="preserve"> a v</w:t>
      </w:r>
      <w:r w:rsidRPr="00B42D98">
        <w:rPr>
          <w:rFonts w:ascii="Times New Roman" w:hAnsi="Times New Roman"/>
        </w:rPr>
        <w:t> </w:t>
      </w:r>
      <w:r>
        <w:rPr>
          <w:rFonts w:ascii="Times New Roman" w:hAnsi="Times New Roman"/>
        </w:rPr>
        <w:t>ZFIP</w:t>
      </w:r>
      <w:r w:rsidRPr="00B42D98">
        <w:rPr>
          <w:rFonts w:ascii="Times New Roman" w:hAnsi="Times New Roman"/>
        </w:rPr>
        <w:t xml:space="preserve"> o 24 456 tis. Eur </w:t>
      </w:r>
      <w:r w:rsidR="00A047BC">
        <w:rPr>
          <w:rFonts w:ascii="Times New Roman" w:hAnsi="Times New Roman"/>
        </w:rPr>
        <w:t xml:space="preserve">z dôvodu </w:t>
      </w:r>
      <w:r w:rsidR="00A047BC">
        <w:rPr>
          <w:rFonts w:ascii="Times New Roman" w:hAnsi="Times New Roman"/>
          <w:color w:val="000000"/>
        </w:rPr>
        <w:t>nižšieho počtu a nižšej priemernej výšky</w:t>
      </w:r>
      <w:r w:rsidRPr="005054F1" w:rsidR="00A047BC">
        <w:rPr>
          <w:rFonts w:ascii="Times New Roman" w:hAnsi="Times New Roman"/>
          <w:color w:val="000000"/>
        </w:rPr>
        <w:t xml:space="preserve"> novopriznávaných dôchodkov</w:t>
      </w:r>
      <w:r w:rsidRPr="005054F1" w:rsidR="00A047BC">
        <w:rPr>
          <w:rFonts w:ascii="Times New Roman" w:hAnsi="Times New Roman"/>
          <w:color w:val="000000"/>
          <w:szCs w:val="24"/>
        </w:rPr>
        <w:t xml:space="preserve"> a vyšš</w:t>
      </w:r>
      <w:r w:rsidR="00A047BC">
        <w:rPr>
          <w:rFonts w:ascii="Times New Roman" w:hAnsi="Times New Roman"/>
          <w:color w:val="000000"/>
          <w:szCs w:val="24"/>
        </w:rPr>
        <w:t>ím počtom zaniknutých dôchodkov</w:t>
      </w:r>
      <w:r w:rsidR="00C0463B">
        <w:rPr>
          <w:rFonts w:ascii="Times New Roman" w:hAnsi="Times New Roman"/>
          <w:color w:val="000000"/>
          <w:szCs w:val="24"/>
        </w:rPr>
        <w:t xml:space="preserve"> ako sa predpokladalo v rozpočte</w:t>
      </w:r>
    </w:p>
    <w:p w:rsidR="00B42D98" w:rsidP="00F24172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B42D98">
        <w:rPr>
          <w:rFonts w:ascii="Times New Roman" w:hAnsi="Times New Roman"/>
          <w:b/>
          <w:color w:val="000000"/>
          <w:szCs w:val="24"/>
        </w:rPr>
        <w:t>Vyššie výdavky</w:t>
      </w:r>
      <w:r w:rsidR="00F24172">
        <w:rPr>
          <w:rFonts w:ascii="Times New Roman" w:hAnsi="Times New Roman"/>
          <w:b/>
          <w:color w:val="000000"/>
          <w:szCs w:val="24"/>
        </w:rPr>
        <w:t xml:space="preserve"> poistenia</w:t>
      </w:r>
      <w:r>
        <w:rPr>
          <w:rFonts w:ascii="Times New Roman" w:hAnsi="Times New Roman"/>
          <w:color w:val="000000"/>
          <w:szCs w:val="24"/>
        </w:rPr>
        <w:t xml:space="preserve"> sa očakávajú</w:t>
      </w:r>
      <w:r w:rsidR="00F2417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</w:rPr>
        <w:t>v</w:t>
      </w:r>
      <w:r w:rsidRPr="00B42D98">
        <w:rPr>
          <w:rFonts w:ascii="Times New Roman" w:hAnsi="Times New Roman"/>
        </w:rPr>
        <w:t> </w:t>
      </w:r>
      <w:r>
        <w:rPr>
          <w:rFonts w:ascii="Times New Roman" w:hAnsi="Times New Roman"/>
        </w:rPr>
        <w:t>ZFSP</w:t>
      </w:r>
      <w:r w:rsidRPr="00B42D98">
        <w:rPr>
          <w:rFonts w:ascii="Times New Roman" w:hAnsi="Times New Roman"/>
        </w:rPr>
        <w:t xml:space="preserve"> o 25 302 tis. Eur najmä </w:t>
      </w:r>
      <w:r w:rsidRPr="005054F1" w:rsidR="00A047BC">
        <w:rPr>
          <w:rFonts w:ascii="Times New Roman" w:hAnsi="Times New Roman"/>
        </w:rPr>
        <w:t>z dôvodu vyššej priemernej výšky priznávaných starobných dôchodkov a nižším počtom zaniknutých dôchodkov</w:t>
      </w:r>
      <w:r w:rsidR="00A047BC">
        <w:rPr>
          <w:rFonts w:ascii="Times New Roman" w:hAnsi="Times New Roman"/>
        </w:rPr>
        <w:t xml:space="preserve"> </w:t>
      </w:r>
      <w:r w:rsidR="00F24172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color w:val="000000"/>
          <w:szCs w:val="24"/>
        </w:rPr>
        <w:t>v ZFPvN</w:t>
      </w:r>
      <w:r w:rsidRPr="00B42D98">
        <w:rPr>
          <w:rFonts w:ascii="Times New Roman" w:hAnsi="Times New Roman"/>
          <w:color w:val="000000"/>
          <w:szCs w:val="24"/>
        </w:rPr>
        <w:t xml:space="preserve"> o 9 544 tis. Eur z dôvodu vyššej priemernej výšky dávky na jedného poberateľa oproti skutočnosti roku 2012 a rozpočtu na rok 2013</w:t>
      </w:r>
      <w:r>
        <w:rPr>
          <w:rFonts w:ascii="Times New Roman" w:hAnsi="Times New Roman"/>
          <w:color w:val="000000"/>
          <w:szCs w:val="24"/>
        </w:rPr>
        <w:t>.</w:t>
      </w:r>
    </w:p>
    <w:p w:rsidR="00694A10" w:rsidRPr="000619E5" w:rsidP="00B42D98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0619E5">
        <w:rPr>
          <w:rFonts w:ascii="Times New Roman" w:hAnsi="Times New Roman"/>
          <w:b/>
          <w:szCs w:val="24"/>
        </w:rPr>
        <w:t>Záver</w:t>
      </w:r>
    </w:p>
    <w:p w:rsidR="00CD34C8" w:rsidRPr="000619E5" w:rsidP="0037478E">
      <w:pPr>
        <w:bidi w:val="0"/>
        <w:spacing w:before="120"/>
        <w:ind w:firstLine="720"/>
        <w:jc w:val="both"/>
        <w:rPr>
          <w:rFonts w:ascii="Times New Roman" w:hAnsi="Times New Roman"/>
          <w:szCs w:val="24"/>
        </w:rPr>
      </w:pPr>
      <w:r w:rsidRPr="000619E5" w:rsidR="00694A10">
        <w:rPr>
          <w:rFonts w:ascii="Times New Roman" w:hAnsi="Times New Roman"/>
          <w:szCs w:val="24"/>
        </w:rPr>
        <w:t xml:space="preserve">Z hľadiska </w:t>
      </w:r>
      <w:r w:rsidRPr="000619E5" w:rsidR="00694A10">
        <w:rPr>
          <w:rFonts w:ascii="Times New Roman" w:hAnsi="Times New Roman"/>
          <w:b/>
          <w:szCs w:val="24"/>
        </w:rPr>
        <w:t xml:space="preserve">celkového hospodárenia Sociálnej poisťovne </w:t>
      </w:r>
      <w:r w:rsidRPr="000619E5" w:rsidR="00694A10">
        <w:rPr>
          <w:rFonts w:ascii="Times New Roman" w:hAnsi="Times New Roman"/>
          <w:szCs w:val="24"/>
        </w:rPr>
        <w:t>(vrátane prevodu prostriedkov z minulých rokov) je možné očakávať k 31. 12. 2013 v jednotlivých fondoch výsledky:</w:t>
      </w:r>
    </w:p>
    <w:tbl>
      <w:tblPr>
        <w:tblStyle w:val="TableNormal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1701"/>
        <w:gridCol w:w="1701"/>
        <w:gridCol w:w="1418"/>
      </w:tblGrid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 xml:space="preserve">Fond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Bilančný rozdiel k 31.</w:t>
            </w:r>
            <w:r w:rsidRPr="00B42D98" w:rsidR="00376F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2D98">
              <w:rPr>
                <w:rFonts w:ascii="Times New Roman" w:hAnsi="Times New Roman"/>
                <w:sz w:val="22"/>
                <w:szCs w:val="22"/>
              </w:rPr>
              <w:t>12.</w:t>
            </w:r>
            <w:r w:rsidRPr="00B42D98" w:rsidR="00376F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2D98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Rozdiel  2-1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 xml:space="preserve">Schválený rozpočet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4A10" w:rsidRPr="00B42D98" w:rsidP="00694A1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ZFNP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265 081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283 263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18 182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145 173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-65 173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ZFÚP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ZFPvN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Rezervný fond solidarity</w:t>
            </w:r>
            <w:r w:rsidR="00D47C3E">
              <w:rPr>
                <w:rFonts w:ascii="Times New Roman" w:hAnsi="Times New Roman"/>
                <w:sz w:val="22"/>
                <w:szCs w:val="22"/>
              </w:rPr>
              <w:t xml:space="preserve"> (RFS)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Správny 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81 329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71 237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-10 092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556 583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499 500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42D98" w:rsidRPr="00B42D98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2D98">
              <w:rPr>
                <w:rFonts w:ascii="Times New Roman" w:hAnsi="Times New Roman"/>
                <w:sz w:val="22"/>
                <w:szCs w:val="22"/>
              </w:rPr>
              <w:t>-57 083</w:t>
            </w:r>
          </w:p>
        </w:tc>
      </w:tr>
    </w:tbl>
    <w:p w:rsidR="00694A10" w:rsidRPr="000619E5" w:rsidP="00E35C21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b/>
          <w:szCs w:val="24"/>
        </w:rPr>
        <w:t>Hospodárenie Sociálnej poisťovne v roku 2013 by malo skončiť bilančným rozdielom 499 500 tis. Eur</w:t>
      </w:r>
      <w:r w:rsidRPr="000619E5">
        <w:rPr>
          <w:rFonts w:ascii="Times New Roman" w:hAnsi="Times New Roman"/>
          <w:szCs w:val="24"/>
        </w:rPr>
        <w:t>.</w:t>
      </w:r>
    </w:p>
    <w:p w:rsidR="00694A10" w:rsidRPr="000619E5" w:rsidP="004E46B6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 xml:space="preserve">Hospodárenie Sociálnej poisťovne bude v roku 2013 ovplyvňovať deficitné hospodárenie v dôchodkovom poistení. Deficit bude Sociálna poisťovňa vykrývať </w:t>
      </w:r>
      <w:r w:rsidR="0072461E">
        <w:rPr>
          <w:rFonts w:ascii="Times New Roman" w:hAnsi="Times New Roman"/>
          <w:szCs w:val="24"/>
        </w:rPr>
        <w:br/>
      </w:r>
      <w:r w:rsidRPr="000619E5">
        <w:rPr>
          <w:rFonts w:ascii="Times New Roman" w:hAnsi="Times New Roman"/>
          <w:szCs w:val="24"/>
        </w:rPr>
        <w:t>v zmysle § 167 ods. 1 zákona o sociálnom poistení z</w:t>
      </w:r>
      <w:r w:rsidR="00D47C3E">
        <w:rPr>
          <w:rFonts w:ascii="Times New Roman" w:hAnsi="Times New Roman"/>
          <w:szCs w:val="24"/>
        </w:rPr>
        <w:t xml:space="preserve"> RFS </w:t>
      </w:r>
      <w:r w:rsidRPr="000619E5">
        <w:rPr>
          <w:rFonts w:ascii="Times New Roman" w:hAnsi="Times New Roman"/>
          <w:szCs w:val="24"/>
        </w:rPr>
        <w:t xml:space="preserve">a z vnútorných zdrojov v zmysle § 293bz zákona o sociálnom poistení. </w:t>
      </w:r>
    </w:p>
    <w:p w:rsidR="00694A10" w:rsidRPr="000619E5" w:rsidP="004E46B6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Do príjmov Sociálnej poisťovne bol zapracovaný transfer zo ŠR SR v sume 7</w:t>
      </w:r>
      <w:r w:rsidR="008D20EC">
        <w:rPr>
          <w:rFonts w:ascii="Times New Roman" w:hAnsi="Times New Roman"/>
          <w:szCs w:val="24"/>
        </w:rPr>
        <w:t>14 496</w:t>
      </w:r>
      <w:r w:rsidRPr="000619E5">
        <w:rPr>
          <w:rFonts w:ascii="Times New Roman" w:hAnsi="Times New Roman"/>
          <w:szCs w:val="24"/>
        </w:rPr>
        <w:t> tis. Eur. Výška transferu zo ŠR SR zohľadňuje nevyhnutnú technickú rezervu finančných prostriedkov pre zachovanie platobnej schopnosti</w:t>
      </w:r>
      <w:r w:rsidR="008A19C6">
        <w:rPr>
          <w:rFonts w:ascii="Times New Roman" w:hAnsi="Times New Roman"/>
          <w:szCs w:val="24"/>
        </w:rPr>
        <w:t xml:space="preserve"> Sociálnej poisťovne v zmysle § </w:t>
      </w:r>
      <w:r w:rsidRPr="000619E5">
        <w:rPr>
          <w:rFonts w:ascii="Times New Roman" w:hAnsi="Times New Roman"/>
          <w:szCs w:val="24"/>
        </w:rPr>
        <w:t xml:space="preserve">157 ods. 4 zákona o sociálnom poistení.  </w:t>
      </w:r>
    </w:p>
    <w:p w:rsidR="00694A10" w:rsidRPr="000619E5" w:rsidP="004E46B6">
      <w:pPr>
        <w:bidi w:val="0"/>
        <w:spacing w:before="240" w:after="120"/>
        <w:jc w:val="center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x  x  x</w:t>
      </w:r>
    </w:p>
    <w:p w:rsidR="00694A10" w:rsidRPr="000619E5" w:rsidP="004E46B6">
      <w:pPr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 xml:space="preserve">Sociálna poisťovňa očakáva, že </w:t>
      </w:r>
      <w:r w:rsidRPr="000619E5">
        <w:rPr>
          <w:rFonts w:ascii="Times New Roman" w:hAnsi="Times New Roman"/>
          <w:b/>
        </w:rPr>
        <w:t>v roku 2013 postúpi príspevky na SDS</w:t>
      </w:r>
      <w:r w:rsidRPr="000619E5">
        <w:rPr>
          <w:rFonts w:ascii="Times New Roman" w:hAnsi="Times New Roman"/>
        </w:rPr>
        <w:t xml:space="preserve"> </w:t>
      </w:r>
      <w:r w:rsidRPr="000619E5" w:rsidR="00E35C21">
        <w:rPr>
          <w:rFonts w:ascii="Times New Roman" w:hAnsi="Times New Roman"/>
        </w:rPr>
        <w:t xml:space="preserve">dôchodkovým správcovským spoločnostiam </w:t>
      </w:r>
      <w:r w:rsidRPr="000619E5">
        <w:rPr>
          <w:rFonts w:ascii="Times New Roman" w:hAnsi="Times New Roman"/>
        </w:rPr>
        <w:t xml:space="preserve">v sume </w:t>
      </w:r>
      <w:r w:rsidR="00ED0CAB">
        <w:rPr>
          <w:rFonts w:ascii="Times New Roman" w:hAnsi="Times New Roman"/>
          <w:b/>
        </w:rPr>
        <w:t>414 424</w:t>
      </w:r>
      <w:r w:rsidRPr="000619E5">
        <w:rPr>
          <w:rFonts w:ascii="Times New Roman" w:hAnsi="Times New Roman"/>
          <w:b/>
        </w:rPr>
        <w:t> tis. Eur</w:t>
      </w:r>
      <w:r w:rsidRPr="000619E5">
        <w:rPr>
          <w:rFonts w:ascii="Times New Roman" w:hAnsi="Times New Roman"/>
        </w:rPr>
        <w:t>.</w:t>
      </w:r>
    </w:p>
    <w:p w:rsidR="00694A10" w:rsidRPr="000619E5" w:rsidP="00064FEB">
      <w:pPr>
        <w:tabs>
          <w:tab w:val="left" w:pos="709"/>
        </w:tabs>
        <w:bidi w:val="0"/>
        <w:spacing w:before="240" w:after="120"/>
        <w:ind w:left="709" w:hanging="709"/>
        <w:jc w:val="both"/>
        <w:rPr>
          <w:rFonts w:ascii="Times New Roman" w:hAnsi="Times New Roman"/>
          <w:b/>
        </w:rPr>
      </w:pPr>
      <w:r w:rsidRPr="000619E5" w:rsidR="00E35C21">
        <w:rPr>
          <w:rFonts w:ascii="Times New Roman" w:hAnsi="Times New Roman"/>
          <w:b/>
        </w:rPr>
        <w:t xml:space="preserve">II. </w:t>
        <w:tab/>
        <w:t xml:space="preserve">Návrh rozpočtu Sociálnej poisťovne na rok 2014 </w:t>
      </w:r>
      <w:r w:rsidR="00751E67">
        <w:rPr>
          <w:rFonts w:ascii="Times New Roman" w:hAnsi="Times New Roman"/>
          <w:b/>
        </w:rPr>
        <w:t>a rozpočtový výhľad na roky 2015 a 2016</w:t>
      </w:r>
    </w:p>
    <w:p w:rsidR="00F11721" w:rsidP="004E46B6">
      <w:pPr>
        <w:pStyle w:val="ListParagraph"/>
        <w:bidi w:val="0"/>
        <w:spacing w:before="240" w:after="120"/>
        <w:ind w:left="709"/>
        <w:contextualSpacing w:val="0"/>
        <w:jc w:val="both"/>
        <w:rPr>
          <w:rFonts w:ascii="Times New Roman" w:hAnsi="Times New Roman"/>
        </w:rPr>
      </w:pPr>
      <w:r w:rsidRPr="000619E5" w:rsidR="004E46B6">
        <w:rPr>
          <w:rFonts w:ascii="Times New Roman" w:hAnsi="Times New Roman"/>
        </w:rPr>
        <w:t xml:space="preserve">V rokoch </w:t>
      </w:r>
      <w:r w:rsidRPr="000619E5" w:rsidR="004E46B6">
        <w:rPr>
          <w:rFonts w:ascii="Times New Roman" w:hAnsi="Times New Roman"/>
          <w:b/>
        </w:rPr>
        <w:t>2014 až 2016</w:t>
      </w:r>
      <w:r w:rsidRPr="000619E5" w:rsidR="004E46B6">
        <w:rPr>
          <w:rFonts w:ascii="Times New Roman" w:hAnsi="Times New Roman"/>
        </w:rPr>
        <w:t xml:space="preserve"> sa </w:t>
      </w:r>
      <w:r w:rsidRPr="000619E5" w:rsidR="004E46B6">
        <w:rPr>
          <w:rFonts w:ascii="Times New Roman" w:hAnsi="Times New Roman"/>
          <w:b/>
        </w:rPr>
        <w:t>p</w:t>
      </w:r>
      <w:r w:rsidRPr="000619E5">
        <w:rPr>
          <w:rFonts w:ascii="Times New Roman" w:hAnsi="Times New Roman"/>
          <w:b/>
        </w:rPr>
        <w:t>ríjmy</w:t>
      </w:r>
      <w:r w:rsidRPr="000619E5" w:rsidR="00C64620">
        <w:rPr>
          <w:rFonts w:ascii="Times New Roman" w:hAnsi="Times New Roman"/>
          <w:b/>
        </w:rPr>
        <w:t xml:space="preserve"> Sociálnej poisťovne</w:t>
      </w:r>
      <w:r w:rsidRPr="000619E5" w:rsidR="004E46B6">
        <w:rPr>
          <w:rFonts w:ascii="Times New Roman" w:hAnsi="Times New Roman"/>
          <w:b/>
        </w:rPr>
        <w:t xml:space="preserve"> </w:t>
      </w:r>
      <w:r w:rsidRPr="000619E5" w:rsidR="004E46B6">
        <w:rPr>
          <w:rFonts w:ascii="Times New Roman" w:hAnsi="Times New Roman"/>
        </w:rPr>
        <w:t>predpokladajú:</w:t>
      </w:r>
    </w:p>
    <w:tbl>
      <w:tblPr>
        <w:tblStyle w:val="TableNormal"/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614"/>
        <w:gridCol w:w="1347"/>
        <w:gridCol w:w="1176"/>
        <w:gridCol w:w="1020"/>
      </w:tblGrid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76F9F" w:rsidRPr="000619E5" w:rsidP="00F76F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Zdroje celkom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7 427 384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7 668 059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7 937 453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prevod z minulých rokov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499 500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531 561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537 832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6 927 884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7 136 498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7 399 621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a) príjmy z bežného poistného od EAO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5 338 107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5 547 320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5 771 242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b) príjmy z poistného od štátu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241 206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247 886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255 980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c) príjmy od Sociálnej poisťovne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d) príjmy zo sankcií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14 916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14 916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14 916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e) príjmy z dlžného poistného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242 110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246 232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250 675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f) ostatné príjmy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1 076 831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1 065 377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1 091 911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619E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z toho príjmy zo ŠR SR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sz w:val="22"/>
                <w:szCs w:val="22"/>
              </w:rPr>
              <w:t>1 061 960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sz w:val="22"/>
                <w:szCs w:val="22"/>
              </w:rPr>
              <w:t>1 050 257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sz w:val="22"/>
                <w:szCs w:val="22"/>
              </w:rPr>
              <w:t>1 076 599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g) príspevky na SDS zaplatené zamestnávateľom po uplynutí 60 dní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11 635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11 637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11 709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h) príjmy správneho fondu z príspevkov na SDS (EAO)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1 112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F76F9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i) príjmy správneho fondu z príspevkov na SDS (štát)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</w:tr>
    </w:tbl>
    <w:p w:rsidR="00F76F9F" w:rsidRPr="000619E5" w:rsidP="00CD34C8">
      <w:pPr>
        <w:pStyle w:val="ListParagraph"/>
        <w:bidi w:val="0"/>
        <w:ind w:left="0"/>
        <w:contextualSpacing w:val="0"/>
        <w:jc w:val="both"/>
        <w:rPr>
          <w:rFonts w:ascii="Times New Roman" w:hAnsi="Times New Roman"/>
        </w:rPr>
      </w:pPr>
    </w:p>
    <w:p w:rsidR="004E46B6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 xml:space="preserve">Príjmy Sociálnej poisťovne </w:t>
      </w:r>
      <w:r w:rsidRPr="000619E5" w:rsidR="00064FEB">
        <w:rPr>
          <w:rFonts w:ascii="Times New Roman" w:hAnsi="Times New Roman"/>
        </w:rPr>
        <w:t xml:space="preserve">v rokoch 2014 až 2016 </w:t>
      </w:r>
      <w:r w:rsidRPr="000619E5">
        <w:rPr>
          <w:rFonts w:ascii="Times New Roman" w:hAnsi="Times New Roman"/>
        </w:rPr>
        <w:t>podľa jednotlivých druho</w:t>
      </w:r>
      <w:r w:rsidRPr="000619E5" w:rsidR="00064FEB">
        <w:rPr>
          <w:rFonts w:ascii="Times New Roman" w:hAnsi="Times New Roman"/>
        </w:rPr>
        <w:t xml:space="preserve">v </w:t>
      </w:r>
      <w:r w:rsidRPr="000619E5">
        <w:rPr>
          <w:rFonts w:ascii="Times New Roman" w:hAnsi="Times New Roman"/>
        </w:rPr>
        <w:t>poistenia:</w:t>
      </w:r>
    </w:p>
    <w:p w:rsidR="0037478E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</w:p>
    <w:p w:rsidR="00E64FAE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</w:p>
    <w:p w:rsidR="0037478E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</w:p>
    <w:p w:rsidR="00D47C3E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</w:p>
    <w:p w:rsidR="0037478E" w:rsidP="00CD34C8">
      <w:pPr>
        <w:pStyle w:val="BodyTextIndent"/>
        <w:tabs>
          <w:tab w:val="decimal" w:pos="8222"/>
        </w:tabs>
        <w:bidi w:val="0"/>
        <w:ind w:left="0" w:firstLine="720"/>
        <w:jc w:val="both"/>
        <w:rPr>
          <w:rFonts w:ascii="Times New Roman" w:hAnsi="Times New Roman"/>
        </w:rPr>
      </w:pPr>
    </w:p>
    <w:tbl>
      <w:tblPr>
        <w:tblStyle w:val="TableNormal"/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84"/>
        <w:gridCol w:w="1654"/>
        <w:gridCol w:w="47"/>
        <w:gridCol w:w="1607"/>
        <w:gridCol w:w="1654"/>
      </w:tblGrid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9563F9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563F9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one" w:sz="0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63F9" w:rsidRPr="000619E5" w:rsidP="009563F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6 927 884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7 136 498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7 399 621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nemocenské poistenie (NP)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486 973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505 890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526 287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D47C3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SP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4 008 496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4 105 279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4 247 518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 z toho: štát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158 135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162 535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167 894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           Sociálna poisťovňa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           transfer zo ŠR SR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1 061 960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1 050 257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1 076 599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invalidné poistenie (IP)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1 074 182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1 115 067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1 159 360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 z toho: štát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62 303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64 013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66 074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úrazové poistenie (ÚP)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141 199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146 680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152 591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garančné poistenie (GP)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46 578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47 944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49 482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poistenie v nezamestnanosti (PvN)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314 986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327 056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340 034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D47C3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RFS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853 390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886 435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922 131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 z toho: štát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20 768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21 338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22 012</w:t>
            </w:r>
          </w:p>
        </w:tc>
      </w:tr>
      <w:tr>
        <w:tblPrEx>
          <w:tblW w:w="894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6E6CD2" w:rsidRPr="000619E5" w:rsidP="009563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príjmy správneho fondu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2 080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2 147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2 218</w:t>
            </w:r>
          </w:p>
        </w:tc>
      </w:tr>
    </w:tbl>
    <w:p w:rsidR="00F11721" w:rsidRPr="000619E5" w:rsidP="00EF5D76">
      <w:pPr>
        <w:pStyle w:val="BodyTextIndent"/>
        <w:tabs>
          <w:tab w:val="decimal" w:pos="8222"/>
        </w:tabs>
        <w:bidi w:val="0"/>
        <w:spacing w:before="240" w:after="0"/>
        <w:ind w:left="0" w:firstLine="720"/>
        <w:rPr>
          <w:rFonts w:ascii="Times New Roman" w:hAnsi="Times New Roman"/>
        </w:rPr>
      </w:pPr>
      <w:r w:rsidRPr="000619E5">
        <w:rPr>
          <w:rFonts w:ascii="Times New Roman" w:hAnsi="Times New Roman"/>
        </w:rPr>
        <w:t>Vy</w:t>
      </w:r>
      <w:r w:rsidRPr="000619E5" w:rsidR="00EF5D76">
        <w:rPr>
          <w:rFonts w:ascii="Times New Roman" w:hAnsi="Times New Roman"/>
        </w:rPr>
        <w:t>braté príspevky na SDS</w:t>
      </w:r>
      <w:r w:rsidRPr="000619E5" w:rsidR="00EF5D76">
        <w:rPr>
          <w:rFonts w:ascii="Times New Roman" w:hAnsi="Times New Roman"/>
          <w:b/>
        </w:rPr>
        <w:t xml:space="preserve"> </w:t>
      </w:r>
      <w:r w:rsidRPr="000619E5" w:rsidR="00EF5D76">
        <w:rPr>
          <w:rFonts w:ascii="Times New Roman" w:hAnsi="Times New Roman"/>
        </w:rPr>
        <w:t>sa v rokoch</w:t>
      </w:r>
      <w:r w:rsidRPr="000619E5">
        <w:rPr>
          <w:rFonts w:ascii="Times New Roman" w:hAnsi="Times New Roman"/>
        </w:rPr>
        <w:t xml:space="preserve"> 201</w:t>
      </w:r>
      <w:r w:rsidRPr="000619E5" w:rsidR="00B47898">
        <w:rPr>
          <w:rFonts w:ascii="Times New Roman" w:hAnsi="Times New Roman"/>
        </w:rPr>
        <w:t>4</w:t>
      </w:r>
      <w:r w:rsidRPr="000619E5" w:rsidR="00EF5D76">
        <w:rPr>
          <w:rFonts w:ascii="Times New Roman" w:hAnsi="Times New Roman"/>
        </w:rPr>
        <w:t xml:space="preserve"> až 2016 predikujú:</w:t>
      </w:r>
    </w:p>
    <w:tbl>
      <w:tblPr>
        <w:tblStyle w:val="TableNormal"/>
        <w:tblW w:w="85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640"/>
        <w:gridCol w:w="1600"/>
        <w:gridCol w:w="1480"/>
      </w:tblGrid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47E43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Vybraté príspevky na SDS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Návrh rozpočtu  rok 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747E43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747E43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47E43" w:rsidRPr="000619E5" w:rsidP="00747E4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Vybraté príspevky na SDS celkom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420 254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440 538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463 642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0619E5" w:rsidP="00D52BA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EAO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391 208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410 742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433 024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štát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28 775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29 525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30 347</w:t>
            </w:r>
          </w:p>
        </w:tc>
      </w:tr>
      <w:tr>
        <w:tblPrEx>
          <w:tblW w:w="856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0619E5" w:rsidP="00747E4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Sociálna poisťovňa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</w:tr>
    </w:tbl>
    <w:p w:rsidR="00EF5D76" w:rsidRPr="000619E5" w:rsidP="0058660C">
      <w:pPr>
        <w:pStyle w:val="BodyTextIndent"/>
        <w:tabs>
          <w:tab w:val="decimal" w:pos="8222"/>
        </w:tabs>
        <w:bidi w:val="0"/>
        <w:spacing w:after="0"/>
        <w:ind w:left="0"/>
        <w:rPr>
          <w:rFonts w:ascii="Times New Roman" w:hAnsi="Times New Roman"/>
        </w:rPr>
      </w:pPr>
    </w:p>
    <w:p w:rsidR="000761A1" w:rsidRPr="000619E5" w:rsidP="00973FE5">
      <w:pPr>
        <w:pStyle w:val="BodyTextIndent"/>
        <w:bidi w:val="0"/>
        <w:ind w:left="284"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>Kvantifikácia príjmov Sociálnej poisťovne</w:t>
      </w:r>
      <w:r w:rsidR="009E436C">
        <w:rPr>
          <w:rFonts w:ascii="Times New Roman" w:hAnsi="Times New Roman"/>
        </w:rPr>
        <w:t xml:space="preserve"> v roku 2014</w:t>
      </w:r>
      <w:r w:rsidRPr="000619E5">
        <w:rPr>
          <w:rFonts w:ascii="Times New Roman" w:hAnsi="Times New Roman"/>
        </w:rPr>
        <w:t xml:space="preserve"> rešpektuje tieto sadzby pre platby poistného: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NP 2,8 %; resp. 4,4 %,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SP 18 %,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IP 6 %,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ÚP 0,8 %,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GP 0,25 %,</w:t>
      </w:r>
    </w:p>
    <w:p w:rsidR="000761A1" w:rsidRPr="000619E5" w:rsidP="00973FE5">
      <w:pPr>
        <w:numPr>
          <w:numId w:val="14"/>
        </w:numPr>
        <w:bidi w:val="0"/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PvN 2 %,</w:t>
      </w:r>
    </w:p>
    <w:p w:rsidR="000761A1" w:rsidRPr="000619E5" w:rsidP="00973FE5">
      <w:pPr>
        <w:numPr>
          <w:numId w:val="14"/>
        </w:numPr>
        <w:bidi w:val="0"/>
        <w:spacing w:after="1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RFS 4,75 %, resp. 2 % (štát).</w:t>
      </w:r>
    </w:p>
    <w:p w:rsidR="009B7D1A" w:rsidRPr="00BF56DC" w:rsidP="00973FE5">
      <w:pPr>
        <w:bidi w:val="0"/>
        <w:spacing w:after="120"/>
        <w:ind w:left="284" w:firstLine="720"/>
        <w:rPr>
          <w:rFonts w:ascii="Times New Roman" w:hAnsi="Times New Roman"/>
        </w:rPr>
      </w:pPr>
      <w:r w:rsidRPr="00BF56DC">
        <w:rPr>
          <w:rFonts w:ascii="Times New Roman" w:hAnsi="Times New Roman"/>
        </w:rPr>
        <w:t>Ďalej sa pre rok 2014 vychádza z: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</w:rPr>
      </w:pPr>
      <w:r w:rsidRPr="00BF56DC">
        <w:rPr>
          <w:rFonts w:ascii="Times New Roman" w:hAnsi="Times New Roman"/>
        </w:rPr>
        <w:t xml:space="preserve">priemernej miery evidovanej nezamestnanosti </w:t>
      </w:r>
      <w:r w:rsidRPr="00BF56DC" w:rsidR="001154D4">
        <w:rPr>
          <w:rFonts w:ascii="Times New Roman" w:hAnsi="Times New Roman"/>
        </w:rPr>
        <w:t>14,</w:t>
      </w:r>
      <w:r w:rsidRPr="00BF56DC" w:rsidR="00BF56DC">
        <w:rPr>
          <w:rFonts w:ascii="Times New Roman" w:hAnsi="Times New Roman"/>
        </w:rPr>
        <w:t>2</w:t>
      </w:r>
      <w:r w:rsidRPr="00BF56DC">
        <w:rPr>
          <w:rFonts w:ascii="Times New Roman" w:hAnsi="Times New Roman"/>
        </w:rPr>
        <w:t xml:space="preserve"> %,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</w:rPr>
      </w:pPr>
      <w:r w:rsidRPr="00BF56DC">
        <w:rPr>
          <w:rFonts w:ascii="Times New Roman" w:hAnsi="Times New Roman"/>
        </w:rPr>
        <w:t xml:space="preserve">priemernej mzdy v  hospodárstve vo výške </w:t>
      </w:r>
      <w:r w:rsidRPr="00BF56DC" w:rsidR="00BF56DC">
        <w:rPr>
          <w:rFonts w:ascii="Times New Roman" w:hAnsi="Times New Roman"/>
        </w:rPr>
        <w:t>849</w:t>
      </w:r>
      <w:r w:rsidRPr="00BF56DC" w:rsidR="001154D4">
        <w:rPr>
          <w:rFonts w:ascii="Times New Roman" w:hAnsi="Times New Roman"/>
        </w:rPr>
        <w:t xml:space="preserve"> </w:t>
      </w:r>
      <w:r w:rsidRPr="00BF56DC">
        <w:rPr>
          <w:rFonts w:ascii="Times New Roman" w:hAnsi="Times New Roman"/>
        </w:rPr>
        <w:t>Eur,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predpokladaného priemerného počtu poistencov z</w:t>
      </w:r>
      <w:r w:rsidRPr="00BF56DC" w:rsidR="00BF56DC">
        <w:rPr>
          <w:rFonts w:ascii="Times New Roman" w:hAnsi="Times New Roman"/>
          <w:szCs w:val="24"/>
        </w:rPr>
        <w:t> informačného systém</w:t>
      </w:r>
      <w:r w:rsidR="00A668AF">
        <w:rPr>
          <w:rFonts w:ascii="Times New Roman" w:hAnsi="Times New Roman"/>
          <w:szCs w:val="24"/>
        </w:rPr>
        <w:t>u jednotného výberu poistného</w:t>
      </w:r>
      <w:r w:rsidRPr="00BF56DC" w:rsidR="00BF56DC">
        <w:rPr>
          <w:rFonts w:ascii="Times New Roman" w:hAnsi="Times New Roman"/>
          <w:szCs w:val="24"/>
        </w:rPr>
        <w:t xml:space="preserve"> Sociálnej poisťovne:</w:t>
      </w:r>
    </w:p>
    <w:p w:rsidR="009B7D1A" w:rsidRPr="00BF56DC" w:rsidP="00973FE5">
      <w:pPr>
        <w:numPr>
          <w:numId w:val="19"/>
        </w:numPr>
        <w:tabs>
          <w:tab w:val="left" w:pos="426"/>
        </w:tabs>
        <w:bidi w:val="0"/>
        <w:spacing w:after="120" w:line="276" w:lineRule="auto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1 </w:t>
      </w:r>
      <w:r w:rsidRPr="00BF56DC" w:rsidR="00BF56DC">
        <w:rPr>
          <w:rFonts w:ascii="Times New Roman" w:hAnsi="Times New Roman"/>
          <w:szCs w:val="24"/>
        </w:rPr>
        <w:t>703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424</w:t>
      </w:r>
      <w:r w:rsidRPr="00BF56DC">
        <w:rPr>
          <w:rFonts w:ascii="Times New Roman" w:hAnsi="Times New Roman"/>
          <w:szCs w:val="24"/>
        </w:rPr>
        <w:t xml:space="preserve"> na NP, 1 </w:t>
      </w:r>
      <w:r w:rsidRPr="00BF56DC" w:rsidR="00BF56DC">
        <w:rPr>
          <w:rFonts w:ascii="Times New Roman" w:hAnsi="Times New Roman"/>
          <w:szCs w:val="24"/>
        </w:rPr>
        <w:t>801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035</w:t>
      </w:r>
      <w:r w:rsidRPr="00BF56DC">
        <w:rPr>
          <w:rFonts w:ascii="Times New Roman" w:hAnsi="Times New Roman"/>
          <w:szCs w:val="24"/>
        </w:rPr>
        <w:t xml:space="preserve"> na SP, 1 </w:t>
      </w:r>
      <w:r w:rsidRPr="00BF56DC" w:rsidR="00BF56DC">
        <w:rPr>
          <w:rFonts w:ascii="Times New Roman" w:hAnsi="Times New Roman"/>
          <w:szCs w:val="24"/>
        </w:rPr>
        <w:t>709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565</w:t>
      </w:r>
      <w:r w:rsidRPr="00BF56DC">
        <w:rPr>
          <w:rFonts w:ascii="Times New Roman" w:hAnsi="Times New Roman"/>
          <w:szCs w:val="24"/>
        </w:rPr>
        <w:t xml:space="preserve"> na IP, 1 </w:t>
      </w:r>
      <w:r w:rsidRPr="00BF56DC" w:rsidR="00BF56DC">
        <w:rPr>
          <w:rFonts w:ascii="Times New Roman" w:hAnsi="Times New Roman"/>
          <w:szCs w:val="24"/>
        </w:rPr>
        <w:t>840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065</w:t>
      </w:r>
      <w:r w:rsidRPr="00BF56DC">
        <w:rPr>
          <w:rFonts w:ascii="Times New Roman" w:hAnsi="Times New Roman"/>
          <w:szCs w:val="24"/>
        </w:rPr>
        <w:t xml:space="preserve"> na ÚP, 1 </w:t>
      </w:r>
      <w:r w:rsidRPr="00BF56DC" w:rsidR="00BF56DC">
        <w:rPr>
          <w:rFonts w:ascii="Times New Roman" w:hAnsi="Times New Roman"/>
          <w:szCs w:val="24"/>
        </w:rPr>
        <w:t>512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059</w:t>
      </w:r>
      <w:r w:rsidRPr="00BF56DC">
        <w:rPr>
          <w:rFonts w:ascii="Times New Roman" w:hAnsi="Times New Roman"/>
          <w:szCs w:val="24"/>
        </w:rPr>
        <w:t> na GP, 1 </w:t>
      </w:r>
      <w:r w:rsidRPr="00BF56DC" w:rsidR="00BF56DC">
        <w:rPr>
          <w:rFonts w:ascii="Times New Roman" w:hAnsi="Times New Roman"/>
          <w:szCs w:val="24"/>
        </w:rPr>
        <w:t>642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421</w:t>
      </w:r>
      <w:r w:rsidRPr="00BF56DC">
        <w:rPr>
          <w:rFonts w:ascii="Times New Roman" w:hAnsi="Times New Roman"/>
          <w:szCs w:val="24"/>
        </w:rPr>
        <w:t xml:space="preserve"> na PvN a 1 </w:t>
      </w:r>
      <w:r w:rsidRPr="00BF56DC" w:rsidR="00BF56DC">
        <w:rPr>
          <w:rFonts w:ascii="Times New Roman" w:hAnsi="Times New Roman"/>
          <w:szCs w:val="24"/>
        </w:rPr>
        <w:t>801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563</w:t>
      </w:r>
      <w:r w:rsidRPr="00BF56DC">
        <w:rPr>
          <w:rFonts w:ascii="Times New Roman" w:hAnsi="Times New Roman"/>
          <w:szCs w:val="24"/>
        </w:rPr>
        <w:t xml:space="preserve"> do RFS,</w:t>
      </w:r>
    </w:p>
    <w:p w:rsidR="009B7D1A" w:rsidRPr="00BF56DC" w:rsidP="00973FE5">
      <w:pPr>
        <w:numPr>
          <w:numId w:val="19"/>
        </w:numPr>
        <w:tabs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2</w:t>
      </w:r>
      <w:r w:rsidRPr="00BF56DC" w:rsidR="00BF56DC">
        <w:rPr>
          <w:rFonts w:ascii="Times New Roman" w:hAnsi="Times New Roman"/>
          <w:szCs w:val="24"/>
        </w:rPr>
        <w:t>04</w:t>
      </w:r>
      <w:r w:rsidRPr="00BF56DC" w:rsidR="001154D4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371</w:t>
      </w:r>
      <w:r w:rsidRPr="00BF56DC" w:rsidR="001154D4">
        <w:rPr>
          <w:rFonts w:ascii="Times New Roman" w:hAnsi="Times New Roman"/>
          <w:szCs w:val="24"/>
        </w:rPr>
        <w:t> </w:t>
      </w:r>
      <w:r w:rsidR="00FA17C2">
        <w:rPr>
          <w:rFonts w:ascii="Times New Roman" w:hAnsi="Times New Roman"/>
          <w:szCs w:val="24"/>
        </w:rPr>
        <w:t>samostatne zárobkovo činných osôb (</w:t>
      </w:r>
      <w:r w:rsidRPr="00BF56DC">
        <w:rPr>
          <w:rFonts w:ascii="Times New Roman" w:hAnsi="Times New Roman"/>
          <w:szCs w:val="24"/>
        </w:rPr>
        <w:t>SZČO</w:t>
      </w:r>
      <w:r w:rsidR="00FA17C2">
        <w:rPr>
          <w:rFonts w:ascii="Times New Roman" w:hAnsi="Times New Roman"/>
          <w:szCs w:val="24"/>
        </w:rPr>
        <w:t>),</w:t>
      </w:r>
    </w:p>
    <w:p w:rsidR="009B7D1A" w:rsidRPr="00BF56DC" w:rsidP="00973FE5">
      <w:pPr>
        <w:numPr>
          <w:numId w:val="19"/>
        </w:numPr>
        <w:tabs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 w:rsidR="00BF56DC">
        <w:rPr>
          <w:rFonts w:ascii="Times New Roman" w:hAnsi="Times New Roman"/>
          <w:szCs w:val="24"/>
        </w:rPr>
        <w:t>7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733</w:t>
      </w:r>
      <w:r w:rsidRPr="00BF56DC">
        <w:rPr>
          <w:rFonts w:ascii="Times New Roman" w:hAnsi="Times New Roman"/>
          <w:szCs w:val="24"/>
        </w:rPr>
        <w:t xml:space="preserve"> </w:t>
      </w:r>
      <w:r w:rsidR="00FA17C2">
        <w:rPr>
          <w:rFonts w:ascii="Times New Roman" w:hAnsi="Times New Roman"/>
          <w:szCs w:val="24"/>
        </w:rPr>
        <w:t>dobrovoľne poistených osôb (</w:t>
      </w:r>
      <w:r w:rsidRPr="00BF56DC">
        <w:rPr>
          <w:rFonts w:ascii="Times New Roman" w:hAnsi="Times New Roman"/>
          <w:szCs w:val="24"/>
        </w:rPr>
        <w:t>DPO</w:t>
      </w:r>
      <w:r w:rsidR="00FA17C2">
        <w:rPr>
          <w:rFonts w:ascii="Times New Roman" w:hAnsi="Times New Roman"/>
          <w:szCs w:val="24"/>
        </w:rPr>
        <w:t>)</w:t>
      </w:r>
      <w:r w:rsidRPr="00BF56DC">
        <w:rPr>
          <w:rFonts w:ascii="Times New Roman" w:hAnsi="Times New Roman"/>
          <w:szCs w:val="24"/>
        </w:rPr>
        <w:t xml:space="preserve"> na NP, </w:t>
      </w:r>
      <w:r w:rsidRPr="00BF56DC" w:rsidR="00BF56DC">
        <w:rPr>
          <w:rFonts w:ascii="Times New Roman" w:hAnsi="Times New Roman"/>
          <w:szCs w:val="24"/>
        </w:rPr>
        <w:t xml:space="preserve">12 792 </w:t>
      </w:r>
      <w:r w:rsidRPr="00BF56DC">
        <w:rPr>
          <w:rFonts w:ascii="Times New Roman" w:hAnsi="Times New Roman"/>
          <w:szCs w:val="24"/>
        </w:rPr>
        <w:t xml:space="preserve">DPO na </w:t>
      </w:r>
      <w:r w:rsidRPr="00BF56DC" w:rsidR="00BF56DC">
        <w:rPr>
          <w:rFonts w:ascii="Times New Roman" w:hAnsi="Times New Roman"/>
          <w:szCs w:val="24"/>
        </w:rPr>
        <w:t>SP</w:t>
      </w:r>
      <w:r w:rsidR="0053333D">
        <w:rPr>
          <w:rFonts w:ascii="Times New Roman" w:hAnsi="Times New Roman"/>
          <w:szCs w:val="24"/>
        </w:rPr>
        <w:t xml:space="preserve">, </w:t>
      </w:r>
      <w:r w:rsidRPr="00BF56DC" w:rsidR="00BF56DC">
        <w:rPr>
          <w:rFonts w:ascii="Times New Roman" w:hAnsi="Times New Roman"/>
          <w:szCs w:val="24"/>
        </w:rPr>
        <w:t>12</w:t>
      </w:r>
      <w:r w:rsidR="0053333D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775 DPO na IP</w:t>
      </w:r>
      <w:r w:rsidR="0053333D">
        <w:rPr>
          <w:rFonts w:ascii="Times New Roman" w:hAnsi="Times New Roman"/>
          <w:szCs w:val="24"/>
        </w:rPr>
        <w:t xml:space="preserve">, </w:t>
      </w:r>
      <w:r w:rsidRPr="00BF56DC" w:rsidR="00BF56DC">
        <w:rPr>
          <w:rFonts w:ascii="Times New Roman" w:hAnsi="Times New Roman"/>
          <w:szCs w:val="24"/>
        </w:rPr>
        <w:t>17</w:t>
      </w:r>
      <w:r w:rsidRPr="00BF56DC">
        <w:rPr>
          <w:rFonts w:ascii="Times New Roman" w:hAnsi="Times New Roman"/>
          <w:szCs w:val="24"/>
        </w:rPr>
        <w:t> </w:t>
      </w:r>
      <w:r w:rsidRPr="00BF56DC" w:rsidR="00BF56DC">
        <w:rPr>
          <w:rFonts w:ascii="Times New Roman" w:hAnsi="Times New Roman"/>
          <w:szCs w:val="24"/>
        </w:rPr>
        <w:t>487</w:t>
      </w:r>
      <w:r w:rsidRPr="00BF56DC">
        <w:rPr>
          <w:rFonts w:ascii="Times New Roman" w:hAnsi="Times New Roman"/>
          <w:szCs w:val="24"/>
        </w:rPr>
        <w:t xml:space="preserve"> DPO na PvN</w:t>
      </w:r>
      <w:r w:rsidR="0053333D">
        <w:rPr>
          <w:rFonts w:ascii="Times New Roman" w:hAnsi="Times New Roman"/>
          <w:szCs w:val="24"/>
        </w:rPr>
        <w:t xml:space="preserve"> a 12 796 DPO do RFS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2 </w:t>
      </w:r>
      <w:r w:rsidRPr="00BF56DC" w:rsidR="001154D4">
        <w:rPr>
          <w:rFonts w:ascii="Times New Roman" w:hAnsi="Times New Roman"/>
          <w:szCs w:val="24"/>
        </w:rPr>
        <w:t>713</w:t>
      </w:r>
      <w:r w:rsidRPr="00BF56DC">
        <w:rPr>
          <w:rFonts w:ascii="Times New Roman" w:hAnsi="Times New Roman"/>
          <w:szCs w:val="24"/>
        </w:rPr>
        <w:t xml:space="preserve"> poberateľov úrazovej renty, za ktorých Sociálna poisťovňa platí poistné zo ZFÚP do ZFSP, 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 w:rsidR="001154D4">
        <w:rPr>
          <w:rFonts w:ascii="Times New Roman" w:hAnsi="Times New Roman"/>
          <w:szCs w:val="24"/>
        </w:rPr>
        <w:t>18</w:t>
      </w:r>
      <w:r w:rsidRPr="00BF56DC" w:rsidR="00BF56DC">
        <w:rPr>
          <w:rFonts w:ascii="Times New Roman" w:hAnsi="Times New Roman"/>
          <w:szCs w:val="24"/>
        </w:rPr>
        <w:t>2</w:t>
      </w:r>
      <w:r w:rsidRPr="00BF56DC">
        <w:rPr>
          <w:rFonts w:ascii="Times New Roman" w:hAnsi="Times New Roman"/>
          <w:szCs w:val="24"/>
        </w:rPr>
        <w:t xml:space="preserve"> </w:t>
      </w:r>
      <w:r w:rsidRPr="00BF56DC" w:rsidR="00BF56DC">
        <w:rPr>
          <w:rFonts w:ascii="Times New Roman" w:hAnsi="Times New Roman"/>
          <w:szCs w:val="24"/>
        </w:rPr>
        <w:t>939</w:t>
      </w:r>
      <w:r w:rsidRPr="00BF56DC">
        <w:rPr>
          <w:rFonts w:ascii="Times New Roman" w:hAnsi="Times New Roman"/>
          <w:szCs w:val="24"/>
        </w:rPr>
        <w:t xml:space="preserve"> poistencov štátu,</w:t>
      </w:r>
    </w:p>
    <w:p w:rsidR="009B7D1A" w:rsidRPr="00BF56DC" w:rsidP="00973FE5">
      <w:pPr>
        <w:numPr>
          <w:numId w:val="16"/>
        </w:numPr>
        <w:tabs>
          <w:tab w:val="clear" w:pos="360"/>
          <w:tab w:val="left" w:pos="426"/>
        </w:tabs>
        <w:bidi w:val="0"/>
        <w:spacing w:after="120" w:line="276" w:lineRule="auto"/>
        <w:ind w:hanging="357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vymeriavacieho základu, z ktorého sa platí poistné: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na NP: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zamestnancov vo výške </w:t>
      </w:r>
      <w:r w:rsidRPr="00BF56DC" w:rsidR="00BF56DC">
        <w:rPr>
          <w:rFonts w:ascii="Times New Roman" w:hAnsi="Times New Roman"/>
          <w:szCs w:val="24"/>
        </w:rPr>
        <w:t>809,62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SZČO vo výške </w:t>
      </w:r>
      <w:r w:rsidRPr="00BF56DC" w:rsidR="001154D4">
        <w:rPr>
          <w:rFonts w:ascii="Times New Roman" w:hAnsi="Times New Roman"/>
          <w:szCs w:val="24"/>
        </w:rPr>
        <w:t>4</w:t>
      </w:r>
      <w:r w:rsidRPr="00BF56DC" w:rsidR="00BF56DC">
        <w:rPr>
          <w:rFonts w:ascii="Times New Roman" w:hAnsi="Times New Roman"/>
          <w:szCs w:val="24"/>
        </w:rPr>
        <w:t>18,70</w:t>
      </w:r>
      <w:r w:rsidRPr="00BF56DC">
        <w:rPr>
          <w:rFonts w:ascii="Times New Roman" w:hAnsi="Times New Roman"/>
          <w:szCs w:val="24"/>
        </w:rPr>
        <w:t xml:space="preserve"> Eur,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DPO vo výške </w:t>
      </w:r>
      <w:r w:rsidRPr="00BF56DC" w:rsidR="001154D4">
        <w:rPr>
          <w:rFonts w:ascii="Times New Roman" w:hAnsi="Times New Roman"/>
          <w:szCs w:val="24"/>
        </w:rPr>
        <w:t>3</w:t>
      </w:r>
      <w:r w:rsidRPr="00BF56DC" w:rsidR="00BF56DC">
        <w:rPr>
          <w:rFonts w:ascii="Times New Roman" w:hAnsi="Times New Roman"/>
          <w:szCs w:val="24"/>
        </w:rPr>
        <w:t>52,22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na SP: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zamestnancov vo výške </w:t>
      </w:r>
      <w:r w:rsidRPr="00BF56DC" w:rsidR="00BF56DC">
        <w:rPr>
          <w:rFonts w:ascii="Times New Roman" w:hAnsi="Times New Roman"/>
          <w:szCs w:val="24"/>
        </w:rPr>
        <w:t>804,66</w:t>
      </w:r>
      <w:r w:rsidRPr="00BF56DC">
        <w:rPr>
          <w:rFonts w:ascii="Times New Roman" w:hAnsi="Times New Roman"/>
          <w:szCs w:val="24"/>
        </w:rPr>
        <w:t xml:space="preserve"> Eur,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SZČO vo výške </w:t>
      </w:r>
      <w:r w:rsidRPr="00BF56DC" w:rsidR="00BF56DC">
        <w:rPr>
          <w:rFonts w:ascii="Times New Roman" w:hAnsi="Times New Roman"/>
          <w:szCs w:val="24"/>
        </w:rPr>
        <w:t>418,70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25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DPO vo výške </w:t>
      </w:r>
      <w:r w:rsidRPr="00BF56DC" w:rsidR="001154D4">
        <w:rPr>
          <w:rFonts w:ascii="Times New Roman" w:hAnsi="Times New Roman"/>
          <w:szCs w:val="24"/>
        </w:rPr>
        <w:t>3</w:t>
      </w:r>
      <w:r w:rsidRPr="00BF56DC" w:rsidR="00BF56DC">
        <w:rPr>
          <w:rFonts w:ascii="Times New Roman" w:hAnsi="Times New Roman"/>
          <w:szCs w:val="24"/>
        </w:rPr>
        <w:t>77,03</w:t>
      </w:r>
      <w:r w:rsidRPr="00BF56DC">
        <w:rPr>
          <w:rFonts w:ascii="Times New Roman" w:hAnsi="Times New Roman"/>
          <w:szCs w:val="24"/>
        </w:rPr>
        <w:t xml:space="preserve"> Eur, 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na IP: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25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zamestnancov vo výške </w:t>
      </w:r>
      <w:r w:rsidRPr="00BF56DC" w:rsidR="001154D4">
        <w:rPr>
          <w:rFonts w:ascii="Times New Roman" w:hAnsi="Times New Roman"/>
          <w:szCs w:val="24"/>
        </w:rPr>
        <w:t>8</w:t>
      </w:r>
      <w:r w:rsidRPr="00BF56DC" w:rsidR="00BF56DC">
        <w:rPr>
          <w:rFonts w:ascii="Times New Roman" w:hAnsi="Times New Roman"/>
          <w:szCs w:val="24"/>
        </w:rPr>
        <w:t>05,65</w:t>
      </w:r>
      <w:r w:rsidRPr="00BF56DC">
        <w:rPr>
          <w:rFonts w:ascii="Times New Roman" w:hAnsi="Times New Roman"/>
          <w:szCs w:val="24"/>
        </w:rPr>
        <w:t xml:space="preserve"> Eur, 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25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SZČO vo výške </w:t>
      </w:r>
      <w:r w:rsidRPr="00BF56DC" w:rsidR="00BF56DC">
        <w:rPr>
          <w:rFonts w:ascii="Times New Roman" w:hAnsi="Times New Roman"/>
          <w:szCs w:val="24"/>
        </w:rPr>
        <w:t>414,73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25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DPO vo výške </w:t>
      </w:r>
      <w:r w:rsidRPr="00BF56DC" w:rsidR="001154D4">
        <w:rPr>
          <w:rFonts w:ascii="Times New Roman" w:hAnsi="Times New Roman"/>
          <w:szCs w:val="24"/>
        </w:rPr>
        <w:t>3</w:t>
      </w:r>
      <w:r w:rsidRPr="00BF56DC" w:rsidR="00BF56DC">
        <w:rPr>
          <w:rFonts w:ascii="Times New Roman" w:hAnsi="Times New Roman"/>
          <w:szCs w:val="24"/>
        </w:rPr>
        <w:t>77,03</w:t>
      </w:r>
      <w:r w:rsidRPr="00BF56DC">
        <w:rPr>
          <w:rFonts w:ascii="Times New Roman" w:hAnsi="Times New Roman"/>
          <w:szCs w:val="24"/>
        </w:rPr>
        <w:t xml:space="preserve"> Eur,  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left="709" w:hanging="349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na ÚP za zamestnancov vo výške </w:t>
      </w:r>
      <w:r w:rsidRPr="00BF56DC" w:rsidR="00BF56DC">
        <w:rPr>
          <w:rFonts w:ascii="Times New Roman" w:hAnsi="Times New Roman"/>
          <w:szCs w:val="24"/>
        </w:rPr>
        <w:t>835,41</w:t>
      </w:r>
      <w:r w:rsidRPr="00BF56DC">
        <w:rPr>
          <w:rFonts w:ascii="Times New Roman" w:hAnsi="Times New Roman"/>
          <w:szCs w:val="24"/>
        </w:rPr>
        <w:t xml:space="preserve"> Eur,  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na GP: za zamestnancov vo výške </w:t>
      </w:r>
      <w:r w:rsidRPr="00BF56DC" w:rsidR="00BF56DC">
        <w:rPr>
          <w:rFonts w:ascii="Times New Roman" w:hAnsi="Times New Roman"/>
          <w:szCs w:val="24"/>
        </w:rPr>
        <w:t>811,60</w:t>
      </w:r>
      <w:r w:rsidRPr="00BF56DC">
        <w:rPr>
          <w:rFonts w:ascii="Times New Roman" w:hAnsi="Times New Roman"/>
          <w:szCs w:val="24"/>
        </w:rPr>
        <w:t xml:space="preserve"> Eur,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na PvN: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zamestnancov vo výške </w:t>
      </w:r>
      <w:r w:rsidRPr="00BF56DC" w:rsidR="001154D4">
        <w:rPr>
          <w:rFonts w:ascii="Times New Roman" w:hAnsi="Times New Roman"/>
          <w:szCs w:val="24"/>
        </w:rPr>
        <w:t>8</w:t>
      </w:r>
      <w:r w:rsidRPr="00BF56DC" w:rsidR="00BF56DC">
        <w:rPr>
          <w:rFonts w:ascii="Times New Roman" w:hAnsi="Times New Roman"/>
          <w:szCs w:val="24"/>
        </w:rPr>
        <w:t>11,60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DPO vo výške </w:t>
      </w:r>
      <w:r w:rsidRPr="00BF56DC" w:rsidR="00BF56DC">
        <w:rPr>
          <w:rFonts w:ascii="Times New Roman" w:hAnsi="Times New Roman"/>
          <w:szCs w:val="24"/>
        </w:rPr>
        <w:t>410,76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6"/>
        </w:numPr>
        <w:tabs>
          <w:tab w:val="left" w:pos="720"/>
        </w:tabs>
        <w:bidi w:val="0"/>
        <w:spacing w:after="120"/>
        <w:ind w:left="357" w:firstLine="0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do RFS: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zamestnancov vo výške </w:t>
      </w:r>
      <w:r w:rsidRPr="00BF56DC" w:rsidR="001154D4">
        <w:rPr>
          <w:rFonts w:ascii="Times New Roman" w:hAnsi="Times New Roman"/>
          <w:szCs w:val="24"/>
        </w:rPr>
        <w:t>8</w:t>
      </w:r>
      <w:r w:rsidRPr="00BF56DC" w:rsidR="00BF56DC">
        <w:rPr>
          <w:rFonts w:ascii="Times New Roman" w:hAnsi="Times New Roman"/>
          <w:szCs w:val="24"/>
        </w:rPr>
        <w:t>04,66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za SZČO vo výške 4</w:t>
      </w:r>
      <w:r w:rsidRPr="00BF56DC" w:rsidR="00BF56DC">
        <w:rPr>
          <w:rFonts w:ascii="Times New Roman" w:hAnsi="Times New Roman"/>
          <w:szCs w:val="24"/>
        </w:rPr>
        <w:t>1</w:t>
      </w:r>
      <w:r w:rsidRPr="00BF56DC" w:rsidR="001154D4">
        <w:rPr>
          <w:rFonts w:ascii="Times New Roman" w:hAnsi="Times New Roman"/>
          <w:szCs w:val="24"/>
        </w:rPr>
        <w:t>8,</w:t>
      </w:r>
      <w:r w:rsidRPr="00BF56DC" w:rsidR="00BF56DC">
        <w:rPr>
          <w:rFonts w:ascii="Times New Roman" w:hAnsi="Times New Roman"/>
          <w:szCs w:val="24"/>
        </w:rPr>
        <w:t>70</w:t>
      </w:r>
      <w:r w:rsidRPr="00BF56DC" w:rsidR="001154D4">
        <w:rPr>
          <w:rFonts w:ascii="Times New Roman" w:hAnsi="Times New Roman"/>
          <w:szCs w:val="24"/>
        </w:rPr>
        <w:t xml:space="preserve"> </w:t>
      </w:r>
      <w:r w:rsidRPr="00BF56DC">
        <w:rPr>
          <w:rFonts w:ascii="Times New Roman" w:hAnsi="Times New Roman"/>
          <w:szCs w:val="24"/>
        </w:rPr>
        <w:t xml:space="preserve">Eur,  </w:t>
      </w:r>
    </w:p>
    <w:p w:rsidR="000761A1" w:rsidRPr="00BF56DC" w:rsidP="00973FE5">
      <w:pPr>
        <w:numPr>
          <w:numId w:val="18"/>
        </w:numPr>
        <w:tabs>
          <w:tab w:val="left" w:pos="1134"/>
        </w:tabs>
        <w:bidi w:val="0"/>
        <w:spacing w:after="120"/>
        <w:ind w:left="1134" w:hanging="414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 xml:space="preserve">za DPO vo výške </w:t>
      </w:r>
      <w:r w:rsidRPr="00BF56DC" w:rsidR="001154D4">
        <w:rPr>
          <w:rFonts w:ascii="Times New Roman" w:hAnsi="Times New Roman"/>
          <w:szCs w:val="24"/>
        </w:rPr>
        <w:t>3</w:t>
      </w:r>
      <w:r w:rsidRPr="00BF56DC" w:rsidR="00BF56DC">
        <w:rPr>
          <w:rFonts w:ascii="Times New Roman" w:hAnsi="Times New Roman"/>
          <w:szCs w:val="24"/>
        </w:rPr>
        <w:t>77,03</w:t>
      </w:r>
      <w:r w:rsidRPr="00BF56DC">
        <w:rPr>
          <w:rFonts w:ascii="Times New Roman" w:hAnsi="Times New Roman"/>
          <w:szCs w:val="24"/>
        </w:rPr>
        <w:t xml:space="preserve"> Eur, </w:t>
      </w:r>
    </w:p>
    <w:p w:rsidR="000761A1" w:rsidRPr="00BF56DC" w:rsidP="00973FE5">
      <w:pPr>
        <w:numPr>
          <w:numId w:val="16"/>
        </w:numPr>
        <w:tabs>
          <w:tab w:val="left" w:pos="426"/>
        </w:tabs>
        <w:bidi w:val="0"/>
        <w:spacing w:after="120"/>
        <w:ind w:left="363" w:hanging="357"/>
        <w:jc w:val="both"/>
        <w:rPr>
          <w:rFonts w:ascii="Times New Roman" w:hAnsi="Times New Roman"/>
          <w:szCs w:val="24"/>
        </w:rPr>
      </w:pPr>
      <w:r w:rsidRPr="00BF56DC">
        <w:rPr>
          <w:rFonts w:ascii="Times New Roman" w:hAnsi="Times New Roman"/>
          <w:szCs w:val="24"/>
        </w:rPr>
        <w:t>predpokladu, že percento pracovnej neschopnosti pre chorobu a úraz bude na úrovni očakávanej skutočnosti v roku 201</w:t>
      </w:r>
      <w:r w:rsidRPr="00BF56DC" w:rsidR="00A760C2">
        <w:rPr>
          <w:rFonts w:ascii="Times New Roman" w:hAnsi="Times New Roman"/>
          <w:szCs w:val="24"/>
        </w:rPr>
        <w:t>3</w:t>
      </w:r>
      <w:r w:rsidRPr="00BF56DC">
        <w:rPr>
          <w:rFonts w:ascii="Times New Roman" w:hAnsi="Times New Roman"/>
          <w:szCs w:val="24"/>
        </w:rPr>
        <w:t>, t. j. 3,5 % a úspešnosť výberu poistného 97 %.</w:t>
      </w:r>
    </w:p>
    <w:p w:rsidR="000761A1" w:rsidP="00973FE5">
      <w:pPr>
        <w:pStyle w:val="BodyTextIndent"/>
        <w:tabs>
          <w:tab w:val="left" w:pos="426"/>
        </w:tabs>
        <w:bidi w:val="0"/>
        <w:spacing w:before="240"/>
        <w:ind w:left="6" w:firstLine="714"/>
        <w:jc w:val="both"/>
        <w:rPr>
          <w:rFonts w:ascii="Times New Roman" w:hAnsi="Times New Roman"/>
        </w:rPr>
      </w:pPr>
      <w:r w:rsidRPr="00BF56DC">
        <w:rPr>
          <w:rFonts w:ascii="Times New Roman" w:hAnsi="Times New Roman"/>
        </w:rPr>
        <w:t xml:space="preserve">Príjmy z poistného od EAO </w:t>
      </w:r>
      <w:r w:rsidRPr="00BF56DC">
        <w:rPr>
          <w:rFonts w:ascii="Times New Roman" w:hAnsi="Times New Roman"/>
          <w:b/>
        </w:rPr>
        <w:t>v rokoch 2015 a 2016</w:t>
      </w:r>
      <w:r w:rsidRPr="00BF56DC">
        <w:rPr>
          <w:rFonts w:ascii="Times New Roman" w:hAnsi="Times New Roman"/>
        </w:rPr>
        <w:t xml:space="preserve"> sú stanovené indexom, ktorý sa odvíja od medziročného rastu priemernej mzdy v hospodárstve SR predikovaného IFP MF SR. Rešpektujú sa všetky relevantné ukazovatele, ktoré boli použité pri rozpočtovaní príjmov v bežnom roku 2014 a predpoklad, že percento pracovnej neschopnosti pre chorobu a úraz bude na úrovni 3,5 %.</w:t>
      </w:r>
      <w:r w:rsidRPr="000619E5">
        <w:rPr>
          <w:rFonts w:ascii="Times New Roman" w:hAnsi="Times New Roman"/>
        </w:rPr>
        <w:t xml:space="preserve"> </w:t>
      </w:r>
    </w:p>
    <w:p w:rsidR="009E436C" w:rsidP="00973FE5">
      <w:pPr>
        <w:pStyle w:val="BodyTextIndent"/>
        <w:tabs>
          <w:tab w:val="left" w:pos="426"/>
        </w:tabs>
        <w:bidi w:val="0"/>
        <w:spacing w:before="240"/>
        <w:ind w:left="6" w:firstLine="714"/>
        <w:jc w:val="both"/>
        <w:rPr>
          <w:rFonts w:ascii="Times New Roman" w:hAnsi="Times New Roman"/>
        </w:rPr>
      </w:pPr>
    </w:p>
    <w:p w:rsidR="009E436C" w:rsidP="00973FE5">
      <w:pPr>
        <w:pStyle w:val="BodyTextIndent"/>
        <w:tabs>
          <w:tab w:val="left" w:pos="426"/>
        </w:tabs>
        <w:bidi w:val="0"/>
        <w:spacing w:before="240"/>
        <w:ind w:left="6" w:firstLine="714"/>
        <w:jc w:val="both"/>
        <w:rPr>
          <w:rFonts w:ascii="Times New Roman" w:hAnsi="Times New Roman"/>
        </w:rPr>
      </w:pPr>
    </w:p>
    <w:p w:rsidR="006E6CD2" w:rsidP="00973FE5">
      <w:pPr>
        <w:pStyle w:val="BodyTextIndent"/>
        <w:tabs>
          <w:tab w:val="left" w:pos="426"/>
        </w:tabs>
        <w:bidi w:val="0"/>
        <w:spacing w:before="240"/>
        <w:ind w:left="6" w:firstLine="714"/>
        <w:jc w:val="both"/>
        <w:rPr>
          <w:rFonts w:ascii="Times New Roman" w:hAnsi="Times New Roman"/>
        </w:rPr>
      </w:pPr>
    </w:p>
    <w:p w:rsidR="001808E1" w:rsidP="0037478E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619E5" w:rsidR="00887DFF">
        <w:rPr>
          <w:rFonts w:ascii="Times New Roman" w:hAnsi="Times New Roman"/>
          <w:b/>
          <w:szCs w:val="24"/>
        </w:rPr>
        <w:t>Výdavky</w:t>
      </w:r>
      <w:r w:rsidRPr="000619E5" w:rsidR="000A5701">
        <w:rPr>
          <w:rFonts w:ascii="Times New Roman" w:hAnsi="Times New Roman"/>
          <w:b/>
          <w:szCs w:val="24"/>
        </w:rPr>
        <w:t xml:space="preserve"> (náklady) Sociálnej poisťovne</w:t>
      </w:r>
      <w:r w:rsidRPr="000619E5" w:rsidR="004E46B6">
        <w:rPr>
          <w:rFonts w:ascii="Times New Roman" w:hAnsi="Times New Roman"/>
          <w:szCs w:val="24"/>
        </w:rPr>
        <w:t xml:space="preserve"> na </w:t>
      </w:r>
      <w:r w:rsidRPr="000619E5" w:rsidR="004E46B6">
        <w:rPr>
          <w:rFonts w:ascii="Times New Roman" w:hAnsi="Times New Roman"/>
          <w:b/>
          <w:szCs w:val="24"/>
        </w:rPr>
        <w:t>roky 2014 až 2016</w:t>
      </w:r>
      <w:r w:rsidRPr="000619E5" w:rsidR="004E46B6">
        <w:rPr>
          <w:rFonts w:ascii="Times New Roman" w:hAnsi="Times New Roman"/>
        </w:rPr>
        <w:t xml:space="preserve"> sa</w:t>
      </w:r>
      <w:r w:rsidRPr="000619E5" w:rsidR="004E46B6">
        <w:rPr>
          <w:rFonts w:ascii="Times New Roman" w:hAnsi="Times New Roman"/>
          <w:szCs w:val="24"/>
        </w:rPr>
        <w:t xml:space="preserve"> predpokladajú:</w:t>
      </w:r>
    </w:p>
    <w:tbl>
      <w:tblPr>
        <w:tblStyle w:val="TableNormal"/>
        <w:tblW w:w="94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640"/>
        <w:gridCol w:w="1600"/>
        <w:gridCol w:w="1480"/>
      </w:tblGrid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8227B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8227B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8227B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Návrh rozpočtu  rok 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8227B" w:rsidRPr="000619E5" w:rsidP="00A822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A3E64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Použitie prostriedkov celkom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6 895 823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7 130 227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7 391 783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ZFNP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438 175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455 147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475 331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ZFSP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5 159 884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5 341 864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5 544 928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943 359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982 292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1 025 894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ZFÚP , v tom: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45 828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47 192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48 624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- výdavky na úrazové dávky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43 557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44 921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46 353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- úhrada poistného na SP a príspevkov na SDS za poberateľov úrazovej renty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2 271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ZFGP, v tom: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19 182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19 982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20 820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- výdavky na dávku garančného poistenia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6 687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8 676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37478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 - úhrada príspevkov na SDS nezaplatených zamestnávateľom do základného fondu príspevkov na </w:t>
            </w:r>
            <w:r>
              <w:rPr>
                <w:rFonts w:ascii="Times New Roman" w:hAnsi="Times New Roman"/>
                <w:sz w:val="22"/>
                <w:szCs w:val="22"/>
              </w:rPr>
              <w:t>SDS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12 495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12 280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12 144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0619E5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ZFPvN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183 395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177 750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170 186</w:t>
            </w:r>
          </w:p>
        </w:tc>
      </w:tr>
      <w:tr>
        <w:tblPrEx>
          <w:tblW w:w="9413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A3E64" w:rsidP="00A822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správny fond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106 000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106 000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A3E64">
              <w:rPr>
                <w:rFonts w:ascii="Times New Roman" w:hAnsi="Times New Roman"/>
                <w:sz w:val="22"/>
                <w:szCs w:val="22"/>
              </w:rPr>
              <w:t>106 000</w:t>
            </w:r>
          </w:p>
        </w:tc>
      </w:tr>
    </w:tbl>
    <w:p w:rsidR="00F621C2" w:rsidP="00F621C2">
      <w:pPr>
        <w:bidi w:val="0"/>
        <w:spacing w:after="120"/>
        <w:ind w:firstLine="709"/>
        <w:jc w:val="both"/>
        <w:rPr>
          <w:rFonts w:ascii="Times New Roman" w:hAnsi="Times New Roman"/>
          <w:b/>
          <w:szCs w:val="24"/>
        </w:rPr>
      </w:pPr>
    </w:p>
    <w:p w:rsidR="00F621C2" w:rsidRPr="00F621C2" w:rsidP="00F621C2">
      <w:pPr>
        <w:bidi w:val="0"/>
        <w:spacing w:after="120"/>
        <w:ind w:firstLine="709"/>
        <w:jc w:val="both"/>
        <w:rPr>
          <w:rFonts w:ascii="Times New Roman" w:hAnsi="Times New Roman"/>
          <w:szCs w:val="24"/>
        </w:rPr>
      </w:pPr>
      <w:r w:rsidR="00960C83">
        <w:rPr>
          <w:rFonts w:ascii="Times New Roman" w:hAnsi="Times New Roman"/>
          <w:b/>
          <w:szCs w:val="24"/>
        </w:rPr>
        <w:t>Výdavky na n</w:t>
      </w:r>
      <w:r w:rsidRPr="00F621C2">
        <w:rPr>
          <w:rFonts w:ascii="Times New Roman" w:hAnsi="Times New Roman"/>
          <w:b/>
          <w:szCs w:val="24"/>
        </w:rPr>
        <w:t>emocenské dávky</w:t>
      </w:r>
      <w:r w:rsidRPr="00F621C2">
        <w:rPr>
          <w:rFonts w:ascii="Times New Roman" w:hAnsi="Times New Roman"/>
          <w:szCs w:val="24"/>
        </w:rPr>
        <w:t xml:space="preserve"> sa v </w:t>
      </w:r>
      <w:r w:rsidRPr="00F621C2">
        <w:rPr>
          <w:rFonts w:ascii="Times New Roman" w:hAnsi="Times New Roman"/>
          <w:b/>
          <w:szCs w:val="24"/>
        </w:rPr>
        <w:t>roku 201</w:t>
      </w:r>
      <w:r>
        <w:rPr>
          <w:rFonts w:ascii="Times New Roman" w:hAnsi="Times New Roman"/>
          <w:b/>
          <w:szCs w:val="24"/>
        </w:rPr>
        <w:t>4</w:t>
      </w:r>
      <w:r w:rsidRPr="00F621C2">
        <w:rPr>
          <w:rFonts w:ascii="Times New Roman" w:hAnsi="Times New Roman"/>
          <w:b/>
          <w:szCs w:val="24"/>
        </w:rPr>
        <w:t xml:space="preserve"> </w:t>
      </w:r>
      <w:r w:rsidRPr="00F621C2">
        <w:rPr>
          <w:rFonts w:ascii="Times New Roman" w:hAnsi="Times New Roman"/>
          <w:szCs w:val="24"/>
        </w:rPr>
        <w:t xml:space="preserve">predpokladajú vo výške </w:t>
      </w:r>
      <w:r>
        <w:rPr>
          <w:rFonts w:ascii="Times New Roman" w:hAnsi="Times New Roman"/>
          <w:b/>
          <w:szCs w:val="24"/>
        </w:rPr>
        <w:t>4</w:t>
      </w:r>
      <w:r w:rsidR="003C5626">
        <w:rPr>
          <w:rFonts w:ascii="Times New Roman" w:hAnsi="Times New Roman"/>
          <w:b/>
          <w:szCs w:val="24"/>
        </w:rPr>
        <w:t>38</w:t>
      </w:r>
      <w:r w:rsidRPr="00F621C2">
        <w:rPr>
          <w:rFonts w:ascii="Times New Roman" w:hAnsi="Times New Roman"/>
          <w:b/>
          <w:szCs w:val="24"/>
        </w:rPr>
        <w:t> </w:t>
      </w:r>
      <w:r w:rsidR="003C5626">
        <w:rPr>
          <w:rFonts w:ascii="Times New Roman" w:hAnsi="Times New Roman"/>
          <w:b/>
          <w:szCs w:val="24"/>
        </w:rPr>
        <w:t>175</w:t>
      </w:r>
      <w:r w:rsidR="00960C83">
        <w:rPr>
          <w:rFonts w:ascii="Times New Roman" w:hAnsi="Times New Roman"/>
          <w:b/>
          <w:szCs w:val="24"/>
        </w:rPr>
        <w:t> tis. </w:t>
      </w:r>
      <w:r w:rsidRPr="00F621C2">
        <w:rPr>
          <w:rFonts w:ascii="Times New Roman" w:hAnsi="Times New Roman"/>
          <w:b/>
          <w:szCs w:val="24"/>
        </w:rPr>
        <w:t>Eur</w:t>
      </w:r>
      <w:r w:rsidRPr="00F621C2">
        <w:rPr>
          <w:rFonts w:ascii="Times New Roman" w:hAnsi="Times New Roman"/>
          <w:szCs w:val="24"/>
        </w:rPr>
        <w:t>. Pri prepočte bol zohľadnený vývoj ukazovateľov ovplyvňujúcich výšku výdavkov na nemocenské dávky:</w:t>
      </w:r>
    </w:p>
    <w:tbl>
      <w:tblPr>
        <w:tblStyle w:val="TableNormal"/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3"/>
        <w:gridCol w:w="2693"/>
        <w:gridCol w:w="2694"/>
      </w:tblGrid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Dávka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621C2" w:rsidRPr="00F621C2" w:rsidP="00F621C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Priemerná mesačná výška dávky v Eur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621C2" w:rsidRPr="00F621C2" w:rsidP="00F621C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Priemerný mesačný počet poberateľov dávky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Nemocenské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3C5626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3C5626">
              <w:rPr>
                <w:rFonts w:ascii="Times New Roman" w:hAnsi="Times New Roman"/>
                <w:sz w:val="22"/>
                <w:szCs w:val="22"/>
              </w:rPr>
              <w:t xml:space="preserve">110 </w:t>
            </w:r>
            <w:r w:rsidR="00DA3E64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 xml:space="preserve">Ošetrovné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DA3E6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3C5626">
              <w:rPr>
                <w:rFonts w:ascii="Times New Roman" w:hAnsi="Times New Roman"/>
                <w:sz w:val="22"/>
                <w:szCs w:val="22"/>
              </w:rPr>
              <w:t>11 110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Vyrovnávacia dávka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DA3E64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DA3E64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F621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621C2">
              <w:rPr>
                <w:rFonts w:ascii="Times New Roman" w:hAnsi="Times New Roman"/>
                <w:sz w:val="22"/>
                <w:szCs w:val="22"/>
              </w:rPr>
              <w:t>Materské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3C5626">
              <w:rPr>
                <w:rFonts w:ascii="Times New Roman" w:hAnsi="Times New Roman"/>
                <w:sz w:val="22"/>
                <w:szCs w:val="22"/>
              </w:rPr>
              <w:t>45</w:t>
            </w:r>
            <w:r w:rsidR="00DA3E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621C2" w:rsidRPr="00F621C2" w:rsidP="00DA3E6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BB2BED">
              <w:rPr>
                <w:rFonts w:ascii="Times New Roman" w:hAnsi="Times New Roman"/>
                <w:sz w:val="22"/>
                <w:szCs w:val="22"/>
              </w:rPr>
              <w:t xml:space="preserve">24 </w:t>
            </w:r>
            <w:r w:rsidR="003C5626">
              <w:rPr>
                <w:rFonts w:ascii="Times New Roman" w:hAnsi="Times New Roman"/>
                <w:sz w:val="22"/>
                <w:szCs w:val="22"/>
              </w:rPr>
              <w:t>2</w:t>
            </w:r>
            <w:r w:rsidR="00DA3E6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</w:tbl>
    <w:p w:rsidR="00A8227B" w:rsidRPr="000619E5" w:rsidP="00BB2087">
      <w:pPr>
        <w:pStyle w:val="BodyTextIndent2"/>
        <w:bidi w:val="0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A047BC" w:rsidRPr="0097043D" w:rsidP="00565A4E">
      <w:pPr>
        <w:pStyle w:val="BodyTextIndent2"/>
        <w:tabs>
          <w:tab w:val="decimal" w:pos="8222"/>
        </w:tabs>
        <w:bidi w:val="0"/>
        <w:spacing w:before="120" w:after="0" w:line="240" w:lineRule="auto"/>
        <w:ind w:left="0" w:firstLine="709"/>
        <w:rPr>
          <w:rFonts w:ascii="Times New Roman" w:hAnsi="Times New Roman"/>
          <w:szCs w:val="24"/>
        </w:rPr>
      </w:pPr>
      <w:r w:rsidRPr="0097043D">
        <w:rPr>
          <w:rFonts w:ascii="Times New Roman" w:hAnsi="Times New Roman"/>
          <w:b/>
          <w:szCs w:val="24"/>
        </w:rPr>
        <w:t xml:space="preserve">Výdavky </w:t>
      </w:r>
      <w:r>
        <w:rPr>
          <w:rFonts w:ascii="Times New Roman" w:hAnsi="Times New Roman"/>
          <w:b/>
          <w:szCs w:val="24"/>
        </w:rPr>
        <w:t>na dôchodkové dávky</w:t>
      </w:r>
      <w:r>
        <w:rPr>
          <w:rFonts w:ascii="Times New Roman" w:hAnsi="Times New Roman"/>
          <w:szCs w:val="24"/>
        </w:rPr>
        <w:t xml:space="preserve"> na rok 2014</w:t>
      </w:r>
      <w:r w:rsidRPr="0097043D">
        <w:rPr>
          <w:rFonts w:ascii="Times New Roman" w:hAnsi="Times New Roman"/>
          <w:szCs w:val="24"/>
        </w:rPr>
        <w:t xml:space="preserve"> sú stanovené </w:t>
      </w:r>
      <w:r>
        <w:rPr>
          <w:rFonts w:ascii="Times New Roman" w:hAnsi="Times New Roman"/>
          <w:szCs w:val="24"/>
        </w:rPr>
        <w:br/>
      </w:r>
      <w:r w:rsidRPr="0097043D">
        <w:rPr>
          <w:rFonts w:ascii="Times New Roman" w:hAnsi="Times New Roman"/>
          <w:szCs w:val="24"/>
        </w:rPr>
        <w:t xml:space="preserve">vo výške </w:t>
        <w:tab/>
      </w:r>
      <w:r>
        <w:rPr>
          <w:rFonts w:ascii="Times New Roman" w:hAnsi="Times New Roman"/>
          <w:b/>
          <w:szCs w:val="24"/>
        </w:rPr>
        <w:t>6</w:t>
      </w:r>
      <w:r w:rsidRPr="0097043D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103 243</w:t>
      </w:r>
      <w:r w:rsidRPr="0097043D">
        <w:rPr>
          <w:rFonts w:ascii="Times New Roman" w:hAnsi="Times New Roman"/>
          <w:b/>
          <w:szCs w:val="24"/>
        </w:rPr>
        <w:t> tis. Eur</w:t>
      </w:r>
      <w:r w:rsidRPr="0097043D">
        <w:rPr>
          <w:rFonts w:ascii="Times New Roman" w:hAnsi="Times New Roman"/>
          <w:szCs w:val="24"/>
        </w:rPr>
        <w:t>,</w:t>
        <w:br/>
        <w:t xml:space="preserve">v tom výdavky </w:t>
      </w:r>
      <w:r>
        <w:rPr>
          <w:rFonts w:ascii="Times New Roman" w:hAnsi="Times New Roman"/>
          <w:szCs w:val="24"/>
        </w:rPr>
        <w:t>zo:</w:t>
      </w:r>
    </w:p>
    <w:p w:rsidR="00A047BC" w:rsidRPr="0097043D" w:rsidP="00A047BC">
      <w:pPr>
        <w:pStyle w:val="BodyTextIndent2"/>
        <w:numPr>
          <w:numId w:val="23"/>
        </w:numPr>
        <w:tabs>
          <w:tab w:val="decimal" w:pos="8222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ZFSP</w:t>
      </w:r>
      <w:r w:rsidRPr="009704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</w:t>
      </w:r>
      <w:r w:rsidRPr="0097043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159 884</w:t>
      </w:r>
      <w:r w:rsidRPr="0097043D">
        <w:rPr>
          <w:rFonts w:ascii="Times New Roman" w:hAnsi="Times New Roman"/>
          <w:szCs w:val="24"/>
        </w:rPr>
        <w:t> tis. Eur,</w:t>
      </w:r>
    </w:p>
    <w:p w:rsidR="00A047BC" w:rsidRPr="00443DA7" w:rsidP="00A047BC">
      <w:pPr>
        <w:pStyle w:val="BodyTextIndent2"/>
        <w:numPr>
          <w:numId w:val="23"/>
        </w:numPr>
        <w:tabs>
          <w:tab w:val="decimal" w:pos="8222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ZFIP</w:t>
        <w:tab/>
        <w:t>943 359 tis. Eur.</w:t>
      </w:r>
    </w:p>
    <w:p w:rsidR="00A047BC" w:rsidP="00A047BC">
      <w:pPr>
        <w:pStyle w:val="BodyTextIndent2"/>
        <w:bidi w:val="0"/>
        <w:spacing w:before="240"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7043D">
        <w:rPr>
          <w:rFonts w:ascii="Times New Roman" w:hAnsi="Times New Roman"/>
          <w:color w:val="000000"/>
          <w:szCs w:val="24"/>
        </w:rPr>
        <w:t xml:space="preserve">Pri novopriznaných dôchodkoch sa vychádzalo z predpokladu, že starobných dôchodkov bude priznaných celkom </w:t>
      </w:r>
      <w:r>
        <w:rPr>
          <w:rFonts w:ascii="Times New Roman" w:hAnsi="Times New Roman"/>
          <w:color w:val="000000"/>
          <w:szCs w:val="24"/>
        </w:rPr>
        <w:t>18 380</w:t>
      </w:r>
      <w:r w:rsidRPr="0097043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 priemernou výškou dôchodku 471,32</w:t>
      </w:r>
      <w:r w:rsidRPr="0097043D">
        <w:rPr>
          <w:rFonts w:ascii="Times New Roman" w:hAnsi="Times New Roman"/>
          <w:color w:val="000000"/>
          <w:szCs w:val="24"/>
        </w:rPr>
        <w:t xml:space="preserve"> Eur, predčasných starobných dôchodkov bude priznaných </w:t>
      </w:r>
      <w:r>
        <w:rPr>
          <w:rFonts w:ascii="Times New Roman" w:hAnsi="Times New Roman"/>
          <w:color w:val="000000"/>
          <w:szCs w:val="24"/>
        </w:rPr>
        <w:t>16 000</w:t>
      </w:r>
      <w:r w:rsidRPr="0097043D">
        <w:rPr>
          <w:rFonts w:ascii="Times New Roman" w:hAnsi="Times New Roman"/>
          <w:color w:val="000000"/>
          <w:szCs w:val="24"/>
        </w:rPr>
        <w:t xml:space="preserve"> s priemernou výškou dôchodku </w:t>
      </w:r>
      <w:r>
        <w:rPr>
          <w:rFonts w:ascii="Times New Roman" w:hAnsi="Times New Roman"/>
          <w:color w:val="000000"/>
          <w:szCs w:val="24"/>
        </w:rPr>
        <w:t>399,23</w:t>
      </w:r>
      <w:r w:rsidRPr="0097043D">
        <w:rPr>
          <w:rFonts w:ascii="Times New Roman" w:hAnsi="Times New Roman"/>
          <w:color w:val="000000"/>
          <w:szCs w:val="24"/>
        </w:rPr>
        <w:t> Eur a invalidn</w:t>
      </w:r>
      <w:r>
        <w:rPr>
          <w:rFonts w:ascii="Times New Roman" w:hAnsi="Times New Roman"/>
          <w:color w:val="000000"/>
          <w:szCs w:val="24"/>
        </w:rPr>
        <w:t>ých dôchodkov bude priznaných 18 800</w:t>
      </w:r>
      <w:r w:rsidRPr="0097043D">
        <w:rPr>
          <w:rFonts w:ascii="Times New Roman" w:hAnsi="Times New Roman"/>
          <w:color w:val="000000"/>
          <w:szCs w:val="24"/>
        </w:rPr>
        <w:t xml:space="preserve"> s priemernou výškou dôchodku </w:t>
      </w:r>
      <w:r>
        <w:rPr>
          <w:rFonts w:ascii="Times New Roman" w:hAnsi="Times New Roman"/>
          <w:color w:val="000000"/>
          <w:szCs w:val="24"/>
        </w:rPr>
        <w:t>252,00</w:t>
      </w:r>
      <w:r w:rsidRPr="0097043D">
        <w:rPr>
          <w:rFonts w:ascii="Times New Roman" w:hAnsi="Times New Roman"/>
          <w:color w:val="000000"/>
          <w:szCs w:val="24"/>
        </w:rPr>
        <w:t> Eur. Aktuálna dôchodková hodnota sa predpokladá takáto</w:t>
      </w:r>
      <w:r w:rsidRPr="0097043D">
        <w:rPr>
          <w:rFonts w:ascii="Times New Roman" w:hAnsi="Times New Roman"/>
          <w:szCs w:val="24"/>
        </w:rPr>
        <w:t>:</w:t>
      </w:r>
    </w:p>
    <w:p w:rsidR="00A047BC" w:rsidRPr="00E717DF" w:rsidP="00A047BC">
      <w:pPr>
        <w:pStyle w:val="BodyTextIndent2"/>
        <w:bidi w:val="0"/>
        <w:spacing w:before="240" w:after="0" w:line="240" w:lineRule="auto"/>
        <w:ind w:left="0" w:firstLine="6237"/>
        <w:jc w:val="both"/>
        <w:rPr>
          <w:rFonts w:ascii="Times New Roman" w:hAnsi="Times New Roman"/>
          <w:szCs w:val="24"/>
        </w:rPr>
      </w:pPr>
      <w:r w:rsidRPr="00E717DF">
        <w:rPr>
          <w:rFonts w:ascii="Times New Roman" w:hAnsi="Times New Roman"/>
          <w:sz w:val="20"/>
        </w:rPr>
        <w:t>v Eur</w:t>
      </w:r>
    </w:p>
    <w:tbl>
      <w:tblPr>
        <w:tblStyle w:val="TableNormal"/>
        <w:tblW w:w="6083" w:type="dxa"/>
        <w:tblInd w:w="728" w:type="dxa"/>
        <w:tblCellMar>
          <w:left w:w="70" w:type="dxa"/>
          <w:right w:w="70" w:type="dxa"/>
        </w:tblCellMar>
      </w:tblPr>
      <w:tblGrid>
        <w:gridCol w:w="2824"/>
        <w:gridCol w:w="1069"/>
        <w:gridCol w:w="1095"/>
        <w:gridCol w:w="1095"/>
      </w:tblGrid>
      <w:tr>
        <w:tblPrEx>
          <w:tblW w:w="6083" w:type="dxa"/>
          <w:tblInd w:w="728" w:type="dxa"/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Text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E717DF">
              <w:rPr>
                <w:rFonts w:ascii="Times New Roman" w:hAnsi="Times New Roman"/>
                <w:bCs/>
                <w:sz w:val="20"/>
              </w:rPr>
              <w:t>Rok 201</w:t>
            </w: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E717DF">
              <w:rPr>
                <w:rFonts w:ascii="Times New Roman" w:hAnsi="Times New Roman"/>
                <w:bCs/>
                <w:sz w:val="20"/>
              </w:rPr>
              <w:t>Rok 201</w:t>
            </w: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right"/>
              <w:rPr>
                <w:rFonts w:ascii="Times New Roman" w:hAnsi="Times New Roman"/>
                <w:bCs/>
                <w:sz w:val="20"/>
              </w:rPr>
            </w:pPr>
            <w:r w:rsidRPr="00E717DF">
              <w:rPr>
                <w:rFonts w:ascii="Times New Roman" w:hAnsi="Times New Roman"/>
                <w:bCs/>
                <w:sz w:val="20"/>
              </w:rPr>
              <w:t>Rok 201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</w:tr>
      <w:tr>
        <w:tblPrEx>
          <w:tblW w:w="6083" w:type="dxa"/>
          <w:tblInd w:w="728" w:type="dxa"/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E717DF">
              <w:rPr>
                <w:rFonts w:ascii="Times New Roman" w:hAnsi="Times New Roman"/>
                <w:bCs/>
                <w:sz w:val="20"/>
              </w:rPr>
              <w:t>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blPrEx>
          <w:tblW w:w="6083" w:type="dxa"/>
          <w:tblInd w:w="728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E717DF" w:rsidP="00DF29BF">
            <w:pPr>
              <w:bidi w:val="0"/>
              <w:rPr>
                <w:rFonts w:ascii="Times New Roman" w:hAnsi="Times New Roman"/>
                <w:bCs/>
                <w:sz w:val="20"/>
              </w:rPr>
            </w:pPr>
            <w:r w:rsidRPr="00E717DF">
              <w:rPr>
                <w:rFonts w:ascii="Times New Roman" w:hAnsi="Times New Roman"/>
                <w:bCs/>
                <w:sz w:val="20"/>
              </w:rPr>
              <w:t>Aktuálna dôchodková hodnota</w:t>
            </w:r>
            <w:r w:rsidRPr="00E717D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10,</w:t>
            </w:r>
            <w:r>
              <w:rPr>
                <w:rFonts w:ascii="Times New Roman" w:hAnsi="Times New Roman"/>
                <w:sz w:val="20"/>
              </w:rPr>
              <w:t>2739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717DF">
              <w:rPr>
                <w:rFonts w:ascii="Times New Roman" w:hAnsi="Times New Roman"/>
                <w:sz w:val="20"/>
              </w:rPr>
              <w:t>10,</w:t>
            </w:r>
            <w:r>
              <w:rPr>
                <w:rFonts w:ascii="Times New Roman" w:hAnsi="Times New Roman"/>
                <w:sz w:val="20"/>
              </w:rPr>
              <w:t>5710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E717DF" w:rsidP="00DF29BF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10,9363</w:t>
            </w:r>
          </w:p>
        </w:tc>
      </w:tr>
    </w:tbl>
    <w:p w:rsidR="00A047BC" w:rsidRPr="0097043D" w:rsidP="00A047BC">
      <w:pPr>
        <w:pStyle w:val="BodyTextIndent2"/>
        <w:bidi w:val="0"/>
        <w:spacing w:before="240" w:line="240" w:lineRule="auto"/>
        <w:ind w:left="284" w:firstLine="425"/>
        <w:rPr>
          <w:rFonts w:ascii="Times New Roman" w:hAnsi="Times New Roman"/>
          <w:color w:val="000000"/>
          <w:szCs w:val="24"/>
        </w:rPr>
      </w:pPr>
      <w:r w:rsidRPr="0097043D">
        <w:rPr>
          <w:rFonts w:ascii="Times New Roman" w:hAnsi="Times New Roman"/>
          <w:szCs w:val="24"/>
        </w:rPr>
        <w:t>Výška výdavkov na dôchodkové</w:t>
      </w:r>
      <w:r>
        <w:rPr>
          <w:rFonts w:ascii="Times New Roman" w:hAnsi="Times New Roman"/>
          <w:szCs w:val="24"/>
        </w:rPr>
        <w:t xml:space="preserve"> dávky je vykvantifikovaná</w:t>
      </w:r>
      <w:r w:rsidRPr="0097043D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color w:val="000000"/>
          <w:szCs w:val="24"/>
        </w:rPr>
        <w:t>základe</w:t>
      </w:r>
    </w:p>
    <w:p w:rsidR="00A047BC" w:rsidRPr="0097043D" w:rsidP="00A047BC">
      <w:pPr>
        <w:pStyle w:val="BodyTextIndent2"/>
        <w:numPr>
          <w:numId w:val="26"/>
        </w:numPr>
        <w:tabs>
          <w:tab w:val="clear" w:pos="360"/>
          <w:tab w:val="left" w:pos="709"/>
          <w:tab w:val="decimal" w:pos="8222"/>
        </w:tabs>
        <w:bidi w:val="0"/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očakávaných výdavkov v roku 2013 vo výške 5</w:t>
      </w:r>
      <w:r w:rsidRPr="0097043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895 427</w:t>
      </w:r>
      <w:r w:rsidRPr="0097043D">
        <w:rPr>
          <w:rFonts w:ascii="Times New Roman" w:hAnsi="Times New Roman"/>
          <w:szCs w:val="24"/>
        </w:rPr>
        <w:t> tis. Eur,</w:t>
      </w:r>
    </w:p>
    <w:p w:rsidR="00A047BC" w:rsidRPr="0097043D" w:rsidP="00A047BC">
      <w:pPr>
        <w:pStyle w:val="BodyTextIndent2"/>
        <w:numPr>
          <w:numId w:val="26"/>
        </w:numPr>
        <w:tabs>
          <w:tab w:val="clear" w:pos="360"/>
          <w:tab w:val="left" w:pos="709"/>
          <w:tab w:val="decimal" w:pos="8222"/>
        </w:tabs>
        <w:bidi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97043D">
        <w:rPr>
          <w:rFonts w:ascii="Times New Roman" w:hAnsi="Times New Roman"/>
          <w:szCs w:val="24"/>
        </w:rPr>
        <w:t>val</w:t>
      </w:r>
      <w:r>
        <w:rPr>
          <w:rFonts w:ascii="Times New Roman" w:hAnsi="Times New Roman"/>
          <w:szCs w:val="24"/>
        </w:rPr>
        <w:t>orizácie dôchodkov od 1. 1. 2014</w:t>
      </w:r>
      <w:r w:rsidRPr="009704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pevnou sumou </w:t>
      </w:r>
      <w:r w:rsidRPr="0097043D">
        <w:rPr>
          <w:rFonts w:ascii="Times New Roman" w:hAnsi="Times New Roman"/>
          <w:szCs w:val="24"/>
        </w:rPr>
        <w:t xml:space="preserve">vo výške </w:t>
      </w:r>
      <w:r>
        <w:rPr>
          <w:rFonts w:ascii="Times New Roman" w:hAnsi="Times New Roman"/>
          <w:szCs w:val="24"/>
        </w:rPr>
        <w:t>138 525</w:t>
      </w:r>
      <w:r w:rsidRPr="0097043D">
        <w:rPr>
          <w:rFonts w:ascii="Times New Roman" w:hAnsi="Times New Roman"/>
          <w:szCs w:val="24"/>
        </w:rPr>
        <w:t> tis. Eur,</w:t>
      </w:r>
    </w:p>
    <w:p w:rsidR="00A047BC" w:rsidP="00A047BC">
      <w:pPr>
        <w:pStyle w:val="BodyTextIndent2"/>
        <w:numPr>
          <w:numId w:val="26"/>
        </w:numPr>
        <w:tabs>
          <w:tab w:val="clear" w:pos="360"/>
          <w:tab w:val="left" w:pos="709"/>
          <w:tab w:val="decimal" w:pos="8222"/>
        </w:tabs>
        <w:bidi w:val="0"/>
        <w:spacing w:after="0" w:line="240" w:lineRule="auto"/>
        <w:ind w:left="709" w:hanging="709"/>
        <w:jc w:val="both"/>
        <w:rPr>
          <w:rFonts w:ascii="Times New Roman" w:hAnsi="Times New Roman"/>
          <w:szCs w:val="24"/>
        </w:rPr>
      </w:pPr>
      <w:r w:rsidRPr="0097043D">
        <w:rPr>
          <w:rFonts w:ascii="Times New Roman" w:hAnsi="Times New Roman"/>
          <w:szCs w:val="24"/>
        </w:rPr>
        <w:t xml:space="preserve">bežného medziročného nárastu, </w:t>
      </w:r>
      <w:r w:rsidRPr="00006A97">
        <w:rPr>
          <w:rFonts w:ascii="Times New Roman" w:hAnsi="Times New Roman"/>
          <w:szCs w:val="24"/>
        </w:rPr>
        <w:t xml:space="preserve">ktorý </w:t>
      </w:r>
      <w:r>
        <w:rPr>
          <w:rFonts w:ascii="Times New Roman" w:hAnsi="Times New Roman"/>
          <w:szCs w:val="24"/>
        </w:rPr>
        <w:t xml:space="preserve">vyplýva </w:t>
      </w:r>
      <w:r w:rsidR="00C0463B">
        <w:rPr>
          <w:rFonts w:ascii="Times New Roman" w:hAnsi="Times New Roman"/>
          <w:szCs w:val="24"/>
        </w:rPr>
        <w:t>z</w:t>
      </w:r>
      <w:r w:rsidRPr="00006A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rozdiel</w:t>
      </w:r>
      <w:r w:rsidR="00C0463B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medzi</w:t>
      </w:r>
      <w:r w:rsidRPr="00006A97">
        <w:rPr>
          <w:rFonts w:ascii="Times New Roman" w:hAnsi="Times New Roman"/>
          <w:szCs w:val="24"/>
        </w:rPr>
        <w:t xml:space="preserve"> novoprizn</w:t>
      </w:r>
      <w:r>
        <w:rPr>
          <w:rFonts w:ascii="Times New Roman" w:hAnsi="Times New Roman"/>
          <w:szCs w:val="24"/>
        </w:rPr>
        <w:t>a</w:t>
      </w:r>
      <w:r w:rsidRPr="00006A97">
        <w:rPr>
          <w:rFonts w:ascii="Times New Roman" w:hAnsi="Times New Roman"/>
          <w:szCs w:val="24"/>
        </w:rPr>
        <w:t>nými a zaniknutými dôchodkami</w:t>
      </w:r>
      <w:r>
        <w:rPr>
          <w:rFonts w:ascii="Times New Roman" w:hAnsi="Times New Roman"/>
          <w:szCs w:val="24"/>
        </w:rPr>
        <w:t xml:space="preserve"> v sume 69 291 tis. Eur.</w:t>
      </w:r>
    </w:p>
    <w:p w:rsidR="00A047BC" w:rsidRPr="00D54EA4" w:rsidP="00A047BC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D54EA4">
        <w:rPr>
          <w:rFonts w:ascii="Times New Roman" w:hAnsi="Times New Roman"/>
          <w:color w:val="000000"/>
          <w:szCs w:val="24"/>
        </w:rPr>
        <w:t xml:space="preserve">Výdavky na valorizáciu dôchodkových dávok </w:t>
      </w:r>
      <w:r>
        <w:rPr>
          <w:rFonts w:ascii="Times New Roman" w:hAnsi="Times New Roman"/>
          <w:color w:val="000000"/>
          <w:szCs w:val="24"/>
        </w:rPr>
        <w:t xml:space="preserve">sa </w:t>
      </w:r>
      <w:r w:rsidRPr="00D54EA4">
        <w:rPr>
          <w:rFonts w:ascii="Times New Roman" w:hAnsi="Times New Roman"/>
          <w:color w:val="000000"/>
          <w:szCs w:val="24"/>
        </w:rPr>
        <w:t>v</w:t>
      </w:r>
      <w:r>
        <w:rPr>
          <w:rFonts w:ascii="Times New Roman" w:hAnsi="Times New Roman"/>
          <w:color w:val="000000"/>
          <w:szCs w:val="24"/>
        </w:rPr>
        <w:t> rokoch 2014 až 2016 zvyšujú o pevnú sumu a rozpočtujú sa takto:</w:t>
      </w:r>
    </w:p>
    <w:p w:rsidR="00A047BC" w:rsidRPr="0097043D" w:rsidP="00A047BC">
      <w:pPr>
        <w:pStyle w:val="BodyTextIndent2"/>
        <w:tabs>
          <w:tab w:val="left" w:pos="709"/>
          <w:tab w:val="right" w:pos="6804"/>
          <w:tab w:val="left" w:pos="7088"/>
        </w:tabs>
        <w:bidi w:val="0"/>
        <w:spacing w:after="0" w:line="240" w:lineRule="auto"/>
        <w:ind w:left="0" w:firstLine="6946"/>
        <w:rPr>
          <w:rFonts w:ascii="Times New Roman" w:hAnsi="Times New Roman"/>
          <w:color w:val="000000"/>
          <w:sz w:val="18"/>
          <w:szCs w:val="18"/>
        </w:rPr>
      </w:pPr>
      <w:r w:rsidRPr="0097043D">
        <w:rPr>
          <w:rFonts w:ascii="Times New Roman" w:hAnsi="Times New Roman"/>
          <w:color w:val="000000"/>
          <w:sz w:val="18"/>
          <w:szCs w:val="18"/>
        </w:rPr>
        <w:t>v tis. Eur</w:t>
      </w:r>
    </w:p>
    <w:tbl>
      <w:tblPr>
        <w:tblStyle w:val="TableNormal"/>
        <w:tblW w:w="712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978"/>
        <w:gridCol w:w="1310"/>
        <w:gridCol w:w="1417"/>
        <w:gridCol w:w="1418"/>
      </w:tblGrid>
      <w:tr>
        <w:tblPrEx>
          <w:tblW w:w="7123" w:type="dxa"/>
          <w:tblInd w:w="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97043D">
              <w:rPr>
                <w:rFonts w:ascii="Times New Roman" w:hAnsi="Times New Roman"/>
                <w:sz w:val="20"/>
              </w:rPr>
              <w:t>Text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Rok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97043D">
              <w:rPr>
                <w:rFonts w:ascii="Times New Roman" w:hAnsi="Times New Roman"/>
                <w:sz w:val="20"/>
              </w:rPr>
              <w:t>Rok 20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97043D">
              <w:rPr>
                <w:rFonts w:ascii="Times New Roman" w:hAnsi="Times New Roman"/>
                <w:sz w:val="20"/>
              </w:rPr>
              <w:t>Rok 20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blPrEx>
          <w:tblW w:w="7123" w:type="dxa"/>
          <w:tblInd w:w="779" w:type="dxa"/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97043D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blPrEx>
          <w:tblW w:w="7123" w:type="dxa"/>
          <w:tblInd w:w="779" w:type="dxa"/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RPr="0097043D" w:rsidP="00DF29BF">
            <w:pPr>
              <w:bidi w:val="0"/>
              <w:rPr>
                <w:rFonts w:ascii="Times New Roman" w:hAnsi="Times New Roman"/>
                <w:sz w:val="20"/>
              </w:rPr>
            </w:pPr>
            <w:r w:rsidRPr="0097043D">
              <w:rPr>
                <w:rFonts w:ascii="Times New Roman" w:hAnsi="Times New Roman"/>
                <w:sz w:val="20"/>
              </w:rPr>
              <w:t xml:space="preserve">Výdavky na zvýšenie dôchodkov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047BC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97043D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47BC" w:rsidRPr="00D12E36" w:rsidP="00DF29BF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149 839</w:t>
            </w:r>
          </w:p>
        </w:tc>
      </w:tr>
    </w:tbl>
    <w:p w:rsidR="00193B35" w:rsidRPr="00193B35" w:rsidP="00565A4E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193B35">
        <w:rPr>
          <w:rFonts w:ascii="Times New Roman" w:hAnsi="Times New Roman"/>
          <w:b/>
          <w:szCs w:val="24"/>
        </w:rPr>
        <w:t>Výdavky ZFÚP</w:t>
      </w:r>
      <w:r w:rsidRPr="00193B35">
        <w:rPr>
          <w:rFonts w:ascii="Times New Roman" w:hAnsi="Times New Roman"/>
          <w:szCs w:val="24"/>
        </w:rPr>
        <w:t xml:space="preserve"> v </w:t>
      </w:r>
      <w:r w:rsidRPr="00193B35">
        <w:rPr>
          <w:rFonts w:ascii="Times New Roman" w:hAnsi="Times New Roman"/>
          <w:b/>
          <w:szCs w:val="24"/>
        </w:rPr>
        <w:t>roku 201</w:t>
      </w:r>
      <w:r w:rsidR="00725DAE">
        <w:rPr>
          <w:rFonts w:ascii="Times New Roman" w:hAnsi="Times New Roman"/>
          <w:b/>
          <w:szCs w:val="24"/>
        </w:rPr>
        <w:t>4</w:t>
      </w:r>
      <w:r w:rsidRPr="00193B35">
        <w:rPr>
          <w:rFonts w:ascii="Times New Roman" w:hAnsi="Times New Roman"/>
          <w:b/>
          <w:szCs w:val="24"/>
        </w:rPr>
        <w:t xml:space="preserve"> </w:t>
      </w:r>
      <w:r w:rsidRPr="00193B35">
        <w:rPr>
          <w:rFonts w:ascii="Times New Roman" w:hAnsi="Times New Roman"/>
          <w:szCs w:val="24"/>
        </w:rPr>
        <w:t xml:space="preserve">sa predpokladajú vo výške </w:t>
      </w:r>
      <w:r w:rsidRPr="00193B35">
        <w:rPr>
          <w:rFonts w:ascii="Times New Roman" w:hAnsi="Times New Roman"/>
          <w:b/>
          <w:szCs w:val="24"/>
        </w:rPr>
        <w:t>4</w:t>
      </w:r>
      <w:r w:rsidR="0075502D">
        <w:rPr>
          <w:rFonts w:ascii="Times New Roman" w:hAnsi="Times New Roman"/>
          <w:b/>
          <w:szCs w:val="24"/>
        </w:rPr>
        <w:t>5</w:t>
      </w:r>
      <w:r w:rsidRPr="00193B35">
        <w:rPr>
          <w:rFonts w:ascii="Times New Roman" w:hAnsi="Times New Roman"/>
          <w:b/>
          <w:szCs w:val="24"/>
        </w:rPr>
        <w:t> </w:t>
      </w:r>
      <w:r w:rsidR="0075502D">
        <w:rPr>
          <w:rFonts w:ascii="Times New Roman" w:hAnsi="Times New Roman"/>
          <w:b/>
          <w:szCs w:val="24"/>
        </w:rPr>
        <w:t>828</w:t>
      </w:r>
      <w:r w:rsidRPr="00193B35">
        <w:rPr>
          <w:rFonts w:ascii="Times New Roman" w:hAnsi="Times New Roman"/>
          <w:b/>
          <w:szCs w:val="24"/>
        </w:rPr>
        <w:t> tis. Eur</w:t>
      </w:r>
      <w:r w:rsidRPr="00193B35">
        <w:rPr>
          <w:rFonts w:ascii="Times New Roman" w:hAnsi="Times New Roman"/>
          <w:szCs w:val="24"/>
        </w:rPr>
        <w:t xml:space="preserve"> (v tom výdavky na úrazové dávky 4</w:t>
      </w:r>
      <w:r w:rsidR="0075502D">
        <w:rPr>
          <w:rFonts w:ascii="Times New Roman" w:hAnsi="Times New Roman"/>
          <w:szCs w:val="24"/>
        </w:rPr>
        <w:t>3</w:t>
      </w:r>
      <w:r w:rsidRPr="00193B35">
        <w:rPr>
          <w:rFonts w:ascii="Times New Roman" w:hAnsi="Times New Roman"/>
          <w:szCs w:val="24"/>
        </w:rPr>
        <w:t> </w:t>
      </w:r>
      <w:r w:rsidR="0075502D">
        <w:rPr>
          <w:rFonts w:ascii="Times New Roman" w:hAnsi="Times New Roman"/>
          <w:szCs w:val="24"/>
        </w:rPr>
        <w:t>557</w:t>
      </w:r>
      <w:r w:rsidRPr="00193B35">
        <w:rPr>
          <w:rFonts w:ascii="Times New Roman" w:hAnsi="Times New Roman"/>
          <w:szCs w:val="24"/>
        </w:rPr>
        <w:t xml:space="preserve"> tis. Eur a úhrada </w:t>
      </w:r>
      <w:r w:rsidRPr="00193B35">
        <w:rPr>
          <w:rFonts w:ascii="Times New Roman" w:hAnsi="Times New Roman"/>
        </w:rPr>
        <w:t>poistného na starobné poistenie a príspevkov na SDS za poberateľov úrazovej renty 2 2</w:t>
      </w:r>
      <w:r w:rsidR="00725DAE">
        <w:rPr>
          <w:rFonts w:ascii="Times New Roman" w:hAnsi="Times New Roman"/>
        </w:rPr>
        <w:t>71</w:t>
      </w:r>
      <w:r w:rsidRPr="00193B35">
        <w:rPr>
          <w:rFonts w:ascii="Times New Roman" w:hAnsi="Times New Roman"/>
        </w:rPr>
        <w:t> tis. Eur)</w:t>
      </w:r>
      <w:r w:rsidRPr="00193B35">
        <w:rPr>
          <w:rFonts w:ascii="Times New Roman" w:hAnsi="Times New Roman"/>
          <w:szCs w:val="24"/>
        </w:rPr>
        <w:t xml:space="preserve">. </w:t>
      </w:r>
    </w:p>
    <w:p w:rsidR="00193B35" w:rsidRPr="000619E5" w:rsidP="00193B35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0619E5">
        <w:rPr>
          <w:rFonts w:ascii="Times New Roman" w:hAnsi="Times New Roman"/>
          <w:color w:val="000000"/>
          <w:szCs w:val="24"/>
        </w:rPr>
        <w:t xml:space="preserve">Výdavky na valorizáciu </w:t>
      </w:r>
      <w:r w:rsidRPr="000619E5">
        <w:rPr>
          <w:rFonts w:ascii="Times New Roman" w:hAnsi="Times New Roman"/>
          <w:szCs w:val="24"/>
        </w:rPr>
        <w:t>úrazových dávok</w:t>
      </w:r>
      <w:r w:rsidRPr="000619E5">
        <w:rPr>
          <w:rFonts w:ascii="Times New Roman" w:hAnsi="Times New Roman"/>
          <w:color w:val="000000"/>
          <w:szCs w:val="24"/>
        </w:rPr>
        <w:t xml:space="preserve"> v rokoch 2014 až 2016 sa v jednotlivých rokoch rozpočtujú:</w:t>
      </w:r>
    </w:p>
    <w:tbl>
      <w:tblPr>
        <w:tblStyle w:val="TableNormal"/>
        <w:tblW w:w="8647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4678"/>
        <w:gridCol w:w="1323"/>
        <w:gridCol w:w="1323"/>
        <w:gridCol w:w="1323"/>
      </w:tblGrid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93B35" w:rsidRPr="000619E5" w:rsidP="001154D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93B35" w:rsidRPr="000619E5" w:rsidP="001154D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93B35" w:rsidRPr="000619E5" w:rsidP="001154D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93B35" w:rsidRPr="000619E5" w:rsidP="001154D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1154D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Zvýšenie od 1.1. o (v %)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5502D" w:rsidRPr="000619E5" w:rsidP="001154D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Výdavky na zvýšenie úrazových dávok podľa zákona o sociálnom poistení (v tis. Eur)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5502D" w:rsidRPr="000619E5" w:rsidP="00DF29B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</w:tr>
    </w:tbl>
    <w:p w:rsidR="00193B35" w:rsidRPr="00193B35" w:rsidP="00193B35">
      <w:pPr>
        <w:tabs>
          <w:tab w:val="left" w:pos="709"/>
          <w:tab w:val="decimal" w:pos="8222"/>
        </w:tabs>
        <w:bidi w:val="0"/>
        <w:jc w:val="both"/>
        <w:rPr>
          <w:rFonts w:ascii="Times New Roman" w:hAnsi="Times New Roman"/>
        </w:rPr>
      </w:pPr>
    </w:p>
    <w:p w:rsidR="00193B35" w:rsidRPr="00193B35" w:rsidP="00565A4E">
      <w:pPr>
        <w:tabs>
          <w:tab w:val="decimal" w:pos="-3240"/>
          <w:tab w:val="decimal" w:pos="8280"/>
        </w:tabs>
        <w:bidi w:val="0"/>
        <w:spacing w:after="120"/>
        <w:ind w:firstLine="720"/>
        <w:jc w:val="both"/>
        <w:rPr>
          <w:rFonts w:ascii="Times New Roman" w:hAnsi="Times New Roman"/>
          <w:szCs w:val="24"/>
        </w:rPr>
      </w:pPr>
      <w:r w:rsidRPr="00193B35">
        <w:rPr>
          <w:rFonts w:ascii="Times New Roman" w:hAnsi="Times New Roman"/>
          <w:b/>
        </w:rPr>
        <w:t>Na rok 201</w:t>
      </w:r>
      <w:r w:rsidR="00725DAE">
        <w:rPr>
          <w:rFonts w:ascii="Times New Roman" w:hAnsi="Times New Roman"/>
          <w:b/>
        </w:rPr>
        <w:t>4</w:t>
      </w:r>
      <w:r w:rsidRPr="00193B35">
        <w:rPr>
          <w:rFonts w:ascii="Times New Roman" w:hAnsi="Times New Roman"/>
          <w:b/>
        </w:rPr>
        <w:t xml:space="preserve"> </w:t>
      </w:r>
      <w:r w:rsidRPr="00193B35">
        <w:rPr>
          <w:rFonts w:ascii="Times New Roman" w:hAnsi="Times New Roman"/>
        </w:rPr>
        <w:t>sa</w:t>
      </w:r>
      <w:r w:rsidRPr="00193B35">
        <w:rPr>
          <w:rFonts w:ascii="Times New Roman" w:hAnsi="Times New Roman"/>
          <w:b/>
        </w:rPr>
        <w:t xml:space="preserve"> </w:t>
      </w:r>
      <w:r w:rsidRPr="00193B35">
        <w:rPr>
          <w:rFonts w:ascii="Times New Roman" w:hAnsi="Times New Roman"/>
        </w:rPr>
        <w:t>predpokladajú</w:t>
      </w:r>
      <w:r w:rsidRPr="00193B35">
        <w:rPr>
          <w:rFonts w:ascii="Times New Roman" w:hAnsi="Times New Roman"/>
          <w:b/>
        </w:rPr>
        <w:t xml:space="preserve"> výdavky ZFGP</w:t>
      </w:r>
      <w:r w:rsidRPr="00193B35">
        <w:rPr>
          <w:rFonts w:ascii="Times New Roman" w:hAnsi="Times New Roman"/>
        </w:rPr>
        <w:t xml:space="preserve"> vo výške </w:t>
      </w:r>
      <w:r w:rsidR="001E1C5D">
        <w:rPr>
          <w:rFonts w:ascii="Times New Roman" w:hAnsi="Times New Roman"/>
          <w:b/>
        </w:rPr>
        <w:t>19</w:t>
      </w:r>
      <w:r w:rsidRPr="00193B35">
        <w:rPr>
          <w:rFonts w:ascii="Times New Roman" w:hAnsi="Times New Roman"/>
          <w:b/>
        </w:rPr>
        <w:t> </w:t>
      </w:r>
      <w:r w:rsidR="001E1C5D">
        <w:rPr>
          <w:rFonts w:ascii="Times New Roman" w:hAnsi="Times New Roman"/>
          <w:b/>
        </w:rPr>
        <w:t>182</w:t>
      </w:r>
      <w:r w:rsidRPr="00193B35">
        <w:rPr>
          <w:rFonts w:ascii="Times New Roman" w:hAnsi="Times New Roman"/>
          <w:b/>
        </w:rPr>
        <w:t> tis. Eur,</w:t>
      </w:r>
      <w:r w:rsidRPr="00193B35">
        <w:rPr>
          <w:rFonts w:ascii="Times New Roman" w:hAnsi="Times New Roman"/>
        </w:rPr>
        <w:t xml:space="preserve"> v tom výdavky na dávku garančného poistenia </w:t>
      </w:r>
      <w:r w:rsidR="009902EE">
        <w:rPr>
          <w:rFonts w:ascii="Times New Roman" w:hAnsi="Times New Roman"/>
        </w:rPr>
        <w:t>6</w:t>
      </w:r>
      <w:r w:rsidRPr="00193B35">
        <w:rPr>
          <w:rFonts w:ascii="Times New Roman" w:hAnsi="Times New Roman"/>
        </w:rPr>
        <w:t> </w:t>
      </w:r>
      <w:r w:rsidR="001E1C5D">
        <w:rPr>
          <w:rFonts w:ascii="Times New Roman" w:hAnsi="Times New Roman"/>
        </w:rPr>
        <w:t>687</w:t>
      </w:r>
      <w:r w:rsidRPr="00193B35">
        <w:rPr>
          <w:rFonts w:ascii="Times New Roman" w:hAnsi="Times New Roman"/>
        </w:rPr>
        <w:t xml:space="preserve"> tis. Eur a </w:t>
      </w:r>
      <w:r w:rsidRPr="00193B35">
        <w:rPr>
          <w:rFonts w:ascii="Times New Roman" w:hAnsi="Times New Roman"/>
          <w:szCs w:val="24"/>
        </w:rPr>
        <w:t xml:space="preserve">úhrada príspevkov na SDS nezaplatených zamestnávateľom do základného fondu príspevkov na starobné dôchodkové sporenie vo výške </w:t>
      </w:r>
      <w:r w:rsidR="009902EE">
        <w:rPr>
          <w:rFonts w:ascii="Times New Roman" w:hAnsi="Times New Roman"/>
          <w:szCs w:val="24"/>
        </w:rPr>
        <w:t>1</w:t>
      </w:r>
      <w:r w:rsidR="001E1C5D">
        <w:rPr>
          <w:rFonts w:ascii="Times New Roman" w:hAnsi="Times New Roman"/>
          <w:szCs w:val="24"/>
        </w:rPr>
        <w:t>2</w:t>
      </w:r>
      <w:r w:rsidRPr="00193B35">
        <w:rPr>
          <w:rFonts w:ascii="Times New Roman" w:hAnsi="Times New Roman"/>
          <w:szCs w:val="24"/>
        </w:rPr>
        <w:t> </w:t>
      </w:r>
      <w:r w:rsidR="001E1C5D">
        <w:rPr>
          <w:rFonts w:ascii="Times New Roman" w:hAnsi="Times New Roman"/>
          <w:szCs w:val="24"/>
        </w:rPr>
        <w:t>495</w:t>
      </w:r>
      <w:r w:rsidRPr="00193B35">
        <w:rPr>
          <w:rFonts w:ascii="Times New Roman" w:hAnsi="Times New Roman"/>
          <w:szCs w:val="24"/>
        </w:rPr>
        <w:t xml:space="preserve"> tis. Eur. </w:t>
      </w:r>
    </w:p>
    <w:p w:rsidR="00193B35" w:rsidRPr="00193B35" w:rsidP="00193B35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193B35">
        <w:rPr>
          <w:rFonts w:ascii="Times New Roman" w:hAnsi="Times New Roman"/>
          <w:b/>
          <w:szCs w:val="24"/>
        </w:rPr>
        <w:t>Výdavky ZFPvN</w:t>
      </w:r>
      <w:r w:rsidRPr="00193B35">
        <w:rPr>
          <w:rFonts w:ascii="Times New Roman" w:hAnsi="Times New Roman"/>
          <w:szCs w:val="24"/>
        </w:rPr>
        <w:t xml:space="preserve"> sa v </w:t>
      </w:r>
      <w:r w:rsidRPr="00193B35">
        <w:rPr>
          <w:rFonts w:ascii="Times New Roman" w:hAnsi="Times New Roman"/>
          <w:b/>
          <w:szCs w:val="24"/>
        </w:rPr>
        <w:t>roku</w:t>
      </w:r>
      <w:r w:rsidRPr="00193B35">
        <w:rPr>
          <w:rFonts w:ascii="Times New Roman" w:hAnsi="Times New Roman"/>
          <w:szCs w:val="24"/>
        </w:rPr>
        <w:t xml:space="preserve"> </w:t>
      </w:r>
      <w:r w:rsidRPr="00193B35">
        <w:rPr>
          <w:rFonts w:ascii="Times New Roman" w:hAnsi="Times New Roman"/>
          <w:b/>
          <w:szCs w:val="24"/>
        </w:rPr>
        <w:t>201</w:t>
      </w:r>
      <w:r w:rsidR="00725DAE">
        <w:rPr>
          <w:rFonts w:ascii="Times New Roman" w:hAnsi="Times New Roman"/>
          <w:b/>
          <w:szCs w:val="24"/>
        </w:rPr>
        <w:t>4</w:t>
      </w:r>
      <w:r w:rsidRPr="00193B35">
        <w:rPr>
          <w:rFonts w:ascii="Times New Roman" w:hAnsi="Times New Roman"/>
          <w:b/>
          <w:szCs w:val="24"/>
        </w:rPr>
        <w:t xml:space="preserve"> </w:t>
      </w:r>
      <w:r w:rsidRPr="00193B35">
        <w:rPr>
          <w:rFonts w:ascii="Times New Roman" w:hAnsi="Times New Roman"/>
          <w:szCs w:val="24"/>
        </w:rPr>
        <w:t xml:space="preserve">predpokladajú vo výške </w:t>
      </w:r>
      <w:r w:rsidR="001E1C5D">
        <w:rPr>
          <w:rFonts w:ascii="Times New Roman" w:hAnsi="Times New Roman"/>
          <w:b/>
          <w:szCs w:val="24"/>
        </w:rPr>
        <w:t>183</w:t>
      </w:r>
      <w:r w:rsidRPr="00193B35">
        <w:rPr>
          <w:rFonts w:ascii="Times New Roman" w:hAnsi="Times New Roman"/>
          <w:b/>
          <w:szCs w:val="24"/>
        </w:rPr>
        <w:t> </w:t>
      </w:r>
      <w:r w:rsidR="001E1C5D">
        <w:rPr>
          <w:rFonts w:ascii="Times New Roman" w:hAnsi="Times New Roman"/>
          <w:b/>
          <w:szCs w:val="24"/>
        </w:rPr>
        <w:t>395</w:t>
      </w:r>
      <w:r w:rsidRPr="00193B35">
        <w:rPr>
          <w:rFonts w:ascii="Times New Roman" w:hAnsi="Times New Roman"/>
          <w:b/>
          <w:szCs w:val="24"/>
        </w:rPr>
        <w:t> tis. Eur</w:t>
      </w:r>
      <w:r w:rsidRPr="00193B35">
        <w:rPr>
          <w:rFonts w:ascii="Times New Roman" w:hAnsi="Times New Roman"/>
          <w:szCs w:val="24"/>
        </w:rPr>
        <w:t>, pri priemernom mesačnom počte poberateľov dávky 4</w:t>
      </w:r>
      <w:r w:rsidR="001E1C5D">
        <w:rPr>
          <w:rFonts w:ascii="Times New Roman" w:hAnsi="Times New Roman"/>
          <w:szCs w:val="24"/>
        </w:rPr>
        <w:t>1</w:t>
      </w:r>
      <w:r w:rsidRPr="00193B35">
        <w:rPr>
          <w:rFonts w:ascii="Times New Roman" w:hAnsi="Times New Roman"/>
          <w:szCs w:val="24"/>
        </w:rPr>
        <w:t> </w:t>
      </w:r>
      <w:r w:rsidR="001E1C5D">
        <w:rPr>
          <w:rFonts w:ascii="Times New Roman" w:hAnsi="Times New Roman"/>
          <w:szCs w:val="24"/>
        </w:rPr>
        <w:t>417</w:t>
      </w:r>
      <w:r w:rsidRPr="00193B35">
        <w:rPr>
          <w:rFonts w:ascii="Times New Roman" w:hAnsi="Times New Roman"/>
          <w:szCs w:val="24"/>
        </w:rPr>
        <w:t xml:space="preserve"> a priemernej mesačnej výške dávky v nezamestnanosti na poberateľa 3</w:t>
      </w:r>
      <w:r w:rsidR="009902EE">
        <w:rPr>
          <w:rFonts w:ascii="Times New Roman" w:hAnsi="Times New Roman"/>
          <w:szCs w:val="24"/>
        </w:rPr>
        <w:t>6</w:t>
      </w:r>
      <w:r w:rsidR="001E1C5D">
        <w:rPr>
          <w:rFonts w:ascii="Times New Roman" w:hAnsi="Times New Roman"/>
          <w:szCs w:val="24"/>
        </w:rPr>
        <w:t>9</w:t>
      </w:r>
      <w:r w:rsidRPr="00193B35">
        <w:rPr>
          <w:rFonts w:ascii="Times New Roman" w:hAnsi="Times New Roman"/>
          <w:szCs w:val="24"/>
        </w:rPr>
        <w:t xml:space="preserve"> Eur. </w:t>
      </w:r>
    </w:p>
    <w:p w:rsidR="004D5D79" w:rsidRPr="004D5D79" w:rsidP="004D5D79">
      <w:pPr>
        <w:bidi w:val="0"/>
        <w:spacing w:before="240"/>
        <w:ind w:firstLine="709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b/>
          <w:szCs w:val="24"/>
        </w:rPr>
        <w:t>Výdavky (náklady) správneho fondu</w:t>
        <w:br/>
      </w:r>
      <w:r w:rsidRPr="004D5D79">
        <w:rPr>
          <w:rFonts w:ascii="Times New Roman" w:hAnsi="Times New Roman"/>
          <w:szCs w:val="24"/>
        </w:rPr>
        <w:t>sa v jednotlivých rokoch predpokladajú:</w:t>
      </w:r>
    </w:p>
    <w:p w:rsidR="004D5D79" w:rsidRPr="004D5D79" w:rsidP="004D5D79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Cs w:val="24"/>
        </w:rPr>
        <w:t>rok 2014</w:t>
        <w:tab/>
        <w:t>106 000 tis. Eur,</w:t>
      </w:r>
    </w:p>
    <w:p w:rsidR="004D5D79" w:rsidRPr="004D5D79" w:rsidP="004D5D79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Cs w:val="24"/>
        </w:rPr>
        <w:t>rok 2015</w:t>
        <w:tab/>
        <w:t>106 000 tis. Eur,</w:t>
      </w:r>
    </w:p>
    <w:p w:rsidR="004D5D79" w:rsidRPr="004D5D79" w:rsidP="004D5D79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Cs w:val="24"/>
        </w:rPr>
        <w:t>rok 2016</w:t>
        <w:tab/>
        <w:t>106 000 tis. Eur.</w:t>
      </w:r>
    </w:p>
    <w:p w:rsidR="004D5D79" w:rsidRPr="004D5D79" w:rsidP="00565A4E">
      <w:pPr>
        <w:bidi w:val="0"/>
        <w:spacing w:before="12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Návrh rozpočtu v základnej štruktúre je spracovaný v nasledujúcej tabuľke:</w:t>
      </w:r>
    </w:p>
    <w:p w:rsidR="004D5D79" w:rsidRPr="004D5D79" w:rsidP="00565A4E">
      <w:pPr>
        <w:bidi w:val="0"/>
        <w:ind w:firstLine="720"/>
        <w:jc w:val="both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ab/>
      </w:r>
      <w:r w:rsidRPr="004D5D79">
        <w:rPr>
          <w:rFonts w:ascii="Times New Roman" w:hAnsi="Times New Roman"/>
          <w:szCs w:val="24"/>
        </w:rPr>
        <w:t>v tis. Eur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</w:tblPr>
      <w:tblGrid>
        <w:gridCol w:w="4678"/>
        <w:gridCol w:w="1559"/>
        <w:gridCol w:w="1418"/>
        <w:gridCol w:w="1417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 xml:space="preserve"> Bežné výdavky (náklady) </w:t>
            </w:r>
            <w:r w:rsidRPr="004D5D79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102 336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106 000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mzdy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53 323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54 678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54 678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poistné a príspevok do poisťovní.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20 564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20 763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20 763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tovary a služby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27 770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30 042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30 042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bežné transfery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679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517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 xml:space="preserve"> Kapitálové výdavky </w:t>
            </w:r>
            <w:r w:rsidRPr="004D5D79">
              <w:rPr>
                <w:rFonts w:ascii="Times New Roman" w:hAnsi="Times New Roman"/>
                <w:sz w:val="22"/>
                <w:szCs w:val="22"/>
              </w:rPr>
              <w:t>v tom: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3 664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všeobecné investície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výdavky na informačno-komunikačné technológie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2 539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Spolu výdavky (náklady) správneho fondu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106 000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106 000</w:t>
            </w:r>
          </w:p>
        </w:tc>
      </w:tr>
    </w:tbl>
    <w:p w:rsidR="004D5D79" w:rsidRPr="004D5D79" w:rsidP="004D5D79">
      <w:pPr>
        <w:tabs>
          <w:tab w:val="right" w:pos="8931"/>
        </w:tabs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V návrhu rozpočtu na rok 2014 sa na celkových výdavkoch (nákladoch) správneho fondu najväčšou mierou podieľajú prostriedky na mzdy v objeme 50,3 %.  S tým súvisiace plnenia (poistné a príspevok do poisťovní) predstavujú 19,4 %. Ostatné prevádzkové náklady tvoria 26,8 % podiel. Zostávajúcich 3,5 % je určených na  kapitálové výdavky.</w:t>
      </w:r>
    </w:p>
    <w:p w:rsidR="004D5D79" w:rsidRPr="004D5D79" w:rsidP="004D5D79">
      <w:pPr>
        <w:tabs>
          <w:tab w:val="left" w:pos="709"/>
          <w:tab w:val="right" w:pos="8931"/>
        </w:tabs>
        <w:bidi w:val="0"/>
        <w:spacing w:before="240" w:after="120"/>
        <w:ind w:firstLine="709"/>
        <w:jc w:val="both"/>
        <w:rPr>
          <w:rFonts w:ascii="Times New Roman" w:hAnsi="Times New Roman"/>
          <w:b/>
        </w:rPr>
      </w:pPr>
      <w:r w:rsidRPr="004D5D79">
        <w:rPr>
          <w:rFonts w:ascii="Times New Roman" w:hAnsi="Times New Roman"/>
          <w:b/>
        </w:rPr>
        <w:t>Bežné výdavky</w:t>
      </w:r>
    </w:p>
    <w:p w:rsidR="004D5D79" w:rsidRPr="004D5D79" w:rsidP="004D5D79">
      <w:pPr>
        <w:tabs>
          <w:tab w:val="right" w:pos="8931"/>
        </w:tabs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Cs w:val="24"/>
        </w:rPr>
        <w:tab/>
        <w:t>V oblasti ľudských zdrojov rozpočtované finančné prostriedky určujú nasledujúci vývoj:</w:t>
      </w:r>
    </w:p>
    <w:tbl>
      <w:tblPr>
        <w:tblStyle w:val="TableNormal"/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92"/>
        <w:gridCol w:w="1276"/>
        <w:gridCol w:w="1134"/>
        <w:gridCol w:w="1275"/>
        <w:gridCol w:w="1134"/>
      </w:tblGrid>
      <w:tr>
        <w:tblPrEx>
          <w:tblW w:w="864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Merná jednotka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Očakávaná skutočnosť k 31.12 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Rozpočtový výhľad</w:t>
            </w:r>
          </w:p>
        </w:tc>
      </w:tr>
      <w:tr>
        <w:tblPrEx>
          <w:tblW w:w="8646" w:type="dxa"/>
          <w:tblInd w:w="108" w:type="dxa"/>
          <w:tblLayout w:type="fixed"/>
          <w:tblLook w:val="01E0"/>
        </w:tblPrEx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646" w:type="dxa"/>
          <w:tblInd w:w="108" w:type="dxa"/>
          <w:tblLayout w:type="fixed"/>
          <w:tblLook w:val="01E0"/>
        </w:tblPrEx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W w:w="8646" w:type="dxa"/>
          <w:tblInd w:w="108" w:type="dxa"/>
          <w:tblLayout w:type="fixed"/>
          <w:tblLook w:val="01E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79" w:rsidRPr="004D5D79" w:rsidP="004D5D79">
            <w:pPr>
              <w:tabs>
                <w:tab w:val="right" w:pos="8931"/>
              </w:tabs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Priemerný evidenčný počet zamestnancov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tabs>
                <w:tab w:val="right" w:pos="8931"/>
              </w:tabs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tabs>
                <w:tab w:val="right" w:pos="8931"/>
              </w:tabs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4 997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tabs>
                <w:tab w:val="right" w:pos="8931"/>
              </w:tabs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5 022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tabs>
                <w:tab w:val="right" w:pos="8931"/>
              </w:tabs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tabs>
                <w:tab w:val="right" w:pos="8931"/>
              </w:tabs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5 022</w:t>
            </w:r>
          </w:p>
        </w:tc>
      </w:tr>
    </w:tbl>
    <w:p w:rsidR="004D5D79" w:rsidRPr="004D5D79" w:rsidP="004D5D79">
      <w:pPr>
        <w:tabs>
          <w:tab w:val="right" w:pos="8931"/>
        </w:tabs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Kvantifikácia návrhu rozpočtu kategórie tovarov a služieb na jednotlivé roky podľa rozpočtových položiek je uvedená v nasledujúcej tabuľke:</w:t>
      </w:r>
    </w:p>
    <w:p w:rsidR="004D5D79" w:rsidRPr="004D5D79" w:rsidP="004D5D79">
      <w:pPr>
        <w:tabs>
          <w:tab w:val="right" w:pos="8931"/>
        </w:tabs>
        <w:bidi w:val="0"/>
        <w:spacing w:before="120" w:after="12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 xml:space="preserve">                                                                                                                    v tis. Eur</w:t>
      </w:r>
    </w:p>
    <w:tbl>
      <w:tblPr>
        <w:tblStyle w:val="TableNormal"/>
        <w:tblW w:w="8941" w:type="dxa"/>
        <w:tblInd w:w="60" w:type="dxa"/>
        <w:tblCellMar>
          <w:left w:w="70" w:type="dxa"/>
          <w:right w:w="70" w:type="dxa"/>
        </w:tblCellMar>
      </w:tblPr>
      <w:tblGrid>
        <w:gridCol w:w="4690"/>
        <w:gridCol w:w="1416"/>
        <w:gridCol w:w="1417"/>
        <w:gridCol w:w="1418"/>
      </w:tblGrid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Tovary a služby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27 770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30 042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30 042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Cestovné náhrady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Energia, voda a komunikácie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9 137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9 949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10 013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Materiál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1 248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1 683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1 353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Dopravné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349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444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Rutinná a štandardná údržba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7 220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8 034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8 203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Nájomné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2 413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2 413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2 413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Služby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7 300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7 514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7 511</w:t>
            </w:r>
          </w:p>
        </w:tc>
      </w:tr>
    </w:tbl>
    <w:p w:rsidR="004D5D79" w:rsidRPr="004D5D79" w:rsidP="004D5D79">
      <w:pPr>
        <w:tabs>
          <w:tab w:val="right" w:pos="8931"/>
        </w:tabs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Návrh rozpočtu na tovary a služby v roku 2014 predstavuje 26,2 % z celkových predpokladaných výdavkov správneho fondu na tento rok.</w:t>
      </w:r>
    </w:p>
    <w:p w:rsidR="004D5D79" w:rsidRPr="004D5D79" w:rsidP="004D5D79">
      <w:pPr>
        <w:tabs>
          <w:tab w:val="right" w:pos="8931"/>
        </w:tabs>
        <w:bidi w:val="0"/>
        <w:spacing w:before="240" w:after="120"/>
        <w:ind w:firstLine="720"/>
        <w:jc w:val="both"/>
        <w:rPr>
          <w:rFonts w:ascii="Times New Roman" w:hAnsi="Times New Roman"/>
          <w:b/>
        </w:rPr>
      </w:pPr>
      <w:r w:rsidRPr="004D5D79">
        <w:rPr>
          <w:rFonts w:ascii="Times New Roman" w:hAnsi="Times New Roman"/>
          <w:b/>
        </w:rPr>
        <w:t>Kapitálové výdavky</w:t>
      </w:r>
    </w:p>
    <w:p w:rsidR="004D5D79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Návrh rozpočtu kapitálových výdavkov na rok 2014 s výhľadom do roku 2016 je v nasledujúcej tabuľke:</w:t>
      </w: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p w:rsidR="0024397F" w:rsidRPr="004D5D79" w:rsidP="004D5D79">
      <w:pPr>
        <w:tabs>
          <w:tab w:val="right" w:pos="8931"/>
        </w:tabs>
        <w:bidi w:val="0"/>
        <w:spacing w:before="240"/>
        <w:ind w:firstLine="720"/>
        <w:jc w:val="both"/>
        <w:rPr>
          <w:rFonts w:ascii="Times New Roman" w:hAnsi="Times New Roman"/>
        </w:rPr>
      </w:pPr>
    </w:p>
    <w:tbl>
      <w:tblPr>
        <w:tblStyle w:val="TableNormal"/>
        <w:tblW w:w="89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700"/>
        <w:gridCol w:w="1400"/>
        <w:gridCol w:w="1400"/>
        <w:gridCol w:w="1400"/>
      </w:tblGrid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v tis. Eur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Ukazovateľ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rok 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rok 2016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3 664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Obstarávanie kapitálových aktív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3 664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szCs w:val="22"/>
              </w:rPr>
            </w:pPr>
            <w:r w:rsidRPr="004D5D7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i/>
                <w:i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Nákup pozemkov a nehmotných aktív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Pozemkov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   -   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Softvéru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i/>
                <w:i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Nákup strojov, prístrojov, zariadení, techniky a náradia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2 320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Interiérového vybavenia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-   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Výpočtovej techniky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2 285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Telekomunikačnej techniky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-   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>Prevádzkových strojov, prístrojov, zariad. techniky a náradia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Špeciálnych strojov, prístrojov, zariadení, techniky, náradia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20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4D5D79">
              <w:rPr>
                <w:rFonts w:ascii="Times New Roman" w:hAnsi="Times New Roman"/>
                <w:sz w:val="22"/>
                <w:szCs w:val="22"/>
              </w:rPr>
              <w:t xml:space="preserve">    -   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Nákup dopravných prostriedkov všetkých druhov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250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-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-    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i/>
                <w:i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Prípravná a projektová dokumentácia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</w:tr>
      <w:tr>
        <w:tblPrEx>
          <w:tblW w:w="8900" w:type="dxa"/>
          <w:tblInd w:w="55" w:type="dxa"/>
          <w:tblCellMar>
            <w:left w:w="70" w:type="dxa"/>
            <w:right w:w="70" w:type="dxa"/>
          </w:tblCellMar>
          <w:tblLook w:val="00A0"/>
        </w:tblPrEx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rPr>
                <w:rFonts w:ascii="Times New Roman" w:hAnsi="Times New Roman"/>
                <w:bCs/>
                <w:i/>
                <w:iCs/>
                <w:color w:val="000000"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Realizácia stavieb a ich technické zhodnotenie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D79" w:rsidRPr="004D5D79" w:rsidP="004D5D7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4D5D7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4D5D79" w:rsidRPr="004D5D79" w:rsidP="004D5D79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 xml:space="preserve">Na zabezpečenie kapitálových výdavkov bola vyčlenená z výdavkov správneho fondu suma </w:t>
      </w:r>
      <w:r w:rsidRPr="004D5D79">
        <w:rPr>
          <w:rFonts w:ascii="Times New Roman" w:hAnsi="Times New Roman"/>
          <w:b/>
        </w:rPr>
        <w:t> 3 664 tis. Eur.</w:t>
      </w:r>
      <w:r w:rsidRPr="004D5D79">
        <w:rPr>
          <w:rFonts w:ascii="Times New Roman" w:hAnsi="Times New Roman"/>
        </w:rPr>
        <w:t xml:space="preserve"> </w:t>
      </w:r>
    </w:p>
    <w:p w:rsidR="004D5D79" w:rsidRPr="004D5D79" w:rsidP="004D5D79">
      <w:pPr>
        <w:bidi w:val="0"/>
        <w:spacing w:before="120" w:after="120"/>
        <w:ind w:firstLine="709"/>
        <w:jc w:val="both"/>
        <w:rPr>
          <w:rFonts w:ascii="Times New Roman" w:hAnsi="Times New Roman"/>
        </w:rPr>
      </w:pPr>
      <w:r w:rsidRPr="004D5D79">
        <w:rPr>
          <w:rFonts w:ascii="Times New Roman" w:hAnsi="Times New Roman"/>
        </w:rPr>
        <w:t>Výdavky na informačno–komunikačné technológie sú rozpočtované v objeme</w:t>
        <w:br/>
      </w:r>
      <w:r w:rsidRPr="004D5D79">
        <w:rPr>
          <w:rFonts w:ascii="Times New Roman" w:hAnsi="Times New Roman"/>
          <w:b/>
        </w:rPr>
        <w:t>2 539 tis. Eur</w:t>
      </w:r>
      <w:r w:rsidRPr="004D5D79">
        <w:rPr>
          <w:rFonts w:ascii="Times New Roman" w:hAnsi="Times New Roman"/>
        </w:rPr>
        <w:t xml:space="preserve">. </w:t>
      </w:r>
    </w:p>
    <w:p w:rsidR="004D5D79" w:rsidRPr="004D5D79" w:rsidP="004D5D79">
      <w:pPr>
        <w:bidi w:val="0"/>
        <w:spacing w:before="120" w:after="120"/>
        <w:ind w:firstLine="709"/>
        <w:jc w:val="both"/>
        <w:rPr>
          <w:rFonts w:ascii="Times New Roman" w:hAnsi="Times New Roman"/>
          <w:szCs w:val="24"/>
        </w:rPr>
      </w:pPr>
      <w:r w:rsidRPr="004D5D79">
        <w:rPr>
          <w:rFonts w:ascii="Times New Roman" w:hAnsi="Times New Roman"/>
          <w:szCs w:val="24"/>
        </w:rPr>
        <w:t xml:space="preserve">Finančné prostriedky na zabezpečenie tzv. </w:t>
      </w:r>
      <w:r w:rsidRPr="004D5D79">
        <w:rPr>
          <w:rFonts w:ascii="Times New Roman" w:hAnsi="Times New Roman"/>
          <w:b/>
          <w:szCs w:val="24"/>
        </w:rPr>
        <w:t>všeobecných investícií</w:t>
      </w:r>
      <w:r w:rsidRPr="004D5D79">
        <w:rPr>
          <w:rFonts w:ascii="Times New Roman" w:hAnsi="Times New Roman"/>
          <w:szCs w:val="24"/>
        </w:rPr>
        <w:t xml:space="preserve"> v roku 2014 sú rozpočtované v celkovej sume </w:t>
      </w:r>
      <w:r w:rsidRPr="004D5D79">
        <w:rPr>
          <w:rFonts w:ascii="Times New Roman" w:hAnsi="Times New Roman"/>
          <w:b/>
          <w:szCs w:val="24"/>
        </w:rPr>
        <w:t>1 125 tis. Eur</w:t>
      </w:r>
      <w:r w:rsidRPr="004D5D79">
        <w:rPr>
          <w:rFonts w:ascii="Times New Roman" w:hAnsi="Times New Roman"/>
          <w:szCs w:val="24"/>
        </w:rPr>
        <w:t>.</w:t>
      </w:r>
    </w:p>
    <w:p w:rsidR="000619E5" w:rsidRPr="000619E5" w:rsidP="004D5D79">
      <w:pPr>
        <w:tabs>
          <w:tab w:val="right" w:pos="8931"/>
        </w:tabs>
        <w:bidi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4D5D79" w:rsidR="004D5D79">
        <w:rPr>
          <w:rFonts w:ascii="Times New Roman" w:hAnsi="Times New Roman"/>
        </w:rPr>
        <w:t>Návrh rozpočtu správneho fondu na rok 2014 a rozpočtový výhľad na roky 2015 a 2016 je uvedený v prílohe č. 4.</w:t>
      </w:r>
      <w:r w:rsidRPr="004D5D79" w:rsidR="004D5D79">
        <w:rPr>
          <w:rFonts w:ascii="Times New Roman" w:hAnsi="Times New Roman"/>
          <w:szCs w:val="24"/>
        </w:rPr>
        <w:t xml:space="preserve"> </w:t>
      </w:r>
    </w:p>
    <w:p w:rsidR="0050080B" w:rsidRPr="000619E5" w:rsidP="00C726F6">
      <w:pPr>
        <w:pStyle w:val="BodyTextIndent2"/>
        <w:tabs>
          <w:tab w:val="left" w:pos="709"/>
        </w:tabs>
        <w:bidi w:val="0"/>
        <w:spacing w:before="12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0619E5" w:rsidR="000570F4">
        <w:rPr>
          <w:rFonts w:ascii="Times New Roman" w:hAnsi="Times New Roman"/>
          <w:b/>
          <w:szCs w:val="24"/>
        </w:rPr>
        <w:t>Záver</w:t>
      </w:r>
    </w:p>
    <w:p w:rsidR="00393060" w:rsidP="00C726F6">
      <w:pPr>
        <w:bidi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Zdroje a výdavky Sociálnej poisťovne v rokoch 201</w:t>
      </w:r>
      <w:r w:rsidRPr="000619E5" w:rsidR="00C334FF">
        <w:rPr>
          <w:rFonts w:ascii="Times New Roman" w:hAnsi="Times New Roman"/>
          <w:szCs w:val="24"/>
        </w:rPr>
        <w:t>4</w:t>
      </w:r>
      <w:r w:rsidRPr="000619E5">
        <w:rPr>
          <w:rFonts w:ascii="Times New Roman" w:hAnsi="Times New Roman"/>
          <w:szCs w:val="24"/>
        </w:rPr>
        <w:t xml:space="preserve"> až 2015:</w:t>
      </w:r>
    </w:p>
    <w:tbl>
      <w:tblPr>
        <w:tblStyle w:val="TableNormal"/>
        <w:tblW w:w="88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640"/>
        <w:gridCol w:w="1600"/>
        <w:gridCol w:w="1480"/>
      </w:tblGrid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CD34C8" w:rsidRPr="000619E5" w:rsidP="00CD34C8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v tis. Eur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Ukazovateľ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Návrh rozpočtu rok 2014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rok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rok 2016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D34C8" w:rsidRPr="000619E5" w:rsidP="00CD34C8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Zdroje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7 427 384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7 668 059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7 937 453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Príjmy v bežnom roku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6 927 884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7 136 498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7 399 621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z toho transfer zo ŠR SR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1 061 960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1 050 257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1 076 599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Výdavky celkom, v tom: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6 895 823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7 130 227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7 391 783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výdavky poistenia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6 770 641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7 004 245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7 264 963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správny fond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106 000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106 000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color w:val="000000"/>
                <w:sz w:val="22"/>
                <w:szCs w:val="22"/>
              </w:rPr>
              <w:t>106 000</w:t>
            </w:r>
          </w:p>
        </w:tc>
      </w:tr>
      <w:tr>
        <w:tblPrEx>
          <w:tblW w:w="8846" w:type="dxa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CD34C8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color w:val="000000"/>
                <w:sz w:val="22"/>
                <w:szCs w:val="22"/>
              </w:rPr>
              <w:t>výdavky z transakcií (úver poskytnutý z garančného fondu)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19 182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19 982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20 820</w:t>
            </w:r>
          </w:p>
        </w:tc>
      </w:tr>
    </w:tbl>
    <w:p w:rsidR="00E64FAE" w:rsidP="00AF5ADC">
      <w:pPr>
        <w:pStyle w:val="BodyTextIndent"/>
        <w:bidi w:val="0"/>
        <w:spacing w:before="360"/>
        <w:ind w:left="0" w:firstLine="720"/>
        <w:jc w:val="both"/>
        <w:rPr>
          <w:rFonts w:ascii="Times New Roman" w:hAnsi="Times New Roman"/>
          <w:szCs w:val="24"/>
        </w:rPr>
      </w:pPr>
      <w:r w:rsidRPr="000619E5" w:rsidR="00444879">
        <w:rPr>
          <w:rFonts w:ascii="Times New Roman" w:hAnsi="Times New Roman"/>
          <w:szCs w:val="24"/>
        </w:rPr>
        <w:t xml:space="preserve">Z hľadiska </w:t>
      </w:r>
      <w:r w:rsidRPr="000619E5" w:rsidR="00444879">
        <w:rPr>
          <w:rFonts w:ascii="Times New Roman" w:hAnsi="Times New Roman"/>
          <w:b/>
          <w:szCs w:val="24"/>
        </w:rPr>
        <w:t>celkového hospodárenia Sociálnej poisťovne</w:t>
      </w:r>
      <w:r w:rsidRPr="000619E5" w:rsidR="00393060">
        <w:rPr>
          <w:rFonts w:ascii="Times New Roman" w:hAnsi="Times New Roman"/>
          <w:szCs w:val="24"/>
        </w:rPr>
        <w:t xml:space="preserve"> je možné očakávať v </w:t>
      </w:r>
      <w:r w:rsidRPr="000619E5" w:rsidR="00444879">
        <w:rPr>
          <w:rFonts w:ascii="Times New Roman" w:hAnsi="Times New Roman"/>
          <w:szCs w:val="24"/>
        </w:rPr>
        <w:t>rokoch</w:t>
      </w:r>
      <w:r w:rsidRPr="000619E5" w:rsidR="00393060">
        <w:rPr>
          <w:rFonts w:ascii="Times New Roman" w:hAnsi="Times New Roman"/>
          <w:szCs w:val="24"/>
        </w:rPr>
        <w:t xml:space="preserve"> 2014 až 2016</w:t>
      </w:r>
      <w:r w:rsidRPr="000619E5" w:rsidR="00444879">
        <w:rPr>
          <w:rFonts w:ascii="Times New Roman" w:hAnsi="Times New Roman"/>
          <w:szCs w:val="24"/>
        </w:rPr>
        <w:t xml:space="preserve"> výsledky:</w:t>
      </w:r>
    </w:p>
    <w:p w:rsidR="0024397F" w:rsidP="00AF5ADC">
      <w:pPr>
        <w:pStyle w:val="BodyTextIndent"/>
        <w:bidi w:val="0"/>
        <w:spacing w:before="360"/>
        <w:ind w:left="0" w:firstLine="720"/>
        <w:jc w:val="both"/>
        <w:rPr>
          <w:rFonts w:ascii="Times New Roman" w:hAnsi="Times New Roman"/>
          <w:szCs w:val="24"/>
        </w:rPr>
      </w:pPr>
    </w:p>
    <w:p w:rsidR="0024397F" w:rsidRPr="000619E5" w:rsidP="00AF5ADC">
      <w:pPr>
        <w:pStyle w:val="BodyTextIndent"/>
        <w:bidi w:val="0"/>
        <w:spacing w:before="360"/>
        <w:ind w:left="0" w:firstLine="720"/>
        <w:jc w:val="both"/>
        <w:rPr>
          <w:rFonts w:ascii="Times New Roman" w:hAnsi="Times New Roman"/>
          <w:szCs w:val="24"/>
        </w:rPr>
      </w:pPr>
    </w:p>
    <w:tbl>
      <w:tblPr>
        <w:tblStyle w:val="TableNormal"/>
        <w:tblW w:w="88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1134"/>
        <w:gridCol w:w="1134"/>
        <w:gridCol w:w="1134"/>
        <w:gridCol w:w="1319"/>
        <w:gridCol w:w="1319"/>
      </w:tblGrid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24397F">
              <w:rPr>
                <w:rFonts w:ascii="Times New Roman" w:hAnsi="Times New Roman"/>
                <w:sz w:val="22"/>
                <w:szCs w:val="22"/>
              </w:rPr>
              <w:t>Zdroje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Výdavky (náklady)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Bilančný rozdiel v bežnom roku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93060" w:rsidRPr="00D00EE5" w:rsidP="0039306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Bilančný rozdiel celkom</w:t>
            </w:r>
          </w:p>
        </w:tc>
      </w:tr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00EE5" w:rsidP="00AF5ADC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Návrh rozpočtu 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7 427 384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6 927 884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6 895 823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32 061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531 561</w:t>
            </w:r>
          </w:p>
        </w:tc>
      </w:tr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Rozpočtový výhľad 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7 668 059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7 136 498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7 130 227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6 271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537 832</w:t>
            </w:r>
          </w:p>
        </w:tc>
      </w:tr>
      <w:tr>
        <w:tblPrEx>
          <w:tblW w:w="8890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D00EE5" w:rsidP="0039306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00EE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7 937 453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7 399 621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7 391 783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7 838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545 670</w:t>
            </w:r>
          </w:p>
        </w:tc>
      </w:tr>
    </w:tbl>
    <w:p w:rsidR="00DA177C" w:rsidRPr="000619E5" w:rsidP="00352DB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>
        <w:rPr>
          <w:rFonts w:ascii="Times New Roman" w:hAnsi="Times New Roman"/>
          <w:szCs w:val="24"/>
        </w:rPr>
        <w:t>Hospodárenie Sociálnej poisťovne bude v rokoch 201</w:t>
      </w:r>
      <w:r w:rsidRPr="000619E5" w:rsidR="00393060">
        <w:rPr>
          <w:rFonts w:ascii="Times New Roman" w:hAnsi="Times New Roman"/>
          <w:szCs w:val="24"/>
        </w:rPr>
        <w:t>4</w:t>
      </w:r>
      <w:r w:rsidRPr="000619E5">
        <w:rPr>
          <w:rFonts w:ascii="Times New Roman" w:hAnsi="Times New Roman"/>
          <w:szCs w:val="24"/>
        </w:rPr>
        <w:t xml:space="preserve"> až 2016 ovplyvňovať deficitné hospodárenie v dôchodkovom poistení. Deficit bude Sociálna poisťovňa vykrývať v zmysle § 167 ods. 1 zákona o sociálnom poistení z RFS. V súlade s platným právnym stavom sa v rokoch 2014 až 2016 neuvažuje s možnosťou krytia deficitu v dôchodkovom poistení </w:t>
      </w:r>
      <w:r w:rsidRPr="000619E5" w:rsidR="00482780">
        <w:rPr>
          <w:rFonts w:ascii="Times New Roman" w:hAnsi="Times New Roman"/>
          <w:szCs w:val="24"/>
        </w:rPr>
        <w:t>prostredníctvom poskytnutia finančnej výpomoci zo základných fondov, ktoré vykazujú prebytok finančných prostriedkov</w:t>
      </w:r>
      <w:r w:rsidRPr="000619E5">
        <w:rPr>
          <w:rFonts w:ascii="Times New Roman" w:hAnsi="Times New Roman"/>
          <w:szCs w:val="24"/>
        </w:rPr>
        <w:t>.</w:t>
      </w:r>
    </w:p>
    <w:p w:rsidR="00444879" w:rsidRPr="000619E5" w:rsidP="00444879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619E5" w:rsidR="00DF6538">
        <w:rPr>
          <w:rFonts w:ascii="Times New Roman" w:hAnsi="Times New Roman"/>
          <w:szCs w:val="24"/>
        </w:rPr>
        <w:t xml:space="preserve">Do </w:t>
      </w:r>
      <w:r w:rsidRPr="000619E5">
        <w:rPr>
          <w:rFonts w:ascii="Times New Roman" w:hAnsi="Times New Roman"/>
          <w:szCs w:val="24"/>
        </w:rPr>
        <w:t>príjmo</w:t>
      </w:r>
      <w:r w:rsidRPr="000619E5" w:rsidR="00DF6538">
        <w:rPr>
          <w:rFonts w:ascii="Times New Roman" w:hAnsi="Times New Roman"/>
          <w:szCs w:val="24"/>
        </w:rPr>
        <w:t>v</w:t>
      </w:r>
      <w:r w:rsidRPr="000619E5">
        <w:rPr>
          <w:rFonts w:ascii="Times New Roman" w:hAnsi="Times New Roman"/>
          <w:szCs w:val="24"/>
        </w:rPr>
        <w:t xml:space="preserve"> Sociálnej poisťovne </w:t>
      </w:r>
      <w:r w:rsidRPr="000619E5" w:rsidR="00DF6538">
        <w:rPr>
          <w:rFonts w:ascii="Times New Roman" w:hAnsi="Times New Roman"/>
          <w:szCs w:val="24"/>
        </w:rPr>
        <w:t xml:space="preserve">bol </w:t>
      </w:r>
      <w:r w:rsidRPr="000619E5">
        <w:rPr>
          <w:rFonts w:ascii="Times New Roman" w:hAnsi="Times New Roman"/>
          <w:szCs w:val="24"/>
        </w:rPr>
        <w:t xml:space="preserve">zapracovaný transfer zo </w:t>
      </w:r>
      <w:r w:rsidRPr="000619E5" w:rsidR="00DF6538">
        <w:rPr>
          <w:rFonts w:ascii="Times New Roman" w:hAnsi="Times New Roman"/>
          <w:szCs w:val="24"/>
        </w:rPr>
        <w:t>ŠR SR:</w:t>
      </w:r>
    </w:p>
    <w:tbl>
      <w:tblPr>
        <w:tblStyle w:val="TableNormal"/>
        <w:tblW w:w="71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1280"/>
        <w:gridCol w:w="1280"/>
        <w:gridCol w:w="1280"/>
      </w:tblGrid>
      <w:tr>
        <w:tblPrEx>
          <w:tblW w:w="711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393060" w:rsidRPr="000619E5" w:rsidP="000401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711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Obdobie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93060" w:rsidRPr="000619E5" w:rsidP="0004013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711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6CD2" w:rsidRPr="000619E5" w:rsidP="0004013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Transfer zo ŠR SR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1 061 960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1 050 257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6CD2" w:rsidRPr="006E6CD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E6CD2">
              <w:rPr>
                <w:rFonts w:ascii="Times New Roman" w:hAnsi="Times New Roman"/>
                <w:sz w:val="22"/>
                <w:szCs w:val="22"/>
              </w:rPr>
              <w:t>1 076 599</w:t>
            </w:r>
          </w:p>
        </w:tc>
      </w:tr>
    </w:tbl>
    <w:p w:rsidR="00DA177C" w:rsidRPr="000619E5" w:rsidP="00B25352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0619E5" w:rsidR="00B25352">
        <w:rPr>
          <w:rFonts w:ascii="Times New Roman" w:hAnsi="Times New Roman"/>
          <w:szCs w:val="24"/>
        </w:rPr>
        <w:t xml:space="preserve">Výška transferu zo ŠR SR zohľadňuje nevyhnutnú technickú rezervu finančných prostriedkov pre zachovanie platobnej schopnosti Sociálnej poisťovne v zmysle § 157 ods. 4 zákona o sociálnom poistení.  </w:t>
      </w:r>
    </w:p>
    <w:p w:rsidR="006E6C59" w:rsidRPr="000619E5" w:rsidP="00C03A57">
      <w:pPr>
        <w:bidi w:val="0"/>
        <w:spacing w:before="240" w:after="120"/>
        <w:jc w:val="center"/>
        <w:rPr>
          <w:rFonts w:ascii="Times New Roman" w:hAnsi="Times New Roman"/>
          <w:szCs w:val="24"/>
        </w:rPr>
      </w:pPr>
      <w:r w:rsidRPr="000619E5" w:rsidR="002B470E">
        <w:rPr>
          <w:rFonts w:ascii="Times New Roman" w:hAnsi="Times New Roman"/>
          <w:szCs w:val="24"/>
        </w:rPr>
        <w:t>x  x  x</w:t>
      </w:r>
    </w:p>
    <w:p w:rsidR="004E0DE6" w:rsidRPr="000619E5" w:rsidP="004E0DE6">
      <w:pPr>
        <w:bidi w:val="0"/>
        <w:spacing w:before="240"/>
        <w:ind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 xml:space="preserve">Predpokladá sa, že </w:t>
      </w:r>
      <w:r w:rsidRPr="000619E5">
        <w:rPr>
          <w:rFonts w:ascii="Times New Roman" w:hAnsi="Times New Roman"/>
          <w:b/>
        </w:rPr>
        <w:t>v roku 201</w:t>
      </w:r>
      <w:r w:rsidRPr="000619E5" w:rsidR="00AC636C">
        <w:rPr>
          <w:rFonts w:ascii="Times New Roman" w:hAnsi="Times New Roman"/>
          <w:b/>
        </w:rPr>
        <w:t>4</w:t>
      </w:r>
      <w:r w:rsidRPr="000619E5">
        <w:rPr>
          <w:rFonts w:ascii="Times New Roman" w:hAnsi="Times New Roman"/>
        </w:rPr>
        <w:t xml:space="preserve"> by mali byť príspevky na </w:t>
      </w:r>
      <w:r w:rsidRPr="000619E5" w:rsidR="00233120">
        <w:rPr>
          <w:rFonts w:ascii="Times New Roman" w:hAnsi="Times New Roman"/>
        </w:rPr>
        <w:t>SDS</w:t>
      </w:r>
      <w:r w:rsidRPr="000619E5">
        <w:rPr>
          <w:rFonts w:ascii="Times New Roman" w:hAnsi="Times New Roman"/>
        </w:rPr>
        <w:t xml:space="preserve"> postúpené v celkovej sume </w:t>
      </w:r>
      <w:r w:rsidR="00721CE4">
        <w:rPr>
          <w:rFonts w:ascii="Times New Roman" w:hAnsi="Times New Roman"/>
          <w:b/>
        </w:rPr>
        <w:t>431</w:t>
      </w:r>
      <w:r w:rsidRPr="000619E5">
        <w:rPr>
          <w:rFonts w:ascii="Times New Roman" w:hAnsi="Times New Roman"/>
          <w:b/>
        </w:rPr>
        <w:t> </w:t>
      </w:r>
      <w:r w:rsidR="00721CE4">
        <w:rPr>
          <w:rFonts w:ascii="Times New Roman" w:hAnsi="Times New Roman"/>
          <w:b/>
        </w:rPr>
        <w:t>699</w:t>
      </w:r>
      <w:r w:rsidRPr="000619E5">
        <w:rPr>
          <w:rFonts w:ascii="Times New Roman" w:hAnsi="Times New Roman"/>
          <w:b/>
        </w:rPr>
        <w:t> tis. Eur</w:t>
      </w:r>
      <w:r w:rsidRPr="000619E5">
        <w:rPr>
          <w:rFonts w:ascii="Times New Roman" w:hAnsi="Times New Roman"/>
        </w:rPr>
        <w:t>, z toho za sporiteľov:</w:t>
      </w:r>
    </w:p>
    <w:p w:rsidR="004E0DE6" w:rsidRPr="000619E5" w:rsidP="00D45202">
      <w:pPr>
        <w:tabs>
          <w:tab w:val="decimal" w:pos="7655"/>
        </w:tabs>
        <w:bidi w:val="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 xml:space="preserve">- z </w:t>
      </w:r>
      <w:r w:rsidRPr="000619E5" w:rsidR="00233120">
        <w:rPr>
          <w:rFonts w:ascii="Times New Roman" w:hAnsi="Times New Roman"/>
        </w:rPr>
        <w:t>EAO</w:t>
      </w:r>
      <w:r w:rsidRPr="000619E5">
        <w:rPr>
          <w:rFonts w:ascii="Times New Roman" w:hAnsi="Times New Roman"/>
        </w:rPr>
        <w:t xml:space="preserve"> v sume</w:t>
        <w:tab/>
      </w:r>
      <w:r w:rsidR="00721CE4">
        <w:rPr>
          <w:rFonts w:ascii="Times New Roman" w:hAnsi="Times New Roman"/>
        </w:rPr>
        <w:t>390</w:t>
      </w:r>
      <w:r w:rsidRPr="000619E5">
        <w:rPr>
          <w:rFonts w:ascii="Times New Roman" w:hAnsi="Times New Roman"/>
        </w:rPr>
        <w:t> </w:t>
      </w:r>
      <w:r w:rsidR="00721CE4">
        <w:rPr>
          <w:rFonts w:ascii="Times New Roman" w:hAnsi="Times New Roman"/>
        </w:rPr>
        <w:t>230</w:t>
      </w:r>
      <w:r w:rsidRPr="000619E5">
        <w:rPr>
          <w:rFonts w:ascii="Times New Roman" w:hAnsi="Times New Roman"/>
        </w:rPr>
        <w:t xml:space="preserve"> tis. Eur,</w:t>
      </w:r>
    </w:p>
    <w:p w:rsidR="004E0DE6" w:rsidRPr="000619E5" w:rsidP="00D45202">
      <w:pPr>
        <w:tabs>
          <w:tab w:val="decimal" w:pos="7655"/>
        </w:tabs>
        <w:bidi w:val="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>- štátu</w:t>
        <w:tab/>
      </w:r>
      <w:r w:rsidRPr="000619E5" w:rsidR="0004013A">
        <w:rPr>
          <w:rFonts w:ascii="Times New Roman" w:hAnsi="Times New Roman"/>
        </w:rPr>
        <w:t>2</w:t>
      </w:r>
      <w:r w:rsidR="00D45202">
        <w:rPr>
          <w:rFonts w:ascii="Times New Roman" w:hAnsi="Times New Roman"/>
        </w:rPr>
        <w:t>8</w:t>
      </w:r>
      <w:r w:rsidRPr="000619E5" w:rsidR="0004013A">
        <w:rPr>
          <w:rFonts w:ascii="Times New Roman" w:hAnsi="Times New Roman"/>
        </w:rPr>
        <w:t> </w:t>
      </w:r>
      <w:r w:rsidR="00721CE4">
        <w:rPr>
          <w:rFonts w:ascii="Times New Roman" w:hAnsi="Times New Roman"/>
        </w:rPr>
        <w:t>703</w:t>
      </w:r>
      <w:r w:rsidRPr="000619E5" w:rsidR="0004013A">
        <w:rPr>
          <w:rFonts w:ascii="Times New Roman" w:hAnsi="Times New Roman"/>
        </w:rPr>
        <w:t xml:space="preserve"> </w:t>
      </w:r>
      <w:r w:rsidRPr="000619E5">
        <w:rPr>
          <w:rFonts w:ascii="Times New Roman" w:hAnsi="Times New Roman"/>
        </w:rPr>
        <w:t>tis. Eur,</w:t>
      </w:r>
    </w:p>
    <w:p w:rsidR="004E0DE6" w:rsidRPr="000619E5" w:rsidP="00D45202">
      <w:pPr>
        <w:tabs>
          <w:tab w:val="decimal" w:pos="7655"/>
        </w:tabs>
        <w:bidi w:val="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>- Sociálnej poisťovne</w:t>
        <w:tab/>
      </w:r>
      <w:r w:rsidRPr="000619E5" w:rsidR="00393060">
        <w:rPr>
          <w:rFonts w:ascii="Times New Roman" w:hAnsi="Times New Roman"/>
        </w:rPr>
        <w:t>271</w:t>
      </w:r>
      <w:r w:rsidRPr="000619E5">
        <w:rPr>
          <w:rFonts w:ascii="Times New Roman" w:hAnsi="Times New Roman"/>
        </w:rPr>
        <w:t xml:space="preserve"> tis. Eur.</w:t>
      </w:r>
    </w:p>
    <w:p w:rsidR="004E0DE6" w:rsidRPr="000619E5" w:rsidP="00D0747E">
      <w:pPr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 xml:space="preserve">Zo </w:t>
      </w:r>
      <w:r w:rsidR="00D47C3E">
        <w:rPr>
          <w:rFonts w:ascii="Times New Roman" w:hAnsi="Times New Roman"/>
        </w:rPr>
        <w:t>ZFGP</w:t>
      </w:r>
      <w:r w:rsidRPr="000619E5">
        <w:rPr>
          <w:rFonts w:ascii="Times New Roman" w:hAnsi="Times New Roman"/>
        </w:rPr>
        <w:t xml:space="preserve"> budú uhradené príspevky </w:t>
      </w:r>
      <w:r w:rsidR="00893FED">
        <w:rPr>
          <w:rFonts w:ascii="Times New Roman" w:hAnsi="Times New Roman"/>
        </w:rPr>
        <w:t xml:space="preserve">na SDS </w:t>
      </w:r>
      <w:r w:rsidRPr="000619E5">
        <w:rPr>
          <w:rFonts w:ascii="Times New Roman" w:hAnsi="Times New Roman"/>
        </w:rPr>
        <w:t xml:space="preserve">v sume </w:t>
      </w:r>
      <w:r w:rsidR="00721CE4">
        <w:rPr>
          <w:rFonts w:ascii="Times New Roman" w:hAnsi="Times New Roman"/>
        </w:rPr>
        <w:t>12</w:t>
      </w:r>
      <w:r w:rsidR="00D45202">
        <w:rPr>
          <w:rFonts w:ascii="Times New Roman" w:hAnsi="Times New Roman"/>
        </w:rPr>
        <w:t> </w:t>
      </w:r>
      <w:r w:rsidR="00721CE4">
        <w:rPr>
          <w:rFonts w:ascii="Times New Roman" w:hAnsi="Times New Roman"/>
        </w:rPr>
        <w:t>495</w:t>
      </w:r>
      <w:r w:rsidR="00D45202">
        <w:rPr>
          <w:rFonts w:ascii="Times New Roman" w:hAnsi="Times New Roman"/>
        </w:rPr>
        <w:t> tis. Eur</w:t>
      </w:r>
      <w:r w:rsidRPr="000619E5">
        <w:rPr>
          <w:rFonts w:ascii="Times New Roman" w:hAnsi="Times New Roman"/>
        </w:rPr>
        <w:t>.</w:t>
      </w:r>
    </w:p>
    <w:p w:rsidR="004E0DE6" w:rsidRPr="000619E5" w:rsidP="004E0DE6">
      <w:pPr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0619E5">
        <w:rPr>
          <w:rFonts w:ascii="Times New Roman" w:hAnsi="Times New Roman"/>
        </w:rPr>
        <w:t>Predpokladá sa, že Sociálna poisťovňa postúpi príspevky na SDS</w:t>
      </w:r>
      <w:r w:rsidRPr="000619E5" w:rsidR="00AC636C">
        <w:rPr>
          <w:rFonts w:ascii="Times New Roman" w:hAnsi="Times New Roman"/>
        </w:rPr>
        <w:t xml:space="preserve"> v rokoch 2015 a 2016</w:t>
      </w:r>
      <w:r w:rsidRPr="000619E5">
        <w:rPr>
          <w:rFonts w:ascii="Times New Roman" w:hAnsi="Times New Roman"/>
        </w:rPr>
        <w:t xml:space="preserve">: </w:t>
      </w:r>
    </w:p>
    <w:tbl>
      <w:tblPr>
        <w:tblStyle w:val="TableNormal"/>
        <w:tblW w:w="6102" w:type="dxa"/>
        <w:tblInd w:w="720" w:type="dxa"/>
        <w:tblCellMar>
          <w:left w:w="0" w:type="dxa"/>
          <w:right w:w="0" w:type="dxa"/>
        </w:tblCellMar>
      </w:tblPr>
      <w:tblGrid>
        <w:gridCol w:w="3128"/>
        <w:gridCol w:w="1439"/>
        <w:gridCol w:w="1551"/>
      </w:tblGrid>
      <w:tr>
        <w:tblPrEx>
          <w:tblW w:w="6102" w:type="dxa"/>
          <w:tblInd w:w="720" w:type="dxa"/>
          <w:tblCellMar>
            <w:left w:w="0" w:type="dxa"/>
            <w:right w:w="0" w:type="dxa"/>
          </w:tblCellMar>
        </w:tblPrEx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9E3AC5" w:rsidRPr="00D45202" w:rsidP="004E0DE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9E3AC5" w:rsidRPr="00D45202" w:rsidP="004E0DE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9E3AC5" w:rsidRPr="00D45202" w:rsidP="004E0DE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5202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6102" w:type="dxa"/>
          <w:tblInd w:w="720" w:type="dxa"/>
          <w:tblCellMar>
            <w:left w:w="0" w:type="dxa"/>
            <w:right w:w="0" w:type="dxa"/>
          </w:tblCellMar>
        </w:tblPrEx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E3AC5" w:rsidRPr="00D45202" w:rsidP="004E0DE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45202">
              <w:rPr>
                <w:rFonts w:ascii="Times New Roman" w:hAnsi="Times New Roman"/>
                <w:bCs/>
                <w:sz w:val="22"/>
                <w:szCs w:val="22"/>
              </w:rPr>
              <w:t>Text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3AC5" w:rsidRPr="00D45202" w:rsidP="00AC636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202" w:rsidR="00D0747E">
              <w:rPr>
                <w:rFonts w:ascii="Times New Roman" w:hAnsi="Times New Roman"/>
                <w:sz w:val="22"/>
                <w:szCs w:val="22"/>
              </w:rPr>
              <w:t xml:space="preserve">Rok </w:t>
            </w:r>
            <w:r w:rsidRPr="00D45202">
              <w:rPr>
                <w:rFonts w:ascii="Times New Roman" w:hAnsi="Times New Roman"/>
                <w:sz w:val="22"/>
                <w:szCs w:val="22"/>
              </w:rPr>
              <w:t>201</w:t>
            </w:r>
            <w:r w:rsidRPr="00D45202" w:rsidR="00AC636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3AC5" w:rsidRPr="00D45202" w:rsidP="00AC636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202" w:rsidR="00D0747E">
              <w:rPr>
                <w:rFonts w:ascii="Times New Roman" w:hAnsi="Times New Roman"/>
                <w:sz w:val="22"/>
                <w:szCs w:val="22"/>
              </w:rPr>
              <w:t xml:space="preserve">Rok </w:t>
            </w:r>
            <w:r w:rsidRPr="00D45202">
              <w:rPr>
                <w:rFonts w:ascii="Times New Roman" w:hAnsi="Times New Roman"/>
                <w:sz w:val="22"/>
                <w:szCs w:val="22"/>
              </w:rPr>
              <w:t>20</w:t>
            </w:r>
            <w:r w:rsidRPr="00D45202" w:rsidR="00AC636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>
        <w:tblPrEx>
          <w:tblW w:w="6102" w:type="dxa"/>
          <w:tblInd w:w="720" w:type="dxa"/>
          <w:tblCellMar>
            <w:left w:w="0" w:type="dxa"/>
            <w:right w:w="0" w:type="dxa"/>
          </w:tblCellMar>
        </w:tblPrEx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E3AC5" w:rsidRPr="00D45202" w:rsidP="0004013A">
            <w:pPr>
              <w:bidi w:val="0"/>
              <w:spacing w:after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4520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Postúpené príspevky na SDS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E3AC5" w:rsidRPr="00D45202" w:rsidP="00D45202">
            <w:pPr>
              <w:bidi w:val="0"/>
              <w:spacing w:after="12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="00721CE4">
              <w:rPr>
                <w:rFonts w:ascii="Times New Roman" w:hAnsi="Times New Roman"/>
                <w:bCs/>
                <w:sz w:val="22"/>
                <w:szCs w:val="22"/>
              </w:rPr>
              <w:t>451 717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E3AC5" w:rsidRPr="00D45202" w:rsidP="00D45202">
            <w:pPr>
              <w:bidi w:val="0"/>
              <w:spacing w:after="12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="00721CE4">
              <w:rPr>
                <w:rFonts w:ascii="Times New Roman" w:hAnsi="Times New Roman"/>
                <w:bCs/>
                <w:sz w:val="22"/>
                <w:szCs w:val="22"/>
              </w:rPr>
              <w:t>474 627</w:t>
            </w:r>
          </w:p>
        </w:tc>
      </w:tr>
    </w:tbl>
    <w:p w:rsidR="002B470E" w:rsidRPr="000619E5" w:rsidP="00C03A57">
      <w:pPr>
        <w:bidi w:val="0"/>
        <w:jc w:val="both"/>
        <w:rPr>
          <w:rFonts w:ascii="Times New Roman" w:hAnsi="Times New Roman"/>
        </w:rPr>
      </w:pPr>
    </w:p>
    <w:sectPr w:rsidSect="00E64FAE">
      <w:footerReference w:type="even" r:id="rId5"/>
      <w:footerReference w:type="default" r:id="rId6"/>
      <w:pgSz w:w="11906" w:h="16838"/>
      <w:pgMar w:top="1134" w:right="1417" w:bottom="1134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67" w:rsidP="009329C8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51E67" w:rsidP="00E12DD7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67" w:rsidP="009329C8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0C6">
      <w:rPr>
        <w:rStyle w:val="PageNumber"/>
        <w:noProof/>
      </w:rPr>
      <w:t>10</w:t>
    </w:r>
    <w:r>
      <w:rPr>
        <w:rStyle w:val="PageNumber"/>
      </w:rPr>
      <w:fldChar w:fldCharType="end"/>
    </w:r>
  </w:p>
  <w:p w:rsidR="00751E67" w:rsidP="00E12DD7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048"/>
    <w:multiLevelType w:val="singleLevel"/>
    <w:tmpl w:val="A88A26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">
    <w:nsid w:val="056D4BE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A24239"/>
    <w:multiLevelType w:val="hybridMultilevel"/>
    <w:tmpl w:val="94C013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732C2"/>
    <w:multiLevelType w:val="hybridMultilevel"/>
    <w:tmpl w:val="89061C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4239F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9648D3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9549C3"/>
    <w:multiLevelType w:val="hybridMultilevel"/>
    <w:tmpl w:val="EB5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672D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47533E"/>
    <w:multiLevelType w:val="hybridMultilevel"/>
    <w:tmpl w:val="8DCAF820"/>
    <w:lvl w:ilvl="0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D0F6E"/>
    <w:multiLevelType w:val="hybridMultilevel"/>
    <w:tmpl w:val="205A6CA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5640469"/>
    <w:multiLevelType w:val="hybridMultilevel"/>
    <w:tmpl w:val="9E989D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F0224"/>
    <w:multiLevelType w:val="hybridMultilevel"/>
    <w:tmpl w:val="806044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389A2CC6"/>
    <w:multiLevelType w:val="multilevel"/>
    <w:tmpl w:val="DF241B4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rtl w:val="0"/>
        <w:cs w:val="0"/>
      </w:rPr>
    </w:lvl>
  </w:abstractNum>
  <w:abstractNum w:abstractNumId="13">
    <w:nsid w:val="3E086EC6"/>
    <w:multiLevelType w:val="singleLevel"/>
    <w:tmpl w:val="EF006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B73096"/>
    <w:multiLevelType w:val="hybridMultilevel"/>
    <w:tmpl w:val="4C92D4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157FF"/>
    <w:multiLevelType w:val="hybridMultilevel"/>
    <w:tmpl w:val="B81694E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E27C5"/>
    <w:multiLevelType w:val="hybridMultilevel"/>
    <w:tmpl w:val="CB204584"/>
    <w:lvl w:ilvl="0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"/>
      <w:lvlJc w:val="left"/>
      <w:pPr>
        <w:tabs>
          <w:tab w:val="num" w:pos="1210"/>
        </w:tabs>
        <w:ind w:left="1210" w:hanging="13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A3700"/>
    <w:multiLevelType w:val="hybridMultilevel"/>
    <w:tmpl w:val="519AE7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F4438"/>
    <w:multiLevelType w:val="hybridMultilevel"/>
    <w:tmpl w:val="A84CF6E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7338C"/>
    <w:multiLevelType w:val="hybridMultilevel"/>
    <w:tmpl w:val="91EA5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07511"/>
    <w:multiLevelType w:val="hybridMultilevel"/>
    <w:tmpl w:val="9CAE35D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7D2E41"/>
    <w:multiLevelType w:val="singleLevel"/>
    <w:tmpl w:val="EF006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F8182C"/>
    <w:multiLevelType w:val="singleLevel"/>
    <w:tmpl w:val="EF006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4C3597"/>
    <w:multiLevelType w:val="hybridMultilevel"/>
    <w:tmpl w:val="46688E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21D3C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5">
    <w:nsid w:val="63F27B6F"/>
    <w:multiLevelType w:val="hybridMultilevel"/>
    <w:tmpl w:val="603A22B4"/>
    <w:lvl w:ilvl="0">
      <w:start w:val="1"/>
      <w:numFmt w:val="bullet"/>
      <w:lvlText w:val=""/>
      <w:lvlJc w:val="left"/>
      <w:pPr>
        <w:tabs>
          <w:tab w:val="num" w:pos="537"/>
        </w:tabs>
        <w:ind w:left="1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879333B"/>
    <w:multiLevelType w:val="hybridMultilevel"/>
    <w:tmpl w:val="5DC608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9A82168"/>
    <w:multiLevelType w:val="hybridMultilevel"/>
    <w:tmpl w:val="D644894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6852F08"/>
    <w:multiLevelType w:val="hybridMultilevel"/>
    <w:tmpl w:val="2460E96E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BF4DF6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FA1CAA"/>
    <w:multiLevelType w:val="multilevel"/>
    <w:tmpl w:val="DF241B4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rtl w:val="0"/>
        <w:cs w:val="0"/>
      </w:rPr>
    </w:lvl>
  </w:abstractNum>
  <w:abstractNum w:abstractNumId="31">
    <w:nsid w:val="7F9C4651"/>
    <w:multiLevelType w:val="singleLevel"/>
    <w:tmpl w:val="EF006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8"/>
  </w:num>
  <w:num w:numId="5">
    <w:abstractNumId w:val="24"/>
  </w:num>
  <w:num w:numId="6">
    <w:abstractNumId w:val="7"/>
  </w:num>
  <w:num w:numId="7">
    <w:abstractNumId w:val="12"/>
  </w:num>
  <w:num w:numId="8">
    <w:abstractNumId w:val="21"/>
  </w:num>
  <w:num w:numId="9">
    <w:abstractNumId w:val="13"/>
  </w:num>
  <w:num w:numId="10">
    <w:abstractNumId w:val="31"/>
  </w:num>
  <w:num w:numId="11">
    <w:abstractNumId w:val="22"/>
  </w:num>
  <w:num w:numId="12">
    <w:abstractNumId w:val="6"/>
  </w:num>
  <w:num w:numId="13">
    <w:abstractNumId w:val="30"/>
  </w:num>
  <w:num w:numId="14">
    <w:abstractNumId w:val="5"/>
  </w:num>
  <w:num w:numId="15">
    <w:abstractNumId w:val="29"/>
  </w:num>
  <w:num w:numId="16">
    <w:abstractNumId w:val="4"/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10"/>
  </w:num>
  <w:num w:numId="22">
    <w:abstractNumId w:val="2"/>
  </w:num>
  <w:num w:numId="23">
    <w:abstractNumId w:val="18"/>
  </w:num>
  <w:num w:numId="24">
    <w:abstractNumId w:val="9"/>
  </w:num>
  <w:num w:numId="25">
    <w:abstractNumId w:val="19"/>
  </w:num>
  <w:num w:numId="26">
    <w:abstractNumId w:val="11"/>
  </w:num>
  <w:num w:numId="27">
    <w:abstractNumId w:val="26"/>
  </w:num>
  <w:num w:numId="28">
    <w:abstractNumId w:val="27"/>
  </w:num>
  <w:num w:numId="29">
    <w:abstractNumId w:val="16"/>
  </w:num>
  <w:num w:numId="30">
    <w:abstractNumId w:val="20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oNotTrackMoves/>
  <w:defaultTabStop w:val="708"/>
  <w:hyphenationZone w:val="425"/>
  <w:characterSpacingControl w:val="doNotCompress"/>
  <w:compat/>
  <w:rsids>
    <w:rsidRoot w:val="003771E4"/>
    <w:rsid w:val="00002E6B"/>
    <w:rsid w:val="00006A97"/>
    <w:rsid w:val="00011314"/>
    <w:rsid w:val="00020C41"/>
    <w:rsid w:val="0002248D"/>
    <w:rsid w:val="00025CC0"/>
    <w:rsid w:val="0004013A"/>
    <w:rsid w:val="000424BB"/>
    <w:rsid w:val="0004624C"/>
    <w:rsid w:val="000528EC"/>
    <w:rsid w:val="000536AA"/>
    <w:rsid w:val="000570F4"/>
    <w:rsid w:val="00060D15"/>
    <w:rsid w:val="000619E5"/>
    <w:rsid w:val="00064FEB"/>
    <w:rsid w:val="00065B9D"/>
    <w:rsid w:val="00071EC4"/>
    <w:rsid w:val="000728BB"/>
    <w:rsid w:val="00074BDC"/>
    <w:rsid w:val="000758B3"/>
    <w:rsid w:val="000761A1"/>
    <w:rsid w:val="00077801"/>
    <w:rsid w:val="00081044"/>
    <w:rsid w:val="000850E0"/>
    <w:rsid w:val="00091FA8"/>
    <w:rsid w:val="000A5701"/>
    <w:rsid w:val="000A67B0"/>
    <w:rsid w:val="000A69B3"/>
    <w:rsid w:val="000B53FF"/>
    <w:rsid w:val="000B5E3E"/>
    <w:rsid w:val="000B6477"/>
    <w:rsid w:val="000B7BC3"/>
    <w:rsid w:val="000C1AEF"/>
    <w:rsid w:val="000C246C"/>
    <w:rsid w:val="000D5B26"/>
    <w:rsid w:val="000D6872"/>
    <w:rsid w:val="000D6E80"/>
    <w:rsid w:val="000E01D4"/>
    <w:rsid w:val="000E6706"/>
    <w:rsid w:val="000F3168"/>
    <w:rsid w:val="0010360E"/>
    <w:rsid w:val="00112CC7"/>
    <w:rsid w:val="001154D4"/>
    <w:rsid w:val="001160C6"/>
    <w:rsid w:val="00117B42"/>
    <w:rsid w:val="001210AE"/>
    <w:rsid w:val="0012236A"/>
    <w:rsid w:val="00126429"/>
    <w:rsid w:val="001508A6"/>
    <w:rsid w:val="00151F21"/>
    <w:rsid w:val="00154B62"/>
    <w:rsid w:val="00156632"/>
    <w:rsid w:val="001643F5"/>
    <w:rsid w:val="0017177F"/>
    <w:rsid w:val="001733D5"/>
    <w:rsid w:val="001808E1"/>
    <w:rsid w:val="00182058"/>
    <w:rsid w:val="00191B82"/>
    <w:rsid w:val="00193B35"/>
    <w:rsid w:val="00197823"/>
    <w:rsid w:val="00197B18"/>
    <w:rsid w:val="001A12B0"/>
    <w:rsid w:val="001A12D8"/>
    <w:rsid w:val="001A4046"/>
    <w:rsid w:val="001A61EA"/>
    <w:rsid w:val="001B04DB"/>
    <w:rsid w:val="001B0A10"/>
    <w:rsid w:val="001B50DF"/>
    <w:rsid w:val="001C0721"/>
    <w:rsid w:val="001C2053"/>
    <w:rsid w:val="001C3C3A"/>
    <w:rsid w:val="001C7081"/>
    <w:rsid w:val="001D2AED"/>
    <w:rsid w:val="001E1C5D"/>
    <w:rsid w:val="001E2C33"/>
    <w:rsid w:val="001E3593"/>
    <w:rsid w:val="001E440D"/>
    <w:rsid w:val="001E5216"/>
    <w:rsid w:val="001F092D"/>
    <w:rsid w:val="00202A41"/>
    <w:rsid w:val="0021336C"/>
    <w:rsid w:val="0021738E"/>
    <w:rsid w:val="00225041"/>
    <w:rsid w:val="00233120"/>
    <w:rsid w:val="002358D7"/>
    <w:rsid w:val="00236616"/>
    <w:rsid w:val="00237B11"/>
    <w:rsid w:val="0024397F"/>
    <w:rsid w:val="002452E9"/>
    <w:rsid w:val="00247FC5"/>
    <w:rsid w:val="00253D31"/>
    <w:rsid w:val="002776BB"/>
    <w:rsid w:val="00280DAC"/>
    <w:rsid w:val="00283CAC"/>
    <w:rsid w:val="00290591"/>
    <w:rsid w:val="002907C3"/>
    <w:rsid w:val="002943DC"/>
    <w:rsid w:val="00297085"/>
    <w:rsid w:val="002A5DF0"/>
    <w:rsid w:val="002A6F06"/>
    <w:rsid w:val="002A7133"/>
    <w:rsid w:val="002B470E"/>
    <w:rsid w:val="002B5011"/>
    <w:rsid w:val="002B6E88"/>
    <w:rsid w:val="002B7C90"/>
    <w:rsid w:val="002C06DE"/>
    <w:rsid w:val="002C0A28"/>
    <w:rsid w:val="002C1BCD"/>
    <w:rsid w:val="002D0023"/>
    <w:rsid w:val="002E1F43"/>
    <w:rsid w:val="002E6AD5"/>
    <w:rsid w:val="002E7816"/>
    <w:rsid w:val="002F500E"/>
    <w:rsid w:val="003003DC"/>
    <w:rsid w:val="00313E6B"/>
    <w:rsid w:val="00315703"/>
    <w:rsid w:val="00316D70"/>
    <w:rsid w:val="00322E35"/>
    <w:rsid w:val="003266F4"/>
    <w:rsid w:val="0033036C"/>
    <w:rsid w:val="00342431"/>
    <w:rsid w:val="0034649A"/>
    <w:rsid w:val="003527AD"/>
    <w:rsid w:val="00352DBC"/>
    <w:rsid w:val="0035795C"/>
    <w:rsid w:val="00360FB5"/>
    <w:rsid w:val="00367D5F"/>
    <w:rsid w:val="0037478E"/>
    <w:rsid w:val="00376FFD"/>
    <w:rsid w:val="003771E4"/>
    <w:rsid w:val="00385BC9"/>
    <w:rsid w:val="00386838"/>
    <w:rsid w:val="00387013"/>
    <w:rsid w:val="00393060"/>
    <w:rsid w:val="003A2DB7"/>
    <w:rsid w:val="003A64A2"/>
    <w:rsid w:val="003B049C"/>
    <w:rsid w:val="003B64F8"/>
    <w:rsid w:val="003B724C"/>
    <w:rsid w:val="003C2F37"/>
    <w:rsid w:val="003C5626"/>
    <w:rsid w:val="003D4FD5"/>
    <w:rsid w:val="003E0193"/>
    <w:rsid w:val="003E32BC"/>
    <w:rsid w:val="003E6C50"/>
    <w:rsid w:val="003F79B7"/>
    <w:rsid w:val="00400886"/>
    <w:rsid w:val="0040181D"/>
    <w:rsid w:val="004033A3"/>
    <w:rsid w:val="0042583A"/>
    <w:rsid w:val="0042681D"/>
    <w:rsid w:val="00427B6B"/>
    <w:rsid w:val="004302AD"/>
    <w:rsid w:val="0044214E"/>
    <w:rsid w:val="00442BB7"/>
    <w:rsid w:val="004430C5"/>
    <w:rsid w:val="00443DA7"/>
    <w:rsid w:val="00444879"/>
    <w:rsid w:val="004526DF"/>
    <w:rsid w:val="004532CE"/>
    <w:rsid w:val="00461E0B"/>
    <w:rsid w:val="00462EA9"/>
    <w:rsid w:val="00464E1D"/>
    <w:rsid w:val="0047221C"/>
    <w:rsid w:val="00473C5E"/>
    <w:rsid w:val="00474213"/>
    <w:rsid w:val="00481695"/>
    <w:rsid w:val="00482780"/>
    <w:rsid w:val="004949C1"/>
    <w:rsid w:val="004A2C2A"/>
    <w:rsid w:val="004A5B6C"/>
    <w:rsid w:val="004C1A31"/>
    <w:rsid w:val="004D5D79"/>
    <w:rsid w:val="004D60C6"/>
    <w:rsid w:val="004E0DE6"/>
    <w:rsid w:val="004E46B6"/>
    <w:rsid w:val="004E5053"/>
    <w:rsid w:val="004F41ED"/>
    <w:rsid w:val="004F6E62"/>
    <w:rsid w:val="004F726A"/>
    <w:rsid w:val="0050080B"/>
    <w:rsid w:val="005054F1"/>
    <w:rsid w:val="00506A3E"/>
    <w:rsid w:val="005078EB"/>
    <w:rsid w:val="00510152"/>
    <w:rsid w:val="005126CB"/>
    <w:rsid w:val="00516479"/>
    <w:rsid w:val="0051691F"/>
    <w:rsid w:val="00517233"/>
    <w:rsid w:val="0051750E"/>
    <w:rsid w:val="00527361"/>
    <w:rsid w:val="00530E80"/>
    <w:rsid w:val="005331C6"/>
    <w:rsid w:val="0053333D"/>
    <w:rsid w:val="0054137B"/>
    <w:rsid w:val="00543FAF"/>
    <w:rsid w:val="005552E7"/>
    <w:rsid w:val="00564893"/>
    <w:rsid w:val="00565A4E"/>
    <w:rsid w:val="0057240B"/>
    <w:rsid w:val="005724D9"/>
    <w:rsid w:val="00574744"/>
    <w:rsid w:val="0057771E"/>
    <w:rsid w:val="00580E57"/>
    <w:rsid w:val="005818EC"/>
    <w:rsid w:val="0058660C"/>
    <w:rsid w:val="005907CB"/>
    <w:rsid w:val="00593DD9"/>
    <w:rsid w:val="00597938"/>
    <w:rsid w:val="005A3062"/>
    <w:rsid w:val="005B347F"/>
    <w:rsid w:val="005B3DE7"/>
    <w:rsid w:val="005B6860"/>
    <w:rsid w:val="005B78D9"/>
    <w:rsid w:val="005C0C9F"/>
    <w:rsid w:val="005C4CE5"/>
    <w:rsid w:val="005C5205"/>
    <w:rsid w:val="005C7FA0"/>
    <w:rsid w:val="005D1444"/>
    <w:rsid w:val="005D3F49"/>
    <w:rsid w:val="005E14C2"/>
    <w:rsid w:val="005E2CC0"/>
    <w:rsid w:val="005E579B"/>
    <w:rsid w:val="005E7D18"/>
    <w:rsid w:val="0060186D"/>
    <w:rsid w:val="006018AD"/>
    <w:rsid w:val="0060474C"/>
    <w:rsid w:val="006203A8"/>
    <w:rsid w:val="0062671F"/>
    <w:rsid w:val="0062775A"/>
    <w:rsid w:val="006344BD"/>
    <w:rsid w:val="00635B82"/>
    <w:rsid w:val="00636379"/>
    <w:rsid w:val="00643611"/>
    <w:rsid w:val="006439F4"/>
    <w:rsid w:val="00663DCC"/>
    <w:rsid w:val="006642FB"/>
    <w:rsid w:val="00671D98"/>
    <w:rsid w:val="00690771"/>
    <w:rsid w:val="00691F60"/>
    <w:rsid w:val="00694A10"/>
    <w:rsid w:val="006A139F"/>
    <w:rsid w:val="006B03DE"/>
    <w:rsid w:val="006B0F55"/>
    <w:rsid w:val="006B1716"/>
    <w:rsid w:val="006B2677"/>
    <w:rsid w:val="006B26AF"/>
    <w:rsid w:val="006B43DE"/>
    <w:rsid w:val="006B58D7"/>
    <w:rsid w:val="006B6C45"/>
    <w:rsid w:val="006B7CEC"/>
    <w:rsid w:val="006C0477"/>
    <w:rsid w:val="006C0F88"/>
    <w:rsid w:val="006C60A6"/>
    <w:rsid w:val="006C6AE6"/>
    <w:rsid w:val="006C77B0"/>
    <w:rsid w:val="006D1DA4"/>
    <w:rsid w:val="006D74C6"/>
    <w:rsid w:val="006D7644"/>
    <w:rsid w:val="006E0E5E"/>
    <w:rsid w:val="006E6C59"/>
    <w:rsid w:val="006E6CD2"/>
    <w:rsid w:val="006F5F88"/>
    <w:rsid w:val="006F660E"/>
    <w:rsid w:val="007136DF"/>
    <w:rsid w:val="00713E3D"/>
    <w:rsid w:val="007146C2"/>
    <w:rsid w:val="00717A2D"/>
    <w:rsid w:val="00721CE4"/>
    <w:rsid w:val="0072210E"/>
    <w:rsid w:val="0072461E"/>
    <w:rsid w:val="0072465C"/>
    <w:rsid w:val="00725DAE"/>
    <w:rsid w:val="00730DC0"/>
    <w:rsid w:val="0073177A"/>
    <w:rsid w:val="00735C03"/>
    <w:rsid w:val="007377F6"/>
    <w:rsid w:val="007378B0"/>
    <w:rsid w:val="00740B5F"/>
    <w:rsid w:val="0074695C"/>
    <w:rsid w:val="00747E43"/>
    <w:rsid w:val="00751E67"/>
    <w:rsid w:val="0075445C"/>
    <w:rsid w:val="0075502D"/>
    <w:rsid w:val="00756859"/>
    <w:rsid w:val="0075773E"/>
    <w:rsid w:val="00772011"/>
    <w:rsid w:val="00775E0A"/>
    <w:rsid w:val="00786542"/>
    <w:rsid w:val="00790DFE"/>
    <w:rsid w:val="007947D5"/>
    <w:rsid w:val="00797D74"/>
    <w:rsid w:val="007A72E3"/>
    <w:rsid w:val="007B0248"/>
    <w:rsid w:val="007B2633"/>
    <w:rsid w:val="007C091D"/>
    <w:rsid w:val="007C43CB"/>
    <w:rsid w:val="007C4A8C"/>
    <w:rsid w:val="007D1452"/>
    <w:rsid w:val="007D146A"/>
    <w:rsid w:val="007D3BD2"/>
    <w:rsid w:val="007D4383"/>
    <w:rsid w:val="007D7D37"/>
    <w:rsid w:val="007E3642"/>
    <w:rsid w:val="007E5352"/>
    <w:rsid w:val="007F0221"/>
    <w:rsid w:val="007F4B9F"/>
    <w:rsid w:val="00802998"/>
    <w:rsid w:val="00803AB6"/>
    <w:rsid w:val="00806F10"/>
    <w:rsid w:val="008234AD"/>
    <w:rsid w:val="00823A40"/>
    <w:rsid w:val="0083138A"/>
    <w:rsid w:val="00836F8D"/>
    <w:rsid w:val="00837676"/>
    <w:rsid w:val="00840786"/>
    <w:rsid w:val="008510BF"/>
    <w:rsid w:val="00874771"/>
    <w:rsid w:val="00881951"/>
    <w:rsid w:val="00885DF5"/>
    <w:rsid w:val="00887DFF"/>
    <w:rsid w:val="00893FED"/>
    <w:rsid w:val="00894BAA"/>
    <w:rsid w:val="008969BB"/>
    <w:rsid w:val="008A0DC2"/>
    <w:rsid w:val="008A19C6"/>
    <w:rsid w:val="008A2496"/>
    <w:rsid w:val="008A438B"/>
    <w:rsid w:val="008B62BF"/>
    <w:rsid w:val="008B64C9"/>
    <w:rsid w:val="008B68D4"/>
    <w:rsid w:val="008B71A6"/>
    <w:rsid w:val="008B7BB2"/>
    <w:rsid w:val="008C033B"/>
    <w:rsid w:val="008C0E7E"/>
    <w:rsid w:val="008C2367"/>
    <w:rsid w:val="008C4C24"/>
    <w:rsid w:val="008C7495"/>
    <w:rsid w:val="008D148C"/>
    <w:rsid w:val="008D14AE"/>
    <w:rsid w:val="008D20EC"/>
    <w:rsid w:val="008D2A7F"/>
    <w:rsid w:val="008E2262"/>
    <w:rsid w:val="008E51C5"/>
    <w:rsid w:val="008E6856"/>
    <w:rsid w:val="008F30E0"/>
    <w:rsid w:val="008F3F0D"/>
    <w:rsid w:val="00910595"/>
    <w:rsid w:val="009115F7"/>
    <w:rsid w:val="00912576"/>
    <w:rsid w:val="009158A0"/>
    <w:rsid w:val="00916057"/>
    <w:rsid w:val="00923001"/>
    <w:rsid w:val="009329C8"/>
    <w:rsid w:val="00932A15"/>
    <w:rsid w:val="0093697D"/>
    <w:rsid w:val="00954C5B"/>
    <w:rsid w:val="009563F9"/>
    <w:rsid w:val="00960AF2"/>
    <w:rsid w:val="00960C83"/>
    <w:rsid w:val="00963F4C"/>
    <w:rsid w:val="009649BE"/>
    <w:rsid w:val="00964BA4"/>
    <w:rsid w:val="00967196"/>
    <w:rsid w:val="0097043D"/>
    <w:rsid w:val="00970B41"/>
    <w:rsid w:val="0097109B"/>
    <w:rsid w:val="00973FE5"/>
    <w:rsid w:val="00976563"/>
    <w:rsid w:val="00976875"/>
    <w:rsid w:val="0097775F"/>
    <w:rsid w:val="009902EE"/>
    <w:rsid w:val="009912F9"/>
    <w:rsid w:val="00996B4D"/>
    <w:rsid w:val="009A3BDF"/>
    <w:rsid w:val="009A6894"/>
    <w:rsid w:val="009B2179"/>
    <w:rsid w:val="009B7850"/>
    <w:rsid w:val="009B7D1A"/>
    <w:rsid w:val="009D1103"/>
    <w:rsid w:val="009D7963"/>
    <w:rsid w:val="009E0502"/>
    <w:rsid w:val="009E3571"/>
    <w:rsid w:val="009E3AC5"/>
    <w:rsid w:val="009E436C"/>
    <w:rsid w:val="009E5704"/>
    <w:rsid w:val="009E6FD9"/>
    <w:rsid w:val="009F2AF5"/>
    <w:rsid w:val="009F4206"/>
    <w:rsid w:val="009F6033"/>
    <w:rsid w:val="00A047BC"/>
    <w:rsid w:val="00A0737D"/>
    <w:rsid w:val="00A100DC"/>
    <w:rsid w:val="00A11918"/>
    <w:rsid w:val="00A23E63"/>
    <w:rsid w:val="00A278B0"/>
    <w:rsid w:val="00A315C4"/>
    <w:rsid w:val="00A32742"/>
    <w:rsid w:val="00A33AB9"/>
    <w:rsid w:val="00A37112"/>
    <w:rsid w:val="00A419B0"/>
    <w:rsid w:val="00A42181"/>
    <w:rsid w:val="00A42D12"/>
    <w:rsid w:val="00A43BE3"/>
    <w:rsid w:val="00A45C5E"/>
    <w:rsid w:val="00A543C7"/>
    <w:rsid w:val="00A544E2"/>
    <w:rsid w:val="00A546A2"/>
    <w:rsid w:val="00A573BC"/>
    <w:rsid w:val="00A61695"/>
    <w:rsid w:val="00A650FC"/>
    <w:rsid w:val="00A66536"/>
    <w:rsid w:val="00A66769"/>
    <w:rsid w:val="00A668AF"/>
    <w:rsid w:val="00A760C2"/>
    <w:rsid w:val="00A77333"/>
    <w:rsid w:val="00A8227B"/>
    <w:rsid w:val="00A923C9"/>
    <w:rsid w:val="00A95ABF"/>
    <w:rsid w:val="00AB06DC"/>
    <w:rsid w:val="00AB08FF"/>
    <w:rsid w:val="00AB5107"/>
    <w:rsid w:val="00AC636C"/>
    <w:rsid w:val="00AC772A"/>
    <w:rsid w:val="00AD1249"/>
    <w:rsid w:val="00AD1A58"/>
    <w:rsid w:val="00AE41D2"/>
    <w:rsid w:val="00AE7794"/>
    <w:rsid w:val="00AF5ADC"/>
    <w:rsid w:val="00B00300"/>
    <w:rsid w:val="00B02982"/>
    <w:rsid w:val="00B05468"/>
    <w:rsid w:val="00B11FAC"/>
    <w:rsid w:val="00B20C55"/>
    <w:rsid w:val="00B229E9"/>
    <w:rsid w:val="00B25352"/>
    <w:rsid w:val="00B3330B"/>
    <w:rsid w:val="00B403BD"/>
    <w:rsid w:val="00B41D51"/>
    <w:rsid w:val="00B42D98"/>
    <w:rsid w:val="00B47898"/>
    <w:rsid w:val="00B50FEF"/>
    <w:rsid w:val="00B52FCE"/>
    <w:rsid w:val="00B55153"/>
    <w:rsid w:val="00B710FD"/>
    <w:rsid w:val="00B719E6"/>
    <w:rsid w:val="00B71F97"/>
    <w:rsid w:val="00B73BEC"/>
    <w:rsid w:val="00B80773"/>
    <w:rsid w:val="00B80C92"/>
    <w:rsid w:val="00B834F4"/>
    <w:rsid w:val="00B83709"/>
    <w:rsid w:val="00B9218C"/>
    <w:rsid w:val="00B95CA0"/>
    <w:rsid w:val="00B96343"/>
    <w:rsid w:val="00BA1438"/>
    <w:rsid w:val="00BA16C0"/>
    <w:rsid w:val="00BA340B"/>
    <w:rsid w:val="00BA7013"/>
    <w:rsid w:val="00BA76A8"/>
    <w:rsid w:val="00BB0D2C"/>
    <w:rsid w:val="00BB2087"/>
    <w:rsid w:val="00BB28B2"/>
    <w:rsid w:val="00BB2BED"/>
    <w:rsid w:val="00BB456F"/>
    <w:rsid w:val="00BB6597"/>
    <w:rsid w:val="00BC36AB"/>
    <w:rsid w:val="00BC3ED4"/>
    <w:rsid w:val="00BC698E"/>
    <w:rsid w:val="00BD3228"/>
    <w:rsid w:val="00BE4342"/>
    <w:rsid w:val="00BF43E9"/>
    <w:rsid w:val="00BF46EA"/>
    <w:rsid w:val="00BF56DC"/>
    <w:rsid w:val="00C02E88"/>
    <w:rsid w:val="00C03A57"/>
    <w:rsid w:val="00C0463B"/>
    <w:rsid w:val="00C11847"/>
    <w:rsid w:val="00C136DC"/>
    <w:rsid w:val="00C14D8B"/>
    <w:rsid w:val="00C20FA7"/>
    <w:rsid w:val="00C23A31"/>
    <w:rsid w:val="00C27BF4"/>
    <w:rsid w:val="00C313F9"/>
    <w:rsid w:val="00C3309C"/>
    <w:rsid w:val="00C334FF"/>
    <w:rsid w:val="00C33F0D"/>
    <w:rsid w:val="00C46C76"/>
    <w:rsid w:val="00C46E13"/>
    <w:rsid w:val="00C529D3"/>
    <w:rsid w:val="00C54A68"/>
    <w:rsid w:val="00C64620"/>
    <w:rsid w:val="00C660BB"/>
    <w:rsid w:val="00C726F6"/>
    <w:rsid w:val="00C749C1"/>
    <w:rsid w:val="00C74E1D"/>
    <w:rsid w:val="00C8273C"/>
    <w:rsid w:val="00C8361D"/>
    <w:rsid w:val="00C84D21"/>
    <w:rsid w:val="00C9230C"/>
    <w:rsid w:val="00C93BD3"/>
    <w:rsid w:val="00CA0EAF"/>
    <w:rsid w:val="00CA1D97"/>
    <w:rsid w:val="00CB105E"/>
    <w:rsid w:val="00CB3C3F"/>
    <w:rsid w:val="00CB6112"/>
    <w:rsid w:val="00CC42C1"/>
    <w:rsid w:val="00CC56D7"/>
    <w:rsid w:val="00CC6C85"/>
    <w:rsid w:val="00CD30F4"/>
    <w:rsid w:val="00CD34C8"/>
    <w:rsid w:val="00CD47A5"/>
    <w:rsid w:val="00CE2ABA"/>
    <w:rsid w:val="00CE350E"/>
    <w:rsid w:val="00CE742C"/>
    <w:rsid w:val="00CF2281"/>
    <w:rsid w:val="00CF2774"/>
    <w:rsid w:val="00CF2FE0"/>
    <w:rsid w:val="00CF5EC8"/>
    <w:rsid w:val="00CF7664"/>
    <w:rsid w:val="00D00EE5"/>
    <w:rsid w:val="00D019B2"/>
    <w:rsid w:val="00D01E9E"/>
    <w:rsid w:val="00D02B5E"/>
    <w:rsid w:val="00D057B3"/>
    <w:rsid w:val="00D07422"/>
    <w:rsid w:val="00D0747E"/>
    <w:rsid w:val="00D12E36"/>
    <w:rsid w:val="00D135DE"/>
    <w:rsid w:val="00D14B66"/>
    <w:rsid w:val="00D222AC"/>
    <w:rsid w:val="00D339DE"/>
    <w:rsid w:val="00D352A5"/>
    <w:rsid w:val="00D35371"/>
    <w:rsid w:val="00D45202"/>
    <w:rsid w:val="00D45F19"/>
    <w:rsid w:val="00D46AEB"/>
    <w:rsid w:val="00D4778B"/>
    <w:rsid w:val="00D47C3E"/>
    <w:rsid w:val="00D52BA9"/>
    <w:rsid w:val="00D54EA4"/>
    <w:rsid w:val="00D62946"/>
    <w:rsid w:val="00D64146"/>
    <w:rsid w:val="00D6763D"/>
    <w:rsid w:val="00D67CBF"/>
    <w:rsid w:val="00D715C7"/>
    <w:rsid w:val="00D735C4"/>
    <w:rsid w:val="00D80C67"/>
    <w:rsid w:val="00D91544"/>
    <w:rsid w:val="00D96EE4"/>
    <w:rsid w:val="00DA177C"/>
    <w:rsid w:val="00DA3E64"/>
    <w:rsid w:val="00DA4476"/>
    <w:rsid w:val="00DB640E"/>
    <w:rsid w:val="00DC13E7"/>
    <w:rsid w:val="00DC26E6"/>
    <w:rsid w:val="00DC44A5"/>
    <w:rsid w:val="00DC7A2E"/>
    <w:rsid w:val="00DD5B0E"/>
    <w:rsid w:val="00DE07A8"/>
    <w:rsid w:val="00DE314E"/>
    <w:rsid w:val="00DF1B00"/>
    <w:rsid w:val="00DF29BF"/>
    <w:rsid w:val="00DF6538"/>
    <w:rsid w:val="00DF6F48"/>
    <w:rsid w:val="00E03860"/>
    <w:rsid w:val="00E04243"/>
    <w:rsid w:val="00E12A9A"/>
    <w:rsid w:val="00E12DD7"/>
    <w:rsid w:val="00E17853"/>
    <w:rsid w:val="00E17B63"/>
    <w:rsid w:val="00E20467"/>
    <w:rsid w:val="00E22D08"/>
    <w:rsid w:val="00E2564B"/>
    <w:rsid w:val="00E2746F"/>
    <w:rsid w:val="00E323FD"/>
    <w:rsid w:val="00E35C21"/>
    <w:rsid w:val="00E365F9"/>
    <w:rsid w:val="00E41C57"/>
    <w:rsid w:val="00E44DC3"/>
    <w:rsid w:val="00E457D1"/>
    <w:rsid w:val="00E46259"/>
    <w:rsid w:val="00E5119A"/>
    <w:rsid w:val="00E51C25"/>
    <w:rsid w:val="00E53709"/>
    <w:rsid w:val="00E5382D"/>
    <w:rsid w:val="00E53881"/>
    <w:rsid w:val="00E57147"/>
    <w:rsid w:val="00E625F9"/>
    <w:rsid w:val="00E62C18"/>
    <w:rsid w:val="00E63515"/>
    <w:rsid w:val="00E64FAE"/>
    <w:rsid w:val="00E717DF"/>
    <w:rsid w:val="00E74DB6"/>
    <w:rsid w:val="00E76616"/>
    <w:rsid w:val="00E85706"/>
    <w:rsid w:val="00E87511"/>
    <w:rsid w:val="00EA34A7"/>
    <w:rsid w:val="00EA366B"/>
    <w:rsid w:val="00EB71B3"/>
    <w:rsid w:val="00EC270F"/>
    <w:rsid w:val="00EC61E0"/>
    <w:rsid w:val="00ED0CAB"/>
    <w:rsid w:val="00ED2CE0"/>
    <w:rsid w:val="00ED741A"/>
    <w:rsid w:val="00EE5FB5"/>
    <w:rsid w:val="00EE77B2"/>
    <w:rsid w:val="00EF5980"/>
    <w:rsid w:val="00EF5D76"/>
    <w:rsid w:val="00F0138B"/>
    <w:rsid w:val="00F06FB0"/>
    <w:rsid w:val="00F11721"/>
    <w:rsid w:val="00F13657"/>
    <w:rsid w:val="00F24172"/>
    <w:rsid w:val="00F249D8"/>
    <w:rsid w:val="00F27258"/>
    <w:rsid w:val="00F30845"/>
    <w:rsid w:val="00F3356F"/>
    <w:rsid w:val="00F34443"/>
    <w:rsid w:val="00F37F4D"/>
    <w:rsid w:val="00F4221E"/>
    <w:rsid w:val="00F4290D"/>
    <w:rsid w:val="00F52365"/>
    <w:rsid w:val="00F57753"/>
    <w:rsid w:val="00F579BF"/>
    <w:rsid w:val="00F60CD7"/>
    <w:rsid w:val="00F621C2"/>
    <w:rsid w:val="00F6299C"/>
    <w:rsid w:val="00F66452"/>
    <w:rsid w:val="00F7037F"/>
    <w:rsid w:val="00F742E4"/>
    <w:rsid w:val="00F76F9F"/>
    <w:rsid w:val="00F85D1E"/>
    <w:rsid w:val="00F97ED3"/>
    <w:rsid w:val="00FA17C2"/>
    <w:rsid w:val="00FA7B41"/>
    <w:rsid w:val="00FB1219"/>
    <w:rsid w:val="00FB3AF3"/>
    <w:rsid w:val="00FE0ADC"/>
    <w:rsid w:val="00FE1F78"/>
    <w:rsid w:val="00FF1BEA"/>
    <w:rsid w:val="00FF49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42431"/>
    <w:pPr>
      <w:keepNext/>
      <w:jc w:val="left"/>
      <w:outlineLvl w:val="0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D1DA4"/>
    <w:pPr>
      <w:spacing w:after="120" w:line="480" w:lineRule="auto"/>
      <w:ind w:left="283"/>
      <w:jc w:val="left"/>
    </w:pPr>
  </w:style>
  <w:style w:type="paragraph" w:styleId="BodyTextIndent">
    <w:name w:val="Body Text Indent"/>
    <w:basedOn w:val="Normal"/>
    <w:link w:val="BodyTextIndentChar"/>
    <w:rsid w:val="00025CC0"/>
    <w:pPr>
      <w:spacing w:after="120"/>
      <w:ind w:left="283"/>
      <w:jc w:val="left"/>
    </w:pPr>
  </w:style>
  <w:style w:type="paragraph" w:styleId="BodyText2">
    <w:name w:val="Body Text 2"/>
    <w:basedOn w:val="Normal"/>
    <w:rsid w:val="00025CC0"/>
    <w:pPr>
      <w:spacing w:after="120" w:line="480" w:lineRule="auto"/>
      <w:jc w:val="left"/>
    </w:pPr>
  </w:style>
  <w:style w:type="paragraph" w:styleId="BodyTextIndent3">
    <w:name w:val="Body Text Indent 3"/>
    <w:basedOn w:val="Normal"/>
    <w:rsid w:val="00025CC0"/>
    <w:pPr>
      <w:spacing w:after="120"/>
      <w:ind w:left="283"/>
      <w:jc w:val="left"/>
    </w:pPr>
    <w:rPr>
      <w:sz w:val="16"/>
      <w:szCs w:val="16"/>
    </w:rPr>
  </w:style>
  <w:style w:type="paragraph" w:styleId="Footer">
    <w:name w:val="footer"/>
    <w:basedOn w:val="Normal"/>
    <w:rsid w:val="00E12D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12DD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464E1D"/>
    <w:pPr>
      <w:jc w:val="left"/>
    </w:pPr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locked/>
    <w:rsid w:val="005B347F"/>
    <w:rPr>
      <w:rFonts w:ascii="Arial" w:hAnsi="Arial" w:cs="Times New Roman"/>
      <w:sz w:val="24"/>
      <w:rtl w:val="0"/>
      <w:cs w:val="0"/>
    </w:rPr>
  </w:style>
  <w:style w:type="character" w:customStyle="1" w:styleId="BodyTextIndentChar">
    <w:name w:val="Body Text Indent Char"/>
    <w:basedOn w:val="DefaultParagraphFont"/>
    <w:link w:val="BodyTextIndent"/>
    <w:locked/>
    <w:rsid w:val="00F11721"/>
    <w:rPr>
      <w:rFonts w:ascii="Arial" w:hAnsi="Arial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BB28B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45A6-8167-44D8-BA1E-3585FA96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2851</Words>
  <Characters>16252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Výdavky na nemocenské dávky</dc:title>
  <dc:creator>FARKASOVA_K</dc:creator>
  <cp:lastModifiedBy>Gašparíková, Jarmila</cp:lastModifiedBy>
  <cp:revision>2</cp:revision>
  <cp:lastPrinted>2013-10-25T10:05:00Z</cp:lastPrinted>
  <dcterms:created xsi:type="dcterms:W3CDTF">2013-10-28T14:04:00Z</dcterms:created>
  <dcterms:modified xsi:type="dcterms:W3CDTF">2013-10-28T14:04:00Z</dcterms:modified>
</cp:coreProperties>
</file>