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2539" w:rsidRPr="00791B91" w:rsidP="008B26F6">
      <w:pPr>
        <w:bidi w:val="0"/>
        <w:jc w:val="center"/>
        <w:rPr>
          <w:rFonts w:ascii="Times New Roman" w:hAnsi="Times New Roman"/>
          <w:b/>
        </w:rPr>
      </w:pPr>
      <w:r w:rsidRPr="00791B91">
        <w:rPr>
          <w:rFonts w:ascii="Times New Roman" w:hAnsi="Times New Roman"/>
          <w:b/>
        </w:rPr>
        <w:t>Predkladacia správa</w:t>
      </w:r>
    </w:p>
    <w:p w:rsidR="00AB0CA6" w:rsidP="00AA266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791B91">
        <w:rPr>
          <w:rFonts w:ascii="Times New Roman" w:hAnsi="Times New Roman"/>
          <w:szCs w:val="24"/>
        </w:rPr>
        <w:t>Návrh rozpočtu Sociálnej poisťovne na rok 20</w:t>
      </w:r>
      <w:r w:rsidRPr="00791B91" w:rsidR="00231424">
        <w:rPr>
          <w:rFonts w:ascii="Times New Roman" w:hAnsi="Times New Roman"/>
          <w:szCs w:val="24"/>
        </w:rPr>
        <w:t>1</w:t>
      </w:r>
      <w:r w:rsidR="00EC0DE3">
        <w:rPr>
          <w:rFonts w:ascii="Times New Roman" w:hAnsi="Times New Roman"/>
          <w:szCs w:val="24"/>
        </w:rPr>
        <w:t>4</w:t>
      </w:r>
      <w:r w:rsidRPr="00791B91" w:rsidR="00FC2D9D">
        <w:rPr>
          <w:rFonts w:ascii="Times New Roman" w:hAnsi="Times New Roman"/>
          <w:szCs w:val="24"/>
        </w:rPr>
        <w:t xml:space="preserve"> </w:t>
      </w:r>
      <w:r w:rsidR="00B63321">
        <w:rPr>
          <w:rFonts w:ascii="Times New Roman" w:hAnsi="Times New Roman"/>
          <w:szCs w:val="24"/>
        </w:rPr>
        <w:t xml:space="preserve">a rozpočtový výhľad na roky 2015 a 2016 </w:t>
      </w:r>
      <w:r w:rsidRPr="00791B91">
        <w:rPr>
          <w:rFonts w:ascii="Times New Roman" w:hAnsi="Times New Roman"/>
          <w:szCs w:val="24"/>
        </w:rPr>
        <w:t xml:space="preserve">(ďalej len „návrh rozpočtu“), sa predkladá na </w:t>
      </w:r>
      <w:r w:rsidR="004D7DF9">
        <w:rPr>
          <w:rFonts w:ascii="Times New Roman" w:hAnsi="Times New Roman"/>
          <w:szCs w:val="24"/>
        </w:rPr>
        <w:t>rokovanie</w:t>
      </w:r>
      <w:r w:rsidRPr="00791B91">
        <w:rPr>
          <w:rFonts w:ascii="Times New Roman" w:hAnsi="Times New Roman"/>
          <w:szCs w:val="24"/>
        </w:rPr>
        <w:t xml:space="preserve"> </w:t>
      </w:r>
      <w:r w:rsidR="004D7DF9">
        <w:rPr>
          <w:rFonts w:ascii="Times New Roman" w:hAnsi="Times New Roman"/>
          <w:szCs w:val="24"/>
        </w:rPr>
        <w:t>Národnej rady</w:t>
      </w:r>
      <w:r w:rsidRPr="00791B91">
        <w:rPr>
          <w:rFonts w:ascii="Times New Roman" w:hAnsi="Times New Roman"/>
          <w:szCs w:val="24"/>
        </w:rPr>
        <w:t xml:space="preserve"> Slovenskej republiky v súlade s § 122 ods. 4 písm. c) bod 2. zákona č. 461/2003 Z. z. o sociálnom poistení v znení neskorších predpisov (ďalej len „zákon o sociálnom poistení“).  </w:t>
      </w:r>
    </w:p>
    <w:p w:rsidR="00EC0DE3" w:rsidRPr="000619E5" w:rsidP="00EC0DE3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Pr="00791B91" w:rsidR="00E45B49">
        <w:rPr>
          <w:rFonts w:ascii="Times New Roman" w:hAnsi="Times New Roman"/>
        </w:rPr>
        <w:t>Návrh rozpočtu</w:t>
      </w:r>
      <w:r w:rsidR="009A751C">
        <w:rPr>
          <w:rFonts w:ascii="Times New Roman" w:hAnsi="Times New Roman"/>
        </w:rPr>
        <w:t xml:space="preserve"> </w:t>
      </w:r>
      <w:r w:rsidRPr="00791B91" w:rsidR="00E45B49">
        <w:rPr>
          <w:rFonts w:ascii="Times New Roman" w:hAnsi="Times New Roman"/>
        </w:rPr>
        <w:t xml:space="preserve">je zostavený v podmienkach </w:t>
      </w:r>
      <w:r w:rsidRPr="00791B91" w:rsidR="00E45B49">
        <w:rPr>
          <w:rFonts w:ascii="Times New Roman" w:hAnsi="Times New Roman"/>
          <w:szCs w:val="24"/>
        </w:rPr>
        <w:t>zákona o sociálnom poistení</w:t>
      </w:r>
      <w:r w:rsidRPr="00791B91" w:rsidR="00697F4F">
        <w:rPr>
          <w:rFonts w:ascii="Times New Roman" w:hAnsi="Times New Roman"/>
          <w:szCs w:val="24"/>
        </w:rPr>
        <w:t xml:space="preserve"> účinn</w:t>
      </w:r>
      <w:r w:rsidRPr="00791B91" w:rsidR="004633CB">
        <w:rPr>
          <w:rFonts w:ascii="Times New Roman" w:hAnsi="Times New Roman"/>
          <w:szCs w:val="24"/>
        </w:rPr>
        <w:t>ých</w:t>
      </w:r>
      <w:r w:rsidRPr="00791B91" w:rsidR="00697F4F">
        <w:rPr>
          <w:rFonts w:ascii="Times New Roman" w:hAnsi="Times New Roman"/>
          <w:szCs w:val="24"/>
        </w:rPr>
        <w:t xml:space="preserve"> k termínu spracovania materiálu</w:t>
      </w:r>
      <w:r w:rsidRPr="00791B91" w:rsidR="00E45B49">
        <w:rPr>
          <w:rFonts w:ascii="Times New Roman" w:hAnsi="Times New Roman"/>
        </w:rPr>
        <w:t xml:space="preserve">. </w:t>
      </w:r>
      <w:r w:rsidRPr="000619E5">
        <w:rPr>
          <w:rFonts w:ascii="Times New Roman" w:hAnsi="Times New Roman"/>
        </w:rPr>
        <w:t xml:space="preserve">Zohľadňuje skutočné výsledky hospodárenia Sociálnej poisťovne v roku 2012 a v mesiacoch január až </w:t>
      </w:r>
      <w:r w:rsidR="000E71C6">
        <w:rPr>
          <w:rFonts w:ascii="Times New Roman" w:hAnsi="Times New Roman"/>
        </w:rPr>
        <w:t>august</w:t>
      </w:r>
      <w:r w:rsidRPr="000619E5">
        <w:rPr>
          <w:rFonts w:ascii="Times New Roman" w:hAnsi="Times New Roman"/>
        </w:rPr>
        <w:t xml:space="preserve"> 2013 a predpoklad ich vývoja do konca roka 2013, vplyv makroekonomických ukazovateľov zverejnených Inštitútom finančnej politiky Ministerstva financií Slovenskej republiky </w:t>
      </w:r>
      <w:r>
        <w:rPr>
          <w:rFonts w:ascii="Times New Roman" w:hAnsi="Times New Roman"/>
        </w:rPr>
        <w:t>1</w:t>
      </w:r>
      <w:r w:rsidR="000E71C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</w:t>
      </w:r>
      <w:r w:rsidR="000E71C6">
        <w:rPr>
          <w:rFonts w:ascii="Times New Roman" w:hAnsi="Times New Roman"/>
        </w:rPr>
        <w:t>septembra</w:t>
      </w:r>
      <w:r w:rsidRPr="000619E5">
        <w:rPr>
          <w:rFonts w:ascii="Times New Roman" w:hAnsi="Times New Roman"/>
        </w:rPr>
        <w:t xml:space="preserve"> 2013 a Ministerstvom financií Slovenskej republiky navrhované limity príjmov a výdavkov Sociálnej poisťovne.</w:t>
      </w:r>
    </w:p>
    <w:p w:rsidR="005C3EAA" w:rsidRPr="00791B91" w:rsidP="00AA266C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791B91" w:rsidR="00DB508D">
        <w:rPr>
          <w:rFonts w:ascii="Times New Roman" w:hAnsi="Times New Roman"/>
        </w:rPr>
        <w:t xml:space="preserve">Do príjmov </w:t>
      </w:r>
      <w:r w:rsidRPr="00791B91" w:rsidR="00E45B49">
        <w:rPr>
          <w:rFonts w:ascii="Times New Roman" w:hAnsi="Times New Roman"/>
        </w:rPr>
        <w:t>Sociálnej poisťovne</w:t>
      </w:r>
      <w:r w:rsidRPr="00791B91" w:rsidR="00DB508D">
        <w:rPr>
          <w:rFonts w:ascii="Times New Roman" w:hAnsi="Times New Roman"/>
        </w:rPr>
        <w:t xml:space="preserve"> bol zapracovaný transfer </w:t>
      </w:r>
      <w:r w:rsidRPr="00791B91" w:rsidR="001D13B1">
        <w:rPr>
          <w:rFonts w:ascii="Times New Roman" w:hAnsi="Times New Roman"/>
          <w:szCs w:val="24"/>
        </w:rPr>
        <w:t xml:space="preserve">zo štátneho rozpočtu </w:t>
      </w:r>
      <w:r w:rsidRPr="00791B91" w:rsidR="00DB508D">
        <w:rPr>
          <w:rFonts w:ascii="Times New Roman" w:hAnsi="Times New Roman"/>
          <w:szCs w:val="24"/>
        </w:rPr>
        <w:t>Slovenskej republiky</w:t>
      </w:r>
      <w:r w:rsidRPr="00791B91" w:rsidR="00FC2D9D">
        <w:rPr>
          <w:rFonts w:ascii="Times New Roman" w:hAnsi="Times New Roman"/>
          <w:szCs w:val="24"/>
        </w:rPr>
        <w:t xml:space="preserve"> (ŠR SR):</w:t>
      </w:r>
    </w:p>
    <w:tbl>
      <w:tblPr>
        <w:tblStyle w:val="TableNormal"/>
        <w:tblW w:w="913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680"/>
        <w:gridCol w:w="1300"/>
        <w:gridCol w:w="1300"/>
        <w:gridCol w:w="1300"/>
      </w:tblGrid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791B91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791B91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791B91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6348B" w:rsidRPr="00791B91" w:rsidP="00F6348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6348B" w:rsidRPr="00791B91" w:rsidP="00F6348B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D5681" w:rsidRPr="00791B91" w:rsidP="00F634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>Obdobie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D5681" w:rsidRPr="00791B91" w:rsidP="005D568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 xml:space="preserve">Očakávaná skutočnosť rok </w:t>
            </w:r>
            <w:r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D5681" w:rsidRPr="00791B91" w:rsidP="00F834E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5681" w:rsidRPr="00791B91" w:rsidP="00F834E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D5681" w:rsidRPr="00791B91" w:rsidP="00697F4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913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051920" w:rsidRPr="00791B91" w:rsidP="00F6348B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1B91">
              <w:rPr>
                <w:rFonts w:ascii="Times New Roman" w:hAnsi="Times New Roman"/>
                <w:sz w:val="22"/>
                <w:szCs w:val="22"/>
              </w:rPr>
              <w:t>Transfer zo ŠR SR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714 496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1 061 960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1 050 257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1 076 599</w:t>
            </w:r>
          </w:p>
        </w:tc>
      </w:tr>
    </w:tbl>
    <w:p w:rsidR="00EC0DE3" w:rsidRPr="00EC0DE3" w:rsidP="00EC0DE3">
      <w:pPr>
        <w:bidi w:val="0"/>
        <w:spacing w:before="360" w:after="120"/>
        <w:ind w:firstLine="720"/>
        <w:jc w:val="both"/>
        <w:rPr>
          <w:rFonts w:ascii="Times New Roman" w:hAnsi="Times New Roman"/>
          <w:szCs w:val="24"/>
        </w:rPr>
      </w:pPr>
      <w:r w:rsidRPr="00EC0DE3">
        <w:rPr>
          <w:rFonts w:ascii="Times New Roman" w:hAnsi="Times New Roman"/>
          <w:szCs w:val="24"/>
        </w:rPr>
        <w:t xml:space="preserve">Z hľadiska </w:t>
      </w:r>
      <w:r w:rsidRPr="00EC0DE3">
        <w:rPr>
          <w:rFonts w:ascii="Times New Roman" w:hAnsi="Times New Roman"/>
          <w:b/>
          <w:szCs w:val="24"/>
        </w:rPr>
        <w:t>celkového hospodárenia Sociálnej poisťovne</w:t>
      </w:r>
      <w:r w:rsidRPr="00EC0DE3">
        <w:rPr>
          <w:rFonts w:ascii="Times New Roman" w:hAnsi="Times New Roman"/>
          <w:szCs w:val="24"/>
        </w:rPr>
        <w:t xml:space="preserve"> je možné očakávať v rokoch 201</w:t>
      </w:r>
      <w:r>
        <w:rPr>
          <w:rFonts w:ascii="Times New Roman" w:hAnsi="Times New Roman"/>
          <w:szCs w:val="24"/>
        </w:rPr>
        <w:t>3</w:t>
      </w:r>
      <w:r w:rsidRPr="00EC0DE3">
        <w:rPr>
          <w:rFonts w:ascii="Times New Roman" w:hAnsi="Times New Roman"/>
          <w:szCs w:val="24"/>
        </w:rPr>
        <w:t xml:space="preserve"> až 2016 výsledky:</w:t>
      </w:r>
    </w:p>
    <w:tbl>
      <w:tblPr>
        <w:tblStyle w:val="TableNormal"/>
        <w:tblW w:w="931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76"/>
        <w:gridCol w:w="1134"/>
        <w:gridCol w:w="1134"/>
        <w:gridCol w:w="1134"/>
        <w:gridCol w:w="1319"/>
        <w:gridCol w:w="1319"/>
      </w:tblGrid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1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E65F54">
              <w:rPr>
                <w:rFonts w:ascii="Times New Roman" w:hAnsi="Times New Roman"/>
                <w:sz w:val="22"/>
                <w:szCs w:val="22"/>
              </w:rPr>
              <w:t>Zdroje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Výdavky (náklady)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Bilančný rozdiel v bežnom roku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EC0DE3" w:rsidRPr="00EC0DE3" w:rsidP="00EC0DE3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Bilančný rozdiel celkom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Očakávaná skutočnosť rok 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7 188 015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6 656 377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6 688 515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-32 138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499 500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Návrh rozpočtu na 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7 427 384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6 927 884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6 895 823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32 061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531 561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Rozpočtový výhľad 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7 668 059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7 136 498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7 130 227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6 271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537 832</w:t>
            </w:r>
          </w:p>
        </w:tc>
      </w:tr>
      <w:tr>
        <w:tblPrEx>
          <w:tblW w:w="9316" w:type="dxa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EC0DE3" w:rsidP="00EC0DE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EC0DE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7 937 453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7 399 621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7 391 783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7 838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051920" w:rsidRPr="0005192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051920">
              <w:rPr>
                <w:rFonts w:ascii="Times New Roman" w:hAnsi="Times New Roman"/>
                <w:sz w:val="22"/>
                <w:szCs w:val="22"/>
              </w:rPr>
              <w:t>545 670</w:t>
            </w:r>
          </w:p>
        </w:tc>
      </w:tr>
    </w:tbl>
    <w:p w:rsidR="004B4483" w:rsidP="00EC0DE3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EC0DE3" w:rsidR="00EC0DE3">
        <w:rPr>
          <w:rFonts w:ascii="Times New Roman" w:hAnsi="Times New Roman"/>
          <w:szCs w:val="24"/>
        </w:rPr>
        <w:t>Hospodárenie Sociálnej poisťovne bude v rokoch 201</w:t>
      </w:r>
      <w:r w:rsidR="00EC0DE3">
        <w:rPr>
          <w:rFonts w:ascii="Times New Roman" w:hAnsi="Times New Roman"/>
          <w:szCs w:val="24"/>
        </w:rPr>
        <w:t>3</w:t>
      </w:r>
      <w:r w:rsidRPr="00EC0DE3" w:rsidR="00EC0DE3">
        <w:rPr>
          <w:rFonts w:ascii="Times New Roman" w:hAnsi="Times New Roman"/>
          <w:szCs w:val="24"/>
        </w:rPr>
        <w:t xml:space="preserve"> až 2016 ovplyvňovať deficitné hospodárenie v dôchodkovom poistení. Deficit bude Sociálna poisťovňa vykrývať v zmysle § 167 ods. 1 zákona o sociálnom poistení z</w:t>
      </w:r>
      <w:r w:rsidR="002A6769">
        <w:rPr>
          <w:rFonts w:ascii="Times New Roman" w:hAnsi="Times New Roman"/>
          <w:szCs w:val="24"/>
        </w:rPr>
        <w:t> rezervného fondu solidarity</w:t>
      </w:r>
      <w:r w:rsidR="008F3D12">
        <w:rPr>
          <w:rFonts w:ascii="Times New Roman" w:hAnsi="Times New Roman"/>
          <w:szCs w:val="24"/>
        </w:rPr>
        <w:t xml:space="preserve"> a v roku </w:t>
      </w:r>
      <w:r w:rsidRPr="008F3D12" w:rsidR="008F3D12">
        <w:rPr>
          <w:rFonts w:ascii="Times New Roman" w:hAnsi="Times New Roman"/>
          <w:szCs w:val="24"/>
        </w:rPr>
        <w:t>2013 aj  z vnútorných zdrojov v zmysle § 293bz zákona o sociálnom poistení</w:t>
      </w:r>
      <w:r w:rsidRPr="00EC0DE3" w:rsidR="00EC0DE3">
        <w:rPr>
          <w:rFonts w:ascii="Times New Roman" w:hAnsi="Times New Roman"/>
          <w:szCs w:val="24"/>
        </w:rPr>
        <w:t xml:space="preserve">. </w:t>
      </w:r>
    </w:p>
    <w:p w:rsidR="00EC0DE3" w:rsidRPr="00EC0DE3" w:rsidP="00EC0DE3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EC0DE3">
        <w:rPr>
          <w:rFonts w:ascii="Times New Roman" w:hAnsi="Times New Roman"/>
          <w:szCs w:val="24"/>
        </w:rPr>
        <w:t>V súlade s platným právnym stavom sa v rokoch 2014 až 2016 neuvažuje s možnosťou krytia deficitu v</w:t>
      </w:r>
      <w:r w:rsidR="0041056E">
        <w:rPr>
          <w:rFonts w:ascii="Times New Roman" w:hAnsi="Times New Roman"/>
          <w:szCs w:val="24"/>
        </w:rPr>
        <w:t> dôchodkovom poistení</w:t>
      </w:r>
      <w:r w:rsidRPr="00EC0DE3">
        <w:rPr>
          <w:rFonts w:ascii="Times New Roman" w:hAnsi="Times New Roman"/>
          <w:szCs w:val="24"/>
        </w:rPr>
        <w:t xml:space="preserve"> prostredníctvom poskytnutia finančnej výpomoci zo základných fondov, ktoré vykazujú prebytok finančných prostriedkov.</w:t>
      </w:r>
    </w:p>
    <w:p w:rsidR="00EC0DE3" w:rsidP="00EC0DE3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D54EA4">
        <w:rPr>
          <w:rFonts w:ascii="Times New Roman" w:hAnsi="Times New Roman"/>
          <w:color w:val="000000"/>
          <w:szCs w:val="24"/>
        </w:rPr>
        <w:t xml:space="preserve">Výdavky na valorizáciu dôchodkových dávok </w:t>
      </w:r>
      <w:r>
        <w:rPr>
          <w:rFonts w:ascii="Times New Roman" w:hAnsi="Times New Roman"/>
          <w:color w:val="000000"/>
          <w:szCs w:val="24"/>
        </w:rPr>
        <w:t xml:space="preserve">sa </w:t>
      </w:r>
      <w:r w:rsidRPr="00D54EA4">
        <w:rPr>
          <w:rFonts w:ascii="Times New Roman" w:hAnsi="Times New Roman"/>
          <w:color w:val="000000"/>
          <w:szCs w:val="24"/>
        </w:rPr>
        <w:t>v</w:t>
      </w:r>
      <w:r>
        <w:rPr>
          <w:rFonts w:ascii="Times New Roman" w:hAnsi="Times New Roman"/>
          <w:color w:val="000000"/>
          <w:szCs w:val="24"/>
        </w:rPr>
        <w:t xml:space="preserve"> rokoch 2014 až 2016 zvyšujú o pevnú sumu a rozpočtujú </w:t>
      </w:r>
      <w:r w:rsidR="008F3D12">
        <w:rPr>
          <w:rFonts w:ascii="Times New Roman" w:hAnsi="Times New Roman"/>
          <w:color w:val="000000"/>
          <w:szCs w:val="24"/>
        </w:rPr>
        <w:t>vo výške</w:t>
      </w:r>
      <w:r>
        <w:rPr>
          <w:rFonts w:ascii="Times New Roman" w:hAnsi="Times New Roman"/>
          <w:color w:val="000000"/>
          <w:szCs w:val="24"/>
        </w:rPr>
        <w:t>:</w:t>
      </w:r>
    </w:p>
    <w:p w:rsidR="009A751C" w:rsidP="00EC0DE3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</w:p>
    <w:p w:rsidR="009A751C" w:rsidRPr="00D54EA4" w:rsidP="00EC0DE3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EC0DE3" w:rsidRPr="0097043D" w:rsidP="00EC0DE3">
      <w:pPr>
        <w:pStyle w:val="BodyTextIndent2"/>
        <w:tabs>
          <w:tab w:val="left" w:pos="709"/>
          <w:tab w:val="right" w:pos="6804"/>
          <w:tab w:val="left" w:pos="7088"/>
        </w:tabs>
        <w:bidi w:val="0"/>
        <w:spacing w:after="0" w:line="240" w:lineRule="auto"/>
        <w:ind w:left="0" w:firstLine="6946"/>
        <w:rPr>
          <w:rFonts w:ascii="Times New Roman" w:hAnsi="Times New Roman"/>
          <w:color w:val="000000"/>
          <w:sz w:val="18"/>
          <w:szCs w:val="18"/>
        </w:rPr>
      </w:pPr>
      <w:r w:rsidRPr="0097043D">
        <w:rPr>
          <w:rFonts w:ascii="Times New Roman" w:hAnsi="Times New Roman"/>
          <w:color w:val="000000"/>
          <w:sz w:val="18"/>
          <w:szCs w:val="18"/>
        </w:rPr>
        <w:t>v tis. Eur</w:t>
      </w:r>
    </w:p>
    <w:tbl>
      <w:tblPr>
        <w:tblStyle w:val="TableNormal"/>
        <w:tblW w:w="76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3544"/>
        <w:gridCol w:w="1310"/>
        <w:gridCol w:w="1417"/>
        <w:gridCol w:w="1418"/>
      </w:tblGrid>
      <w:tr>
        <w:tblPrEx>
          <w:tblW w:w="7689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7689" w:type="dxa"/>
          <w:tblInd w:w="70" w:type="dxa"/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7689" w:type="dxa"/>
          <w:tblInd w:w="70" w:type="dxa"/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C0DE3" w:rsidRPr="00247E02" w:rsidP="000D45D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247E02">
              <w:rPr>
                <w:rFonts w:ascii="Times New Roman" w:hAnsi="Times New Roman"/>
                <w:sz w:val="22"/>
                <w:szCs w:val="22"/>
              </w:rPr>
              <w:t xml:space="preserve">Výdavky na zvýšenie dôchodkov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 w:rsidR="0018019C">
              <w:rPr>
                <w:rFonts w:ascii="Times New Roman" w:hAnsi="Times New Roman"/>
                <w:sz w:val="22"/>
                <w:szCs w:val="22"/>
              </w:rPr>
              <w:t>138 525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 w:rsidR="0018019C">
              <w:rPr>
                <w:rFonts w:ascii="Times New Roman" w:hAnsi="Times New Roman"/>
                <w:sz w:val="22"/>
                <w:szCs w:val="22"/>
              </w:rPr>
              <w:t>119 207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247E02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E02" w:rsidR="0018019C">
              <w:rPr>
                <w:rFonts w:ascii="Times New Roman" w:hAnsi="Times New Roman"/>
                <w:sz w:val="22"/>
                <w:szCs w:val="22"/>
              </w:rPr>
              <w:t>149 839</w:t>
            </w:r>
          </w:p>
        </w:tc>
      </w:tr>
    </w:tbl>
    <w:p w:rsidR="00EC0DE3" w:rsidP="00AA266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EC0DE3" w:rsidRPr="000619E5" w:rsidP="00EC0DE3">
      <w:pPr>
        <w:pStyle w:val="BodyTextIndent2"/>
        <w:bidi w:val="0"/>
        <w:spacing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0619E5">
        <w:rPr>
          <w:rFonts w:ascii="Times New Roman" w:hAnsi="Times New Roman"/>
          <w:color w:val="000000"/>
          <w:szCs w:val="24"/>
        </w:rPr>
        <w:t xml:space="preserve">Výdavky na valorizáciu </w:t>
      </w:r>
      <w:r w:rsidRPr="000619E5">
        <w:rPr>
          <w:rFonts w:ascii="Times New Roman" w:hAnsi="Times New Roman"/>
          <w:szCs w:val="24"/>
        </w:rPr>
        <w:t>úrazových dávok</w:t>
      </w:r>
      <w:r w:rsidRPr="000619E5">
        <w:rPr>
          <w:rFonts w:ascii="Times New Roman" w:hAnsi="Times New Roman"/>
          <w:color w:val="000000"/>
          <w:szCs w:val="24"/>
        </w:rPr>
        <w:t xml:space="preserve"> v rokoch 2014 až 2016 sa v jednotlivých rokoch rozpočtujú:</w:t>
      </w:r>
    </w:p>
    <w:tbl>
      <w:tblPr>
        <w:tblStyle w:val="TableNormal"/>
        <w:tblW w:w="8647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4678"/>
        <w:gridCol w:w="1323"/>
        <w:gridCol w:w="1323"/>
        <w:gridCol w:w="1323"/>
      </w:tblGrid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Rok 2016</w:t>
            </w:r>
          </w:p>
        </w:tc>
      </w:tr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Zvýšenie od 1.1. o (v %)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7D68C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2,</w:t>
            </w:r>
            <w:r w:rsidR="007D68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7D68C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7D68C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2,</w:t>
            </w:r>
            <w:r w:rsidR="007D68C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8647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EC0DE3" w:rsidRPr="000619E5" w:rsidP="000D45DA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0619E5">
              <w:rPr>
                <w:rFonts w:ascii="Times New Roman" w:hAnsi="Times New Roman"/>
                <w:sz w:val="22"/>
                <w:szCs w:val="22"/>
              </w:rPr>
              <w:t>Výdavky na zvýšenie úrazových dávok podľa zákona o sociálnom poistení (v tis. Eur)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7D68C5">
              <w:rPr>
                <w:rFonts w:ascii="Times New Roman" w:hAnsi="Times New Roman"/>
                <w:sz w:val="22"/>
                <w:szCs w:val="22"/>
              </w:rPr>
              <w:t>572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7D68C5">
              <w:rPr>
                <w:rFonts w:ascii="Times New Roman" w:hAnsi="Times New Roman"/>
                <w:sz w:val="22"/>
                <w:szCs w:val="22"/>
              </w:rPr>
              <w:t>494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EC0DE3" w:rsidRPr="000619E5" w:rsidP="000D45DA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="007D68C5">
              <w:rPr>
                <w:rFonts w:ascii="Times New Roman" w:hAnsi="Times New Roman"/>
                <w:sz w:val="22"/>
                <w:szCs w:val="22"/>
              </w:rPr>
              <w:t>620</w:t>
            </w:r>
          </w:p>
        </w:tc>
      </w:tr>
    </w:tbl>
    <w:p w:rsidR="00EC0DE3" w:rsidRPr="00193B35" w:rsidP="00EC0DE3">
      <w:pPr>
        <w:tabs>
          <w:tab w:val="left" w:pos="709"/>
          <w:tab w:val="decimal" w:pos="8222"/>
        </w:tabs>
        <w:bidi w:val="0"/>
        <w:jc w:val="both"/>
        <w:rPr>
          <w:rFonts w:ascii="Times New Roman" w:hAnsi="Times New Roman"/>
        </w:rPr>
      </w:pPr>
    </w:p>
    <w:p w:rsidR="000E64AF" w:rsidRPr="00791B91" w:rsidP="00AA266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791B91">
        <w:rPr>
          <w:rFonts w:ascii="Times New Roman" w:hAnsi="Times New Roman"/>
          <w:szCs w:val="24"/>
        </w:rPr>
        <w:t>Jednotlivé ukazovatele sú detailnejšie zdôvodnené priamo v materiáli.</w:t>
      </w:r>
    </w:p>
    <w:sectPr w:rsidSect="001A3B09">
      <w:footerReference w:type="even" r:id="rId5"/>
      <w:foot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P="00194EA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DFA" w:rsidP="00194EA0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4E4">
      <w:rPr>
        <w:rStyle w:val="PageNumber"/>
        <w:noProof/>
      </w:rPr>
      <w:t>2</w:t>
    </w:r>
    <w:r>
      <w:rPr>
        <w:rStyle w:val="PageNumber"/>
      </w:rPr>
      <w:fldChar w:fldCharType="end"/>
    </w:r>
  </w:p>
  <w:p w:rsidR="00BE0DFA" w:rsidP="00676CF3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3750"/>
    <w:multiLevelType w:val="hybridMultilevel"/>
    <w:tmpl w:val="0F9881E2"/>
    <w:lvl w:ilvl="0">
      <w:start w:val="216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766440"/>
    <w:multiLevelType w:val="hybridMultilevel"/>
    <w:tmpl w:val="2B1421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D15F6"/>
    <w:multiLevelType w:val="hybridMultilevel"/>
    <w:tmpl w:val="810C4716"/>
    <w:lvl w:ilvl="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05D29A3"/>
    <w:multiLevelType w:val="hybridMultilevel"/>
    <w:tmpl w:val="B93E37D4"/>
    <w:lvl w:ilvl="0">
      <w:start w:val="218"/>
      <w:numFmt w:val="decimal"/>
      <w:lvlText w:val="%1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5577618"/>
    <w:multiLevelType w:val="hybridMultilevel"/>
    <w:tmpl w:val="87D0A1C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D56EE7"/>
    <w:multiLevelType w:val="hybridMultilevel"/>
    <w:tmpl w:val="A8EE3FA2"/>
    <w:lvl w:ilvl="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802539"/>
    <w:rsid w:val="000041CD"/>
    <w:rsid w:val="000105E9"/>
    <w:rsid w:val="00012782"/>
    <w:rsid w:val="00015CDD"/>
    <w:rsid w:val="00032C25"/>
    <w:rsid w:val="00044228"/>
    <w:rsid w:val="00046BCA"/>
    <w:rsid w:val="00051920"/>
    <w:rsid w:val="0005668C"/>
    <w:rsid w:val="000619E5"/>
    <w:rsid w:val="0006208B"/>
    <w:rsid w:val="00073F68"/>
    <w:rsid w:val="00074C2B"/>
    <w:rsid w:val="00080EC4"/>
    <w:rsid w:val="0009233A"/>
    <w:rsid w:val="000A7C55"/>
    <w:rsid w:val="000C4C58"/>
    <w:rsid w:val="000D0D34"/>
    <w:rsid w:val="000D45DA"/>
    <w:rsid w:val="000E3FD1"/>
    <w:rsid w:val="000E64AF"/>
    <w:rsid w:val="000E71C6"/>
    <w:rsid w:val="000F034C"/>
    <w:rsid w:val="000F6EB5"/>
    <w:rsid w:val="001006F8"/>
    <w:rsid w:val="00100E77"/>
    <w:rsid w:val="001023EF"/>
    <w:rsid w:val="001114E8"/>
    <w:rsid w:val="00112CB4"/>
    <w:rsid w:val="0011485F"/>
    <w:rsid w:val="00161FB3"/>
    <w:rsid w:val="00177AF1"/>
    <w:rsid w:val="0018019C"/>
    <w:rsid w:val="00193B35"/>
    <w:rsid w:val="00194748"/>
    <w:rsid w:val="00194EA0"/>
    <w:rsid w:val="001A2207"/>
    <w:rsid w:val="001A3B09"/>
    <w:rsid w:val="001B0FCC"/>
    <w:rsid w:val="001C4ED1"/>
    <w:rsid w:val="001C7BEC"/>
    <w:rsid w:val="001D13B1"/>
    <w:rsid w:val="001D15C6"/>
    <w:rsid w:val="001D28F2"/>
    <w:rsid w:val="001E72A9"/>
    <w:rsid w:val="001F44E0"/>
    <w:rsid w:val="0022417D"/>
    <w:rsid w:val="00231424"/>
    <w:rsid w:val="00235263"/>
    <w:rsid w:val="00247E02"/>
    <w:rsid w:val="0026283B"/>
    <w:rsid w:val="0028271C"/>
    <w:rsid w:val="00297C38"/>
    <w:rsid w:val="002A6769"/>
    <w:rsid w:val="002B61D9"/>
    <w:rsid w:val="002B790C"/>
    <w:rsid w:val="002C05ED"/>
    <w:rsid w:val="002D12B1"/>
    <w:rsid w:val="002D3D80"/>
    <w:rsid w:val="002E0AD0"/>
    <w:rsid w:val="002E6BD9"/>
    <w:rsid w:val="0031062A"/>
    <w:rsid w:val="00317C98"/>
    <w:rsid w:val="00320820"/>
    <w:rsid w:val="003442DC"/>
    <w:rsid w:val="003667BA"/>
    <w:rsid w:val="0037230B"/>
    <w:rsid w:val="0039596F"/>
    <w:rsid w:val="003C24E4"/>
    <w:rsid w:val="003F4ED3"/>
    <w:rsid w:val="003F66EB"/>
    <w:rsid w:val="0041056E"/>
    <w:rsid w:val="0041080D"/>
    <w:rsid w:val="00414B4C"/>
    <w:rsid w:val="00420C02"/>
    <w:rsid w:val="004274D6"/>
    <w:rsid w:val="004378D1"/>
    <w:rsid w:val="0044237B"/>
    <w:rsid w:val="00451B96"/>
    <w:rsid w:val="004633CB"/>
    <w:rsid w:val="00480600"/>
    <w:rsid w:val="004869A9"/>
    <w:rsid w:val="004B4483"/>
    <w:rsid w:val="004D45CB"/>
    <w:rsid w:val="004D7DF9"/>
    <w:rsid w:val="004E0DB9"/>
    <w:rsid w:val="004E1EA6"/>
    <w:rsid w:val="004E2743"/>
    <w:rsid w:val="00500CF0"/>
    <w:rsid w:val="00506FF3"/>
    <w:rsid w:val="005267E6"/>
    <w:rsid w:val="00550C07"/>
    <w:rsid w:val="00584993"/>
    <w:rsid w:val="00591679"/>
    <w:rsid w:val="00594F70"/>
    <w:rsid w:val="00595A80"/>
    <w:rsid w:val="005A0929"/>
    <w:rsid w:val="005A344C"/>
    <w:rsid w:val="005C3EAA"/>
    <w:rsid w:val="005D5681"/>
    <w:rsid w:val="005E3658"/>
    <w:rsid w:val="006169D7"/>
    <w:rsid w:val="006275D6"/>
    <w:rsid w:val="00630B43"/>
    <w:rsid w:val="00632D7D"/>
    <w:rsid w:val="006343D9"/>
    <w:rsid w:val="00650D54"/>
    <w:rsid w:val="00652A37"/>
    <w:rsid w:val="00676CF3"/>
    <w:rsid w:val="00676D71"/>
    <w:rsid w:val="006911EC"/>
    <w:rsid w:val="006977BB"/>
    <w:rsid w:val="00697C5D"/>
    <w:rsid w:val="00697F4F"/>
    <w:rsid w:val="006B7BA6"/>
    <w:rsid w:val="006D0619"/>
    <w:rsid w:val="006D3137"/>
    <w:rsid w:val="0071445F"/>
    <w:rsid w:val="00716241"/>
    <w:rsid w:val="00723E44"/>
    <w:rsid w:val="00754A0A"/>
    <w:rsid w:val="00764E5D"/>
    <w:rsid w:val="00774E7E"/>
    <w:rsid w:val="00786897"/>
    <w:rsid w:val="007900C5"/>
    <w:rsid w:val="00791B91"/>
    <w:rsid w:val="0079454A"/>
    <w:rsid w:val="00795EAF"/>
    <w:rsid w:val="007A261F"/>
    <w:rsid w:val="007A4321"/>
    <w:rsid w:val="007D6463"/>
    <w:rsid w:val="007D68C5"/>
    <w:rsid w:val="007D6C4A"/>
    <w:rsid w:val="00801F91"/>
    <w:rsid w:val="00802539"/>
    <w:rsid w:val="008035B4"/>
    <w:rsid w:val="0080742A"/>
    <w:rsid w:val="008152BC"/>
    <w:rsid w:val="008515FB"/>
    <w:rsid w:val="008543A8"/>
    <w:rsid w:val="008652D5"/>
    <w:rsid w:val="00865F60"/>
    <w:rsid w:val="008677E0"/>
    <w:rsid w:val="00872D03"/>
    <w:rsid w:val="008A50DB"/>
    <w:rsid w:val="008A7F92"/>
    <w:rsid w:val="008B26F6"/>
    <w:rsid w:val="008B571A"/>
    <w:rsid w:val="008B7E37"/>
    <w:rsid w:val="008C3786"/>
    <w:rsid w:val="008E5E86"/>
    <w:rsid w:val="008E6E1D"/>
    <w:rsid w:val="008F3D12"/>
    <w:rsid w:val="008F41FF"/>
    <w:rsid w:val="0090122C"/>
    <w:rsid w:val="009039D3"/>
    <w:rsid w:val="00903AFF"/>
    <w:rsid w:val="00910AB4"/>
    <w:rsid w:val="00966FCB"/>
    <w:rsid w:val="0097043D"/>
    <w:rsid w:val="009A5225"/>
    <w:rsid w:val="009A751C"/>
    <w:rsid w:val="009A7CE2"/>
    <w:rsid w:val="009E1753"/>
    <w:rsid w:val="00A0000E"/>
    <w:rsid w:val="00A00818"/>
    <w:rsid w:val="00A05BA6"/>
    <w:rsid w:val="00A15282"/>
    <w:rsid w:val="00A64C96"/>
    <w:rsid w:val="00A733A0"/>
    <w:rsid w:val="00A9067F"/>
    <w:rsid w:val="00AA11C7"/>
    <w:rsid w:val="00AA266C"/>
    <w:rsid w:val="00AA7731"/>
    <w:rsid w:val="00AB0CA6"/>
    <w:rsid w:val="00AC3855"/>
    <w:rsid w:val="00AC5034"/>
    <w:rsid w:val="00AD4CBE"/>
    <w:rsid w:val="00AD74F8"/>
    <w:rsid w:val="00AE4857"/>
    <w:rsid w:val="00AF052C"/>
    <w:rsid w:val="00B0470A"/>
    <w:rsid w:val="00B118BE"/>
    <w:rsid w:val="00B34127"/>
    <w:rsid w:val="00B53330"/>
    <w:rsid w:val="00B63321"/>
    <w:rsid w:val="00B82191"/>
    <w:rsid w:val="00B94080"/>
    <w:rsid w:val="00BA1047"/>
    <w:rsid w:val="00BC6981"/>
    <w:rsid w:val="00BE0DFA"/>
    <w:rsid w:val="00BE1A2D"/>
    <w:rsid w:val="00C0713C"/>
    <w:rsid w:val="00C17A26"/>
    <w:rsid w:val="00C34347"/>
    <w:rsid w:val="00C34A88"/>
    <w:rsid w:val="00C7125D"/>
    <w:rsid w:val="00C73439"/>
    <w:rsid w:val="00C76D64"/>
    <w:rsid w:val="00C809B2"/>
    <w:rsid w:val="00C8105D"/>
    <w:rsid w:val="00C84DBF"/>
    <w:rsid w:val="00CB11FF"/>
    <w:rsid w:val="00CB6D6D"/>
    <w:rsid w:val="00CF18C9"/>
    <w:rsid w:val="00D14C89"/>
    <w:rsid w:val="00D20F5D"/>
    <w:rsid w:val="00D47FBC"/>
    <w:rsid w:val="00D50DAE"/>
    <w:rsid w:val="00D54EA4"/>
    <w:rsid w:val="00D57914"/>
    <w:rsid w:val="00D643E9"/>
    <w:rsid w:val="00DA2B5E"/>
    <w:rsid w:val="00DB1530"/>
    <w:rsid w:val="00DB4266"/>
    <w:rsid w:val="00DB508D"/>
    <w:rsid w:val="00DC7AA4"/>
    <w:rsid w:val="00DE2BAB"/>
    <w:rsid w:val="00DE745C"/>
    <w:rsid w:val="00DF25A0"/>
    <w:rsid w:val="00E001DD"/>
    <w:rsid w:val="00E00281"/>
    <w:rsid w:val="00E05018"/>
    <w:rsid w:val="00E051AF"/>
    <w:rsid w:val="00E11A58"/>
    <w:rsid w:val="00E136D2"/>
    <w:rsid w:val="00E1487F"/>
    <w:rsid w:val="00E21DDB"/>
    <w:rsid w:val="00E41FCB"/>
    <w:rsid w:val="00E45B49"/>
    <w:rsid w:val="00E51E22"/>
    <w:rsid w:val="00E62B2A"/>
    <w:rsid w:val="00E65995"/>
    <w:rsid w:val="00E65F54"/>
    <w:rsid w:val="00E664D9"/>
    <w:rsid w:val="00E71E67"/>
    <w:rsid w:val="00E77C55"/>
    <w:rsid w:val="00EA1CF4"/>
    <w:rsid w:val="00EA372C"/>
    <w:rsid w:val="00EC0DE3"/>
    <w:rsid w:val="00EC4264"/>
    <w:rsid w:val="00EF2CDD"/>
    <w:rsid w:val="00F45A44"/>
    <w:rsid w:val="00F5630E"/>
    <w:rsid w:val="00F6348B"/>
    <w:rsid w:val="00F663BA"/>
    <w:rsid w:val="00F6674E"/>
    <w:rsid w:val="00F74F08"/>
    <w:rsid w:val="00F834EB"/>
    <w:rsid w:val="00FC2D9D"/>
    <w:rsid w:val="00FE1D8A"/>
    <w:rsid w:val="00FE22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5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02539"/>
    <w:pPr>
      <w:tabs>
        <w:tab w:val="right" w:pos="9071"/>
      </w:tabs>
      <w:ind w:firstLine="709"/>
      <w:jc w:val="both"/>
    </w:pPr>
  </w:style>
  <w:style w:type="paragraph" w:styleId="BodyTextIndent2">
    <w:name w:val="Body Text Indent 2"/>
    <w:basedOn w:val="Normal"/>
    <w:link w:val="BodyTextIndent2Char"/>
    <w:rsid w:val="00802539"/>
    <w:pPr>
      <w:spacing w:after="120" w:line="480" w:lineRule="auto"/>
      <w:ind w:left="283"/>
      <w:jc w:val="left"/>
    </w:pPr>
  </w:style>
  <w:style w:type="paragraph" w:customStyle="1" w:styleId="CarCharChar">
    <w:name w:val="Car Char Char"/>
    <w:basedOn w:val="Normal"/>
    <w:rsid w:val="00802539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BalloonText">
    <w:name w:val="Balloon Text"/>
    <w:basedOn w:val="Normal"/>
    <w:semiHidden/>
    <w:rsid w:val="00DA2B5E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76CF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76CF3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FE1D8A"/>
    <w:pPr>
      <w:ind w:left="720"/>
      <w:contextualSpacing/>
      <w:jc w:val="left"/>
    </w:pPr>
  </w:style>
  <w:style w:type="character" w:customStyle="1" w:styleId="BodyTextIndent2Char">
    <w:name w:val="Body Text Indent 2 Char"/>
    <w:basedOn w:val="DefaultParagraphFont"/>
    <w:link w:val="BodyTextIndent2"/>
    <w:locked/>
    <w:rsid w:val="00EC0DE3"/>
    <w:rPr>
      <w:rFonts w:ascii="Arial" w:hAnsi="Arial" w:cs="Times New Roman"/>
      <w:sz w:val="24"/>
      <w:rtl w:val="0"/>
      <w:cs w:val="0"/>
    </w:rPr>
  </w:style>
  <w:style w:type="paragraph" w:styleId="Header">
    <w:name w:val="header"/>
    <w:basedOn w:val="Normal"/>
    <w:link w:val="HeaderChar"/>
    <w:rsid w:val="00235263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locked/>
    <w:rsid w:val="00235263"/>
    <w:rPr>
      <w:rFonts w:ascii="Arial" w:hAnsi="Arial" w:cs="Times New Roman"/>
      <w:sz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AB856-8292-42DC-A059-25530D32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411</Words>
  <Characters>2344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FARKASOVA_K</dc:creator>
  <cp:lastModifiedBy>Gašparíková, Jarmila</cp:lastModifiedBy>
  <cp:revision>2</cp:revision>
  <cp:lastPrinted>2013-10-01T08:30:00Z</cp:lastPrinted>
  <dcterms:created xsi:type="dcterms:W3CDTF">2013-10-28T14:04:00Z</dcterms:created>
  <dcterms:modified xsi:type="dcterms:W3CDTF">2013-10-28T14:04:00Z</dcterms:modified>
</cp:coreProperties>
</file>