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6606" w:rsidP="00180F94">
      <w:pPr>
        <w:bidi w:val="0"/>
        <w:jc w:val="center"/>
        <w:rPr>
          <w:rFonts w:ascii="Times New Roman" w:hAnsi="Times New Roman"/>
          <w:bCs/>
        </w:rPr>
      </w:pPr>
    </w:p>
    <w:p w:rsidR="00180F94" w:rsidRPr="00DD3EE3" w:rsidP="00180F94">
      <w:pPr>
        <w:bidi w:val="0"/>
        <w:jc w:val="center"/>
        <w:rPr>
          <w:rFonts w:ascii="Times New Roman" w:hAnsi="Times New Roman"/>
          <w:bCs/>
        </w:rPr>
      </w:pPr>
      <w:r w:rsidRPr="00DD3EE3">
        <w:rPr>
          <w:rFonts w:ascii="Times New Roman" w:hAnsi="Times New Roman"/>
          <w:bCs/>
        </w:rPr>
        <w:t>z</w:t>
      </w:r>
      <w:r w:rsidR="000C77F7">
        <w:rPr>
          <w:rFonts w:ascii="Times New Roman" w:hAnsi="Times New Roman"/>
          <w:bCs/>
        </w:rPr>
        <w:t> 2</w:t>
      </w:r>
      <w:r w:rsidR="00726D48">
        <w:rPr>
          <w:rFonts w:ascii="Times New Roman" w:hAnsi="Times New Roman"/>
          <w:bCs/>
        </w:rPr>
        <w:t>2</w:t>
      </w:r>
      <w:r w:rsidR="000C77F7">
        <w:rPr>
          <w:rFonts w:ascii="Times New Roman" w:hAnsi="Times New Roman"/>
          <w:bCs/>
        </w:rPr>
        <w:t>. októbra</w:t>
      </w:r>
      <w:r w:rsidRPr="00DD3EE3">
        <w:rPr>
          <w:rFonts w:ascii="Times New Roman" w:hAnsi="Times New Roman"/>
          <w:bCs/>
        </w:rPr>
        <w:t xml:space="preserve"> 2013,</w:t>
      </w:r>
    </w:p>
    <w:p w:rsidR="00180F94" w:rsidP="00180F94">
      <w:pPr>
        <w:bidi w:val="0"/>
        <w:rPr>
          <w:rFonts w:ascii="Times New Roman" w:hAnsi="Times New Roman"/>
        </w:rPr>
      </w:pPr>
    </w:p>
    <w:p w:rsidR="00186606" w:rsidRPr="00DD3EE3" w:rsidP="00180F94">
      <w:pPr>
        <w:bidi w:val="0"/>
        <w:rPr>
          <w:rFonts w:ascii="Times New Roman" w:hAnsi="Times New Roman"/>
        </w:rPr>
      </w:pPr>
    </w:p>
    <w:p w:rsidR="00180F94" w:rsidRPr="000C5788" w:rsidP="00180F94">
      <w:pPr>
        <w:pStyle w:val="Zkladntext"/>
        <w:bidi w:val="0"/>
        <w:jc w:val="both"/>
        <w:rPr>
          <w:rFonts w:ascii="Times New Roman" w:hAnsi="Times New Roman"/>
          <w:b/>
          <w:bCs/>
        </w:rPr>
      </w:pPr>
      <w:r w:rsidRPr="00DD3EE3">
        <w:rPr>
          <w:rFonts w:ascii="Times New Roman" w:hAnsi="Times New Roman"/>
          <w:b/>
          <w:bCs/>
        </w:rPr>
        <w:t>ktorým sa mení a dopĺňa zákon</w:t>
      </w:r>
      <w:r w:rsidRPr="00DD3EE3">
        <w:rPr>
          <w:rFonts w:ascii="Times New Roman" w:hAnsi="Times New Roman"/>
          <w:b/>
        </w:rPr>
        <w:t xml:space="preserve"> č. 309/2009 Z. z. o podpore obnoviteľných zdrojov energie a vysoko účinnej kombinovanej výroby a  o zmene a doplnení niektorých zákonov v znení neskorších predpisov </w:t>
      </w:r>
      <w:r w:rsidRPr="00DD3EE3">
        <w:rPr>
          <w:rFonts w:ascii="Times New Roman" w:hAnsi="Times New Roman"/>
          <w:b/>
          <w:color w:val="auto"/>
        </w:rPr>
        <w:t xml:space="preserve">a ktorým sa mení zákon č. 251/2012 Z. z. o energetike a o zmene a doplnení niektorých zákonov </w:t>
      </w:r>
      <w:r w:rsidRPr="00DD3EE3">
        <w:rPr>
          <w:rFonts w:ascii="Times New Roman" w:hAnsi="Times New Roman"/>
          <w:b/>
        </w:rPr>
        <w:t>v znení zákona č. 391/2012 Z. z.</w:t>
      </w:r>
    </w:p>
    <w:p w:rsidR="00180F94" w:rsidP="00180F94">
      <w:pPr>
        <w:bidi w:val="0"/>
        <w:jc w:val="both"/>
        <w:rPr>
          <w:rFonts w:ascii="Times New Roman" w:hAnsi="Times New Roman"/>
          <w:b/>
          <w:bCs/>
        </w:rPr>
      </w:pPr>
    </w:p>
    <w:p w:rsidR="000C77F7" w:rsidRPr="00320F62" w:rsidP="00180F94">
      <w:pPr>
        <w:bidi w:val="0"/>
        <w:jc w:val="both"/>
        <w:rPr>
          <w:rFonts w:ascii="Times New Roman" w:hAnsi="Times New Roman"/>
          <w:b/>
          <w:bCs/>
        </w:rPr>
      </w:pPr>
    </w:p>
    <w:p w:rsidR="00180F94" w:rsidRPr="00BA236B" w:rsidP="00180F94">
      <w:pPr>
        <w:pStyle w:val="BodyText"/>
        <w:bidi w:val="0"/>
        <w:rPr>
          <w:rFonts w:ascii="Times New Roman" w:hAnsi="Times New Roman"/>
          <w:b w:val="0"/>
          <w:bCs w:val="0"/>
        </w:rPr>
      </w:pPr>
    </w:p>
    <w:p w:rsidR="00180F94" w:rsidRPr="00BA236B" w:rsidP="00180F94">
      <w:pPr>
        <w:pStyle w:val="BodyText"/>
        <w:bidi w:val="0"/>
        <w:ind w:firstLine="284"/>
        <w:jc w:val="both"/>
        <w:rPr>
          <w:rFonts w:ascii="Times New Roman" w:hAnsi="Times New Roman"/>
          <w:b w:val="0"/>
          <w:bCs w:val="0"/>
        </w:rPr>
      </w:pPr>
      <w:r w:rsidRPr="00BA236B">
        <w:rPr>
          <w:rFonts w:ascii="Times New Roman" w:hAnsi="Times New Roman"/>
          <w:b w:val="0"/>
          <w:bCs w:val="0"/>
        </w:rPr>
        <w:t>Národná rada Slovenskej republiky sa uzniesla na tomto zákone:</w:t>
      </w:r>
    </w:p>
    <w:p w:rsidR="00180F94" w:rsidRPr="00BA236B" w:rsidP="00180F94">
      <w:pPr>
        <w:pStyle w:val="BodyText"/>
        <w:bidi w:val="0"/>
        <w:rPr>
          <w:rFonts w:ascii="Times New Roman" w:hAnsi="Times New Roman"/>
          <w:b w:val="0"/>
        </w:rPr>
      </w:pPr>
    </w:p>
    <w:p w:rsidR="00180F94" w:rsidRPr="00BA236B" w:rsidP="00180F94">
      <w:pPr>
        <w:pStyle w:val="BodyText"/>
        <w:bidi w:val="0"/>
        <w:rPr>
          <w:rFonts w:ascii="Times New Roman" w:hAnsi="Times New Roman"/>
          <w:b w:val="0"/>
        </w:rPr>
      </w:pPr>
    </w:p>
    <w:p w:rsidR="00180F94" w:rsidP="00180F94">
      <w:pPr>
        <w:pStyle w:val="BodyText"/>
        <w:bidi w:val="0"/>
        <w:rPr>
          <w:rFonts w:ascii="Times New Roman" w:hAnsi="Times New Roman"/>
          <w:b w:val="0"/>
        </w:rPr>
      </w:pPr>
      <w:r w:rsidRPr="00BA236B">
        <w:rPr>
          <w:rFonts w:ascii="Times New Roman" w:hAnsi="Times New Roman"/>
          <w:b w:val="0"/>
        </w:rPr>
        <w:t>Čl. I</w:t>
      </w:r>
    </w:p>
    <w:p w:rsidR="000C77F7" w:rsidRPr="00BA236B" w:rsidP="00180F94">
      <w:pPr>
        <w:pStyle w:val="BodyText"/>
        <w:bidi w:val="0"/>
        <w:rPr>
          <w:rFonts w:ascii="Times New Roman" w:hAnsi="Times New Roman"/>
          <w:b w:val="0"/>
        </w:rPr>
      </w:pPr>
    </w:p>
    <w:p w:rsidR="00180F94" w:rsidRPr="00BA236B" w:rsidP="00180F94">
      <w:pPr>
        <w:pStyle w:val="BodyText"/>
        <w:bidi w:val="0"/>
        <w:jc w:val="both"/>
        <w:rPr>
          <w:rFonts w:ascii="Times New Roman" w:hAnsi="Times New Roman"/>
          <w:b w:val="0"/>
          <w:bCs w:val="0"/>
        </w:rPr>
      </w:pPr>
    </w:p>
    <w:p w:rsidR="00180F94" w:rsidRPr="00BA236B" w:rsidP="00180F94">
      <w:pPr>
        <w:pStyle w:val="Zkladntext"/>
        <w:bidi w:val="0"/>
        <w:jc w:val="both"/>
        <w:rPr>
          <w:rFonts w:ascii="Times New Roman" w:hAnsi="Times New Roman"/>
          <w:color w:val="auto"/>
        </w:rPr>
      </w:pPr>
      <w:r w:rsidRPr="00BA236B">
        <w:rPr>
          <w:rFonts w:ascii="Times New Roman" w:hAnsi="Times New Roman"/>
          <w:color w:val="auto"/>
        </w:rPr>
        <w:t>Zákon č. 309/2009 Z. z. o podpore obnoviteľných zdrojov energie a vysoko účinnej kombinovanej výroby a o zmene a doplnení niektorých zákonov v znení zákona č. 492/2010 Z. z., zákona č. 558/2010 Z. z., zákona č. 136/2011 Z. z., zákona č. 189/2012 Z. z., zákona č. 373/2012 Z. z., zákona č. 30/2013 Z. z. a zákona č. 218/2013 Z. z. sa mení a dopĺňa takto:</w:t>
      </w:r>
    </w:p>
    <w:p w:rsidR="00180F94" w:rsidRPr="00BA236B" w:rsidP="00180F94">
      <w:pPr>
        <w:bidi w:val="0"/>
        <w:rPr>
          <w:rFonts w:ascii="Times New Roman" w:hAnsi="Times New Roman"/>
        </w:rPr>
      </w:pPr>
    </w:p>
    <w:p w:rsidR="00180F94" w:rsidRPr="00BA236B" w:rsidP="00180F94">
      <w:pPr>
        <w:numPr>
          <w:numId w:val="5"/>
        </w:numPr>
        <w:bidi w:val="0"/>
        <w:ind w:left="284" w:hanging="284"/>
        <w:jc w:val="both"/>
        <w:rPr>
          <w:rFonts w:ascii="Times New Roman" w:hAnsi="Times New Roman"/>
        </w:rPr>
      </w:pPr>
      <w:r w:rsidRPr="00BA236B">
        <w:rPr>
          <w:rFonts w:ascii="Times New Roman" w:hAnsi="Times New Roman"/>
        </w:rPr>
        <w:t>Poznámky pod čiarou k odkazom 1 až 3 znejú:</w:t>
      </w:r>
    </w:p>
    <w:p w:rsidR="00180F94" w:rsidRPr="00BA236B" w:rsidP="00180F94">
      <w:pPr>
        <w:bidi w:val="0"/>
        <w:ind w:left="567" w:hanging="283"/>
        <w:rPr>
          <w:rFonts w:ascii="Times New Roman" w:hAnsi="Times New Roman"/>
        </w:rPr>
      </w:pPr>
      <w:r w:rsidRPr="00BA236B">
        <w:rPr>
          <w:rFonts w:ascii="Times New Roman" w:hAnsi="Times New Roman"/>
        </w:rPr>
        <w:t>„</w:t>
      </w:r>
      <w:r w:rsidRPr="00BA236B">
        <w:rPr>
          <w:rFonts w:ascii="Times New Roman" w:hAnsi="Times New Roman"/>
          <w:vertAlign w:val="superscript"/>
        </w:rPr>
        <w:t>1</w:t>
      </w:r>
      <w:r w:rsidRPr="00BA236B">
        <w:rPr>
          <w:rFonts w:ascii="Times New Roman" w:hAnsi="Times New Roman"/>
        </w:rPr>
        <w:t xml:space="preserve">) § 2 písm. b) prvý bod zákona č. 251/2012 Z. z. o energetike a o zmene a doplnení   </w:t>
      </w:r>
    </w:p>
    <w:p w:rsidR="00180F94" w:rsidRPr="00BA236B" w:rsidP="00180F94">
      <w:pPr>
        <w:bidi w:val="0"/>
        <w:ind w:left="567" w:hanging="283"/>
        <w:rPr>
          <w:rFonts w:ascii="Times New Roman" w:hAnsi="Times New Roman"/>
        </w:rPr>
      </w:pPr>
      <w:r w:rsidRPr="00BA236B">
        <w:rPr>
          <w:rFonts w:ascii="Times New Roman" w:hAnsi="Times New Roman"/>
        </w:rPr>
        <w:t xml:space="preserve">      niektorých  zákonov v znení neskorších predpisov.</w:t>
      </w:r>
    </w:p>
    <w:p w:rsidR="00180F94" w:rsidRPr="00BA236B" w:rsidP="00180F94">
      <w:pPr>
        <w:tabs>
          <w:tab w:val="num" w:pos="426"/>
        </w:tabs>
        <w:bidi w:val="0"/>
        <w:ind w:left="426" w:hanging="142"/>
        <w:rPr>
          <w:rFonts w:ascii="Times New Roman" w:hAnsi="Times New Roman"/>
        </w:rPr>
      </w:pPr>
      <w:r w:rsidRPr="00BA236B">
        <w:rPr>
          <w:rFonts w:ascii="Times New Roman" w:hAnsi="Times New Roman"/>
          <w:vertAlign w:val="superscript"/>
        </w:rPr>
        <w:t xml:space="preserve">   2</w:t>
      </w:r>
      <w:r w:rsidRPr="00BA236B">
        <w:rPr>
          <w:rFonts w:ascii="Times New Roman" w:hAnsi="Times New Roman"/>
        </w:rPr>
        <w:t>) § 3 písm. b) prvý bod zákona č. 251/2012 Z. z.</w:t>
      </w:r>
    </w:p>
    <w:p w:rsidR="00180F94" w:rsidRPr="00BA236B" w:rsidP="00180F94">
      <w:pPr>
        <w:pStyle w:val="poznamka"/>
        <w:tabs>
          <w:tab w:val="num" w:pos="567"/>
          <w:tab w:val="left" w:pos="7560"/>
        </w:tabs>
        <w:bidi w:val="0"/>
        <w:spacing w:before="0" w:beforeAutospacing="0" w:after="0" w:afterAutospacing="0"/>
        <w:ind w:left="426" w:hanging="142"/>
        <w:jc w:val="both"/>
        <w:rPr>
          <w:rFonts w:ascii="Times New Roman" w:hAnsi="Times New Roman" w:cs="Times New Roman"/>
          <w:color w:val="auto"/>
          <w:sz w:val="24"/>
          <w:szCs w:val="24"/>
        </w:rPr>
      </w:pPr>
      <w:r w:rsidRPr="00BA236B">
        <w:rPr>
          <w:rFonts w:ascii="Times New Roman" w:hAnsi="Times New Roman" w:cs="Times New Roman"/>
          <w:color w:val="auto"/>
          <w:sz w:val="24"/>
          <w:szCs w:val="24"/>
          <w:vertAlign w:val="superscript"/>
        </w:rPr>
        <w:t xml:space="preserve">  </w:t>
      </w:r>
      <w:r w:rsidR="000C77F7">
        <w:rPr>
          <w:rFonts w:ascii="Times New Roman" w:hAnsi="Times New Roman" w:cs="Times New Roman"/>
          <w:color w:val="auto"/>
          <w:sz w:val="24"/>
          <w:szCs w:val="24"/>
          <w:vertAlign w:val="superscript"/>
        </w:rPr>
        <w:t xml:space="preserve"> </w:t>
      </w:r>
      <w:r w:rsidRPr="00BA236B">
        <w:rPr>
          <w:rFonts w:ascii="Times New Roman" w:hAnsi="Times New Roman" w:cs="Times New Roman"/>
          <w:color w:val="auto"/>
          <w:sz w:val="24"/>
          <w:szCs w:val="24"/>
          <w:vertAlign w:val="superscript"/>
        </w:rPr>
        <w:t>3</w:t>
      </w:r>
      <w:r w:rsidRPr="00BA236B">
        <w:rPr>
          <w:rFonts w:ascii="Times New Roman" w:hAnsi="Times New Roman" w:cs="Times New Roman"/>
          <w:color w:val="auto"/>
          <w:sz w:val="24"/>
          <w:szCs w:val="24"/>
        </w:rPr>
        <w:t xml:space="preserve">) § 82 zákona č. 50/1976 Zb. o územnom plánovaní a stavebnom poriadku (stavebný  </w:t>
      </w:r>
    </w:p>
    <w:p w:rsidR="00180F94" w:rsidRPr="00BA236B" w:rsidP="00180F94">
      <w:pPr>
        <w:pStyle w:val="poznamka"/>
        <w:tabs>
          <w:tab w:val="num" w:pos="567"/>
          <w:tab w:val="left" w:pos="7560"/>
        </w:tabs>
        <w:bidi w:val="0"/>
        <w:spacing w:before="0" w:beforeAutospacing="0" w:after="0" w:afterAutospacing="0"/>
        <w:ind w:left="426" w:hanging="142"/>
        <w:jc w:val="both"/>
        <w:rPr>
          <w:rFonts w:ascii="Times New Roman" w:hAnsi="Times New Roman" w:cs="Times New Roman"/>
          <w:color w:val="auto"/>
          <w:sz w:val="24"/>
          <w:szCs w:val="24"/>
        </w:rPr>
      </w:pPr>
      <w:r w:rsidRPr="00BA236B">
        <w:rPr>
          <w:rFonts w:ascii="Times New Roman" w:hAnsi="Times New Roman" w:cs="Times New Roman"/>
          <w:color w:val="auto"/>
          <w:sz w:val="24"/>
          <w:szCs w:val="24"/>
        </w:rPr>
        <w:t xml:space="preserve">      zákon) v znení neskorších predpisov.“.</w:t>
      </w:r>
    </w:p>
    <w:p w:rsidR="00180F94" w:rsidRPr="00BA236B" w:rsidP="00180F94">
      <w:pPr>
        <w:pStyle w:val="poznamka"/>
        <w:tabs>
          <w:tab w:val="num" w:pos="426"/>
          <w:tab w:val="left" w:pos="7560"/>
        </w:tabs>
        <w:bidi w:val="0"/>
        <w:spacing w:before="0" w:beforeAutospacing="0" w:after="0" w:afterAutospacing="0"/>
        <w:ind w:left="709" w:hanging="283"/>
        <w:jc w:val="both"/>
        <w:rPr>
          <w:rFonts w:ascii="Times New Roman" w:hAnsi="Times New Roman" w:cs="Times New Roman"/>
          <w:color w:val="auto"/>
          <w:sz w:val="24"/>
          <w:szCs w:val="24"/>
        </w:rPr>
      </w:pPr>
    </w:p>
    <w:p w:rsidR="00180F94" w:rsidRPr="00BA236B" w:rsidP="00180F94">
      <w:pPr>
        <w:pStyle w:val="BodyText"/>
        <w:numPr>
          <w:numId w:val="5"/>
        </w:numPr>
        <w:tabs>
          <w:tab w:val="left" w:pos="284"/>
        </w:tabs>
        <w:bidi w:val="0"/>
        <w:ind w:left="284" w:hanging="284"/>
        <w:jc w:val="both"/>
        <w:rPr>
          <w:rFonts w:ascii="Times New Roman" w:hAnsi="Times New Roman"/>
          <w:b w:val="0"/>
          <w:bCs w:val="0"/>
        </w:rPr>
      </w:pPr>
      <w:r w:rsidRPr="00BA236B">
        <w:rPr>
          <w:rFonts w:ascii="Times New Roman" w:hAnsi="Times New Roman"/>
          <w:b w:val="0"/>
          <w:bCs w:val="0"/>
        </w:rPr>
        <w:t>V § 2 sa odsek 3 dopĺňa písmenom k), ktoré znie:</w:t>
      </w:r>
    </w:p>
    <w:p w:rsidR="00180F94" w:rsidRPr="00BA236B" w:rsidP="00180F94">
      <w:pPr>
        <w:pStyle w:val="BodyText"/>
        <w:tabs>
          <w:tab w:val="left" w:pos="284"/>
        </w:tabs>
        <w:bidi w:val="0"/>
        <w:ind w:left="284"/>
        <w:jc w:val="both"/>
        <w:rPr>
          <w:rFonts w:ascii="Times New Roman" w:hAnsi="Times New Roman"/>
          <w:b w:val="0"/>
          <w:bCs w:val="0"/>
        </w:rPr>
      </w:pPr>
      <w:r w:rsidRPr="00BA236B">
        <w:rPr>
          <w:rFonts w:ascii="Times New Roman" w:hAnsi="Times New Roman"/>
          <w:b w:val="0"/>
          <w:bCs w:val="0"/>
        </w:rPr>
        <w:t>„k) malým zdrojom zariadenie na výrobu elektriny</w:t>
      </w:r>
      <w:r w:rsidRPr="00BA236B">
        <w:rPr>
          <w:rFonts w:ascii="Times New Roman" w:hAnsi="Times New Roman"/>
          <w:b w:val="0"/>
        </w:rPr>
        <w:t xml:space="preserve"> z obnoviteľného zdroja energie</w:t>
      </w:r>
      <w:r w:rsidRPr="00BA236B">
        <w:rPr>
          <w:rFonts w:ascii="Times New Roman" w:hAnsi="Times New Roman"/>
          <w:b w:val="0"/>
          <w:bCs w:val="0"/>
        </w:rPr>
        <w:t xml:space="preserve"> </w:t>
      </w:r>
      <w:r w:rsidRPr="00BA236B">
        <w:rPr>
          <w:rFonts w:ascii="Times New Roman" w:hAnsi="Times New Roman"/>
          <w:b w:val="0"/>
          <w:bCs w:val="0"/>
        </w:rPr>
        <w:t>s celkovým inštalovaným výkonom do 10 kW.“.</w:t>
      </w:r>
    </w:p>
    <w:p w:rsidR="00180F94" w:rsidRPr="00BA236B" w:rsidP="00180F94">
      <w:pPr>
        <w:tabs>
          <w:tab w:val="num" w:pos="426"/>
        </w:tabs>
        <w:bidi w:val="0"/>
        <w:ind w:left="426"/>
        <w:jc w:val="both"/>
        <w:rPr>
          <w:rFonts w:ascii="Times New Roman" w:hAnsi="Times New Roman"/>
          <w:bCs/>
        </w:rPr>
      </w:pPr>
    </w:p>
    <w:p w:rsidR="00180F94" w:rsidRPr="00BA236B" w:rsidP="00180F94">
      <w:pPr>
        <w:pStyle w:val="BodyText2"/>
        <w:numPr>
          <w:numId w:val="5"/>
        </w:numPr>
        <w:tabs>
          <w:tab w:val="num" w:pos="284"/>
        </w:tabs>
        <w:bidi w:val="0"/>
        <w:spacing w:after="0" w:line="240" w:lineRule="auto"/>
        <w:ind w:left="284" w:hanging="284"/>
        <w:rPr>
          <w:rFonts w:ascii="Times New Roman" w:hAnsi="Times New Roman"/>
        </w:rPr>
      </w:pPr>
      <w:r w:rsidRPr="00BA236B">
        <w:rPr>
          <w:rFonts w:ascii="Times New Roman" w:hAnsi="Times New Roman"/>
        </w:rPr>
        <w:t>V § 3 ods. 3 písmeno b) znie:</w:t>
      </w:r>
    </w:p>
    <w:p w:rsidR="00180F94" w:rsidRPr="00BA236B" w:rsidP="00180F94">
      <w:pPr>
        <w:pStyle w:val="BodyText2"/>
        <w:tabs>
          <w:tab w:val="num" w:pos="284"/>
        </w:tabs>
        <w:bidi w:val="0"/>
        <w:spacing w:after="0" w:line="240" w:lineRule="auto"/>
        <w:ind w:left="284"/>
        <w:jc w:val="both"/>
        <w:rPr>
          <w:rFonts w:ascii="Times New Roman" w:hAnsi="Times New Roman"/>
        </w:rPr>
      </w:pPr>
      <w:r w:rsidRPr="00BA236B">
        <w:rPr>
          <w:rFonts w:ascii="Times New Roman" w:hAnsi="Times New Roman"/>
        </w:rPr>
        <w:t xml:space="preserve">„b) s celkovým inštalovaným výkonom do 200 MW, ak je elektrina vyrábaná vysoko účinnou kombinovanou výrobou a energetický podiel obnoviteľných zdrojov energie v palive je vyšší ako 30 % alebo energetický podiel </w:t>
      </w:r>
      <w:r w:rsidRPr="00BA236B">
        <w:rPr>
          <w:rFonts w:ascii="Times New Roman" w:hAnsi="Times New Roman"/>
          <w:bCs/>
        </w:rPr>
        <w:t>plynov vznikajúcich ako vedľajší produkt v metalurgickom výrobnom procese</w:t>
      </w:r>
      <w:r w:rsidRPr="00BA236B">
        <w:rPr>
          <w:rFonts w:ascii="Times New Roman" w:hAnsi="Times New Roman"/>
        </w:rPr>
        <w:t xml:space="preserve"> v palive je vyšší ako 40 % .“.</w:t>
      </w:r>
    </w:p>
    <w:p w:rsidR="00180F94" w:rsidRPr="00BA236B" w:rsidP="00180F94">
      <w:pPr>
        <w:pStyle w:val="BodyText2"/>
        <w:tabs>
          <w:tab w:val="num" w:pos="426"/>
        </w:tabs>
        <w:bidi w:val="0"/>
        <w:spacing w:after="0" w:line="240" w:lineRule="auto"/>
        <w:ind w:left="426"/>
        <w:jc w:val="both"/>
        <w:rPr>
          <w:rFonts w:ascii="Times New Roman" w:hAnsi="Times New Roman"/>
        </w:rPr>
      </w:pPr>
    </w:p>
    <w:p w:rsidR="00180F94" w:rsidRPr="00BA236B" w:rsidP="00180F94">
      <w:pPr>
        <w:tabs>
          <w:tab w:val="num" w:pos="0"/>
        </w:tabs>
        <w:bidi w:val="0"/>
        <w:jc w:val="both"/>
        <w:rPr>
          <w:rFonts w:ascii="Times New Roman" w:hAnsi="Times New Roman"/>
        </w:rPr>
      </w:pPr>
      <w:r w:rsidRPr="00BA236B">
        <w:rPr>
          <w:rFonts w:ascii="Times New Roman" w:hAnsi="Times New Roman"/>
        </w:rPr>
        <w:t xml:space="preserve"> 4.  Poznámky pod čiarou k odkazom 3a, 4 až 6 a 8 znejú: </w:t>
      </w:r>
    </w:p>
    <w:p w:rsidR="00180F94" w:rsidRPr="00BA236B" w:rsidP="00180F94">
      <w:pPr>
        <w:tabs>
          <w:tab w:val="num" w:pos="0"/>
          <w:tab w:val="left" w:pos="709"/>
        </w:tabs>
        <w:bidi w:val="0"/>
        <w:ind w:left="709" w:hanging="425"/>
        <w:rPr>
          <w:rFonts w:ascii="Times New Roman" w:hAnsi="Times New Roman"/>
        </w:rPr>
      </w:pPr>
      <w:r w:rsidRPr="00BA236B">
        <w:rPr>
          <w:rFonts w:ascii="Times New Roman" w:hAnsi="Times New Roman"/>
        </w:rPr>
        <w:t>„</w:t>
      </w:r>
      <w:r w:rsidRPr="00BA236B">
        <w:rPr>
          <w:rFonts w:ascii="Times New Roman" w:hAnsi="Times New Roman"/>
          <w:vertAlign w:val="superscript"/>
        </w:rPr>
        <w:t>3a</w:t>
      </w:r>
      <w:r w:rsidRPr="00BA236B">
        <w:rPr>
          <w:rFonts w:ascii="Times New Roman" w:hAnsi="Times New Roman"/>
        </w:rPr>
        <w:t xml:space="preserve">) STN EN Kvapalné ropné výrobky. </w:t>
      </w:r>
      <w:r w:rsidR="000C77F7">
        <w:rPr>
          <w:rFonts w:ascii="Times New Roman" w:hAnsi="Times New Roman"/>
        </w:rPr>
        <w:t xml:space="preserve"> </w:t>
      </w:r>
      <w:r w:rsidRPr="00BA236B">
        <w:rPr>
          <w:rFonts w:ascii="Times New Roman" w:hAnsi="Times New Roman"/>
        </w:rPr>
        <w:t>Metylestery mastných kyselín (FAME) pre vznetové motory a na vykurovanie. Požiadavky a skúšobné metódy (656531).</w:t>
      </w:r>
    </w:p>
    <w:p w:rsidR="00180F94" w:rsidRPr="00BA236B" w:rsidP="00180F94">
      <w:pPr>
        <w:tabs>
          <w:tab w:val="num" w:pos="-567"/>
          <w:tab w:val="left" w:pos="567"/>
        </w:tabs>
        <w:bidi w:val="0"/>
        <w:ind w:left="284"/>
        <w:rPr>
          <w:rFonts w:ascii="Times New Roman" w:hAnsi="Times New Roman"/>
        </w:rPr>
      </w:pPr>
      <w:r w:rsidRPr="00BA236B">
        <w:rPr>
          <w:rFonts w:ascii="Times New Roman" w:hAnsi="Times New Roman"/>
          <w:vertAlign w:val="superscript"/>
        </w:rPr>
        <w:t xml:space="preserve">    4</w:t>
      </w:r>
      <w:r w:rsidRPr="00BA236B">
        <w:rPr>
          <w:rFonts w:ascii="Times New Roman" w:hAnsi="Times New Roman"/>
        </w:rPr>
        <w:t xml:space="preserve">) § 2 písm. b) dvadsiaty piaty bod zákona č. 251/2012 Z. z. </w:t>
      </w:r>
    </w:p>
    <w:p w:rsidR="00180F94" w:rsidRPr="00BA236B" w:rsidP="00180F94">
      <w:pPr>
        <w:tabs>
          <w:tab w:val="num" w:pos="-567"/>
        </w:tabs>
        <w:bidi w:val="0"/>
        <w:ind w:left="567" w:hanging="141"/>
        <w:jc w:val="both"/>
        <w:rPr>
          <w:rFonts w:ascii="Times New Roman" w:hAnsi="Times New Roman"/>
        </w:rPr>
      </w:pPr>
      <w:r w:rsidRPr="00BA236B">
        <w:rPr>
          <w:rFonts w:ascii="Times New Roman" w:hAnsi="Times New Roman"/>
          <w:vertAlign w:val="superscript"/>
        </w:rPr>
        <w:t>5</w:t>
      </w:r>
      <w:r w:rsidRPr="00BA236B">
        <w:rPr>
          <w:rFonts w:ascii="Times New Roman" w:hAnsi="Times New Roman"/>
        </w:rPr>
        <w:t xml:space="preserve">) § 2 písm. a) dvanásty bod zákona č. 251/2012 Z. z. </w:t>
      </w:r>
    </w:p>
    <w:p w:rsidR="00180F94" w:rsidRPr="00BA236B" w:rsidP="00180F94">
      <w:pPr>
        <w:tabs>
          <w:tab w:val="num" w:pos="-567"/>
        </w:tabs>
        <w:bidi w:val="0"/>
        <w:ind w:left="567" w:hanging="141"/>
        <w:jc w:val="both"/>
        <w:rPr>
          <w:rFonts w:ascii="Times New Roman" w:hAnsi="Times New Roman"/>
        </w:rPr>
      </w:pPr>
      <w:r w:rsidRPr="00BA236B">
        <w:rPr>
          <w:rFonts w:ascii="Times New Roman" w:hAnsi="Times New Roman"/>
          <w:vertAlign w:val="superscript"/>
        </w:rPr>
        <w:t>6</w:t>
      </w:r>
      <w:r w:rsidRPr="00BA236B">
        <w:rPr>
          <w:rFonts w:ascii="Times New Roman" w:hAnsi="Times New Roman"/>
        </w:rPr>
        <w:t xml:space="preserve">) § 2 písm. b) pätnásty bod zákona č. 251/2012 Z. z. </w:t>
      </w:r>
    </w:p>
    <w:p w:rsidR="00180F94" w:rsidRPr="00BA236B" w:rsidP="00180F94">
      <w:pPr>
        <w:pStyle w:val="BodyText2"/>
        <w:tabs>
          <w:tab w:val="num" w:pos="426"/>
        </w:tabs>
        <w:bidi w:val="0"/>
        <w:spacing w:after="0" w:line="240" w:lineRule="auto"/>
        <w:ind w:left="567" w:hanging="141"/>
        <w:rPr>
          <w:rFonts w:ascii="Times New Roman" w:hAnsi="Times New Roman"/>
        </w:rPr>
      </w:pPr>
      <w:r w:rsidRPr="00BA236B">
        <w:rPr>
          <w:rFonts w:ascii="Times New Roman" w:hAnsi="Times New Roman"/>
          <w:vertAlign w:val="superscript"/>
        </w:rPr>
        <w:t>8</w:t>
      </w:r>
      <w:r w:rsidRPr="00BA236B">
        <w:rPr>
          <w:rFonts w:ascii="Times New Roman" w:hAnsi="Times New Roman"/>
        </w:rPr>
        <w:t>) § 2 písm. b) devätnásty bod zákona č. 251/2012 Z. z.“.</w:t>
      </w:r>
    </w:p>
    <w:p w:rsidR="00180F94" w:rsidRPr="00BA236B" w:rsidP="00180F94">
      <w:pPr>
        <w:pStyle w:val="BodyText2"/>
        <w:tabs>
          <w:tab w:val="num" w:pos="426"/>
        </w:tabs>
        <w:bidi w:val="0"/>
        <w:spacing w:after="0" w:line="240" w:lineRule="auto"/>
        <w:ind w:left="426"/>
        <w:rPr>
          <w:rFonts w:ascii="Times New Roman" w:hAnsi="Times New Roman"/>
        </w:rPr>
      </w:pPr>
      <w:r w:rsidRPr="00BA236B">
        <w:rPr>
          <w:rFonts w:ascii="Times New Roman" w:hAnsi="Times New Roman"/>
        </w:rPr>
        <w:t xml:space="preserve"> </w:t>
      </w:r>
    </w:p>
    <w:p w:rsidR="00180F94" w:rsidRPr="00BA236B" w:rsidP="00180F94">
      <w:pPr>
        <w:pStyle w:val="BodyText2"/>
        <w:numPr>
          <w:numId w:val="7"/>
        </w:numPr>
        <w:bidi w:val="0"/>
        <w:spacing w:after="0" w:line="240" w:lineRule="auto"/>
        <w:ind w:left="426"/>
        <w:rPr>
          <w:rFonts w:ascii="Times New Roman" w:hAnsi="Times New Roman"/>
        </w:rPr>
      </w:pPr>
      <w:r w:rsidRPr="00BA236B">
        <w:rPr>
          <w:rFonts w:ascii="Times New Roman" w:hAnsi="Times New Roman"/>
          <w:bCs/>
        </w:rPr>
        <w:t xml:space="preserve">V § 3 odsek 4 znie:  </w:t>
      </w:r>
    </w:p>
    <w:p w:rsidR="00180F94" w:rsidRPr="00BA236B" w:rsidP="00180F94">
      <w:pPr>
        <w:pStyle w:val="BodyText2"/>
        <w:tabs>
          <w:tab w:val="num" w:pos="426"/>
        </w:tabs>
        <w:bidi w:val="0"/>
        <w:spacing w:after="0" w:line="240" w:lineRule="auto"/>
        <w:ind w:left="426"/>
        <w:jc w:val="both"/>
        <w:rPr>
          <w:rFonts w:ascii="Times New Roman" w:hAnsi="Times New Roman"/>
        </w:rPr>
      </w:pPr>
      <w:r w:rsidRPr="00BA236B">
        <w:rPr>
          <w:rFonts w:ascii="Times New Roman" w:hAnsi="Times New Roman"/>
        </w:rPr>
        <w:t>„(4) Podpora podľa odseku 1 písm. c) sa vzťahuje na</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a)  všetku elektrinu vyrobenú z obnoviteľných zdrojov energie v zariadení výrobcu   elektriny s celkovým inštalovaným výkonom do 5 MW vrátane,</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b) všetku elektrinu vyrobenú vysoko účinnou kombinovanou výrobou v zariadení na kombinovanú výrobu s celkovým inštalovaným výkonom do 5 MW vrátane,</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c)  elektrinu zodpovedajúcu pomernému množstvu celkovej vyrobenej elektriny v zariadení výrobcu elektriny s celkovým inštalovaným výkonom nad 5 MW, pričom pomer sa počíta ako podiel 5 MW k celkovému inštalovanému výkonu,</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d) celú výrobu elektriny v zariadení výrobcu elektriny využívajúcom ako zdroj veternú energiu s celkovým inštalovaným výkonom do 15 MW vrátane,</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e)  elektrinu zodpovedajúcu pomernému množstvu celkovej vyrobenej elektriny v zariadení výrobcu elektriny využívajúcom ako zdroj veternú energiu s celkovým inštalovaným výkonom nad 15 MW, pričom pomer sa počíta ako podiel 15 MW k celkovému inštalovanému výkonu,</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f)  všetku elektrinu vyrobenú vysoko účinnou kombinovanou výrobou s celkovým inštalovaným výkonom nad 5 MW, ak podiel tepla dodaného na technologické účely je najviac 40 % z využiteľného tepla,</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g)  všetku elektrinu z obnoviteľných zdrojov energie vyrobenú kombinovanou výrobou s celkovým inštalovaným výkonom nad 5 MW, ak podiel obnoviteľných zdrojov energie v palive je vyšší ako 20 % a podiel tepla dodaného na technologické účely je najviac 40 % z využiteľného tepla,</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rPr>
        <w:t>h)  všetku elektrinu z obnoviteľných zdrojov energie vyrobenú v zariadení na kombinovanú výrobu s celkovým inštalovaným výkonom nad 10 MW, ak podiel obnoviteľných zdrojov energie v palive je vyšší ako 30 % a podiel tepla dodaného na technologické účely je najviac 40 % z využiteľného tepla,</w:t>
      </w:r>
    </w:p>
    <w:p w:rsidR="00180F94" w:rsidRPr="00BA236B" w:rsidP="00180F94">
      <w:pPr>
        <w:pStyle w:val="BodyText2"/>
        <w:tabs>
          <w:tab w:val="num" w:pos="709"/>
        </w:tabs>
        <w:bidi w:val="0"/>
        <w:spacing w:after="0" w:line="240" w:lineRule="auto"/>
        <w:ind w:left="709" w:hanging="283"/>
        <w:rPr>
          <w:rFonts w:ascii="Times New Roman" w:hAnsi="Times New Roman"/>
        </w:rPr>
      </w:pPr>
      <w:r w:rsidRPr="00BA236B">
        <w:rPr>
          <w:rFonts w:ascii="Times New Roman" w:hAnsi="Times New Roman"/>
          <w:noProof/>
        </w:rPr>
        <w:t xml:space="preserve">i)  všetku elektrinu </w:t>
      </w:r>
      <w:r w:rsidRPr="00BA236B">
        <w:rPr>
          <w:rFonts w:ascii="Times New Roman" w:hAnsi="Times New Roman"/>
        </w:rPr>
        <w:t xml:space="preserve">z obnoviteľných zdrojov energie vyrobenú </w:t>
      </w:r>
      <w:r w:rsidRPr="00BA236B">
        <w:rPr>
          <w:rFonts w:ascii="Times New Roman" w:hAnsi="Times New Roman"/>
          <w:noProof/>
        </w:rPr>
        <w:t xml:space="preserve">v zariadení na kombinovanú výrobu s celkovým inštalovaným výkonom nad 5 MW, ak podiel obnoviteľných zdrojov energie v palive je vyšší ako 30 % a </w:t>
      </w:r>
      <w:r w:rsidRPr="00BA236B">
        <w:rPr>
          <w:rFonts w:ascii="Times New Roman" w:hAnsi="Times New Roman"/>
        </w:rPr>
        <w:t>podiel tepla dodaného na technologické účely je najviac 40 % z využiteľného tepla,</w:t>
      </w:r>
    </w:p>
    <w:p w:rsidR="00180F94" w:rsidRPr="00BA236B" w:rsidP="00180F94">
      <w:pPr>
        <w:pStyle w:val="BodyText2"/>
        <w:tabs>
          <w:tab w:val="num" w:pos="709"/>
        </w:tabs>
        <w:bidi w:val="0"/>
        <w:spacing w:after="0" w:line="240" w:lineRule="auto"/>
        <w:ind w:left="709" w:hanging="283"/>
        <w:rPr>
          <w:rFonts w:ascii="Times New Roman" w:hAnsi="Times New Roman"/>
          <w:noProof/>
        </w:rPr>
      </w:pPr>
      <w:r w:rsidRPr="00BA236B">
        <w:rPr>
          <w:rFonts w:ascii="Times New Roman" w:hAnsi="Times New Roman"/>
          <w:bCs/>
        </w:rPr>
        <w:t xml:space="preserve">j) </w:t>
      </w:r>
      <w:r w:rsidRPr="00BA236B">
        <w:rPr>
          <w:rFonts w:ascii="Times New Roman" w:hAnsi="Times New Roman"/>
        </w:rPr>
        <w:t xml:space="preserve"> všetku elektrinu vyrobenú vysoko účinnou kombinovanou výrobou s celkovým inštalovaným výkonom nad 5 MW, ak energetický podiel </w:t>
      </w:r>
      <w:r w:rsidRPr="00BA236B">
        <w:rPr>
          <w:rFonts w:ascii="Times New Roman" w:hAnsi="Times New Roman"/>
          <w:bCs/>
        </w:rPr>
        <w:t>plynov vznikajúcich ako vedľajší produkt v metalurgickom výrobnom procese</w:t>
      </w:r>
      <w:r w:rsidRPr="00BA236B">
        <w:rPr>
          <w:rFonts w:ascii="Times New Roman" w:hAnsi="Times New Roman"/>
        </w:rPr>
        <w:t xml:space="preserve"> v palive  je vyšší ako 40 %.“.</w:t>
      </w:r>
    </w:p>
    <w:p w:rsidR="00180F94" w:rsidRPr="00BA236B" w:rsidP="00180F94">
      <w:pPr>
        <w:tabs>
          <w:tab w:val="num" w:pos="426"/>
        </w:tabs>
        <w:bidi w:val="0"/>
        <w:ind w:left="426"/>
        <w:rPr>
          <w:rFonts w:ascii="Times New Roman" w:hAnsi="Times New Roman"/>
          <w:bCs/>
        </w:rPr>
      </w:pPr>
    </w:p>
    <w:p w:rsidR="00180F94" w:rsidRPr="00BA236B" w:rsidP="00180F94">
      <w:pPr>
        <w:numPr>
          <w:numId w:val="7"/>
        </w:numPr>
        <w:bidi w:val="0"/>
        <w:ind w:left="426"/>
        <w:jc w:val="both"/>
        <w:rPr>
          <w:rFonts w:ascii="Times New Roman" w:hAnsi="Times New Roman"/>
        </w:rPr>
      </w:pPr>
      <w:r w:rsidRPr="00BA236B">
        <w:rPr>
          <w:rFonts w:ascii="Times New Roman" w:hAnsi="Times New Roman"/>
        </w:rPr>
        <w:t xml:space="preserve">V § 3 ods. 6 sa slová „do 1 MW“ nahrádzajú slovami „do 500 kW“.   </w:t>
      </w:r>
    </w:p>
    <w:p w:rsidR="00180F94" w:rsidRPr="00BA236B" w:rsidP="00180F94">
      <w:pPr>
        <w:tabs>
          <w:tab w:val="num" w:pos="426"/>
        </w:tabs>
        <w:bidi w:val="0"/>
        <w:ind w:left="426"/>
        <w:jc w:val="both"/>
        <w:rPr>
          <w:rFonts w:ascii="Times New Roman" w:hAnsi="Times New Roman"/>
        </w:rPr>
      </w:pPr>
    </w:p>
    <w:p w:rsidR="00180F94" w:rsidRPr="00BA236B" w:rsidP="00180F94">
      <w:pPr>
        <w:numPr>
          <w:numId w:val="7"/>
        </w:numPr>
        <w:bidi w:val="0"/>
        <w:ind w:left="426"/>
        <w:jc w:val="both"/>
        <w:rPr>
          <w:rFonts w:ascii="Times New Roman" w:hAnsi="Times New Roman"/>
        </w:rPr>
      </w:pPr>
      <w:r w:rsidRPr="00BA236B">
        <w:rPr>
          <w:rFonts w:ascii="Times New Roman" w:hAnsi="Times New Roman"/>
        </w:rPr>
        <w:t>V § 3 odseky 7 až 9 znejú:</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„(7) </w:t>
      </w:r>
      <w:r w:rsidRPr="00BA236B">
        <w:rPr>
          <w:rFonts w:ascii="Times New Roman" w:hAnsi="Times New Roman"/>
          <w:color w:val="000000"/>
        </w:rPr>
        <w:t xml:space="preserve">Rekonštrukcia alebo modernizácia technologickej časti zariadenia výrobcu elektriny  musí zabezpečiť technologické zhodnotenie zariadenia spočívajúce najmä v preukázateľnom zvýšení účinnosti, zvýšení inštalovaného výkonu, znížení vlastnej spotreby energie alebo znížení strát a nákladov na výrobu elektriny, ktoré výrobca preukáže znaleckým posudkom. </w:t>
      </w:r>
      <w:r w:rsidRPr="00BA236B">
        <w:rPr>
          <w:rFonts w:ascii="Times New Roman" w:hAnsi="Times New Roman"/>
        </w:rPr>
        <w:t>Ukončenie rekonštrukcie alebo modernizácie zariadenia na výrobu elektriny preukazuje výrobca elektriny právoplatným kolaudačným rozhodnutím alebo znaleckým posudkom, v ktorom sa uvedie dátum, kedy bola rekonštrukcia alebo modernizácia ukončená, ak kolaudácia stavby nebola potrebná.</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(8) Pri zariadení výrobcu elektriny </w:t>
      </w:r>
      <w:r w:rsidRPr="00BA236B" w:rsidR="00835D5D">
        <w:rPr>
          <w:rFonts w:ascii="Times New Roman" w:hAnsi="Times New Roman"/>
        </w:rPr>
        <w:t>využívajúcom</w:t>
      </w:r>
      <w:r w:rsidRPr="00BA236B">
        <w:rPr>
          <w:rFonts w:ascii="Times New Roman" w:hAnsi="Times New Roman"/>
        </w:rPr>
        <w:t xml:space="preserve"> </w:t>
      </w:r>
      <w:r w:rsidRPr="00DD3EE3">
        <w:rPr>
          <w:rFonts w:ascii="Times New Roman" w:hAnsi="Times New Roman"/>
        </w:rPr>
        <w:t>biomasu alebo produkt jej spracovania sa podpora podľa odseku 1 písm. c) vzťahuje v prípade nového</w:t>
      </w:r>
      <w:r w:rsidRPr="000C5788">
        <w:rPr>
          <w:rFonts w:ascii="Times New Roman" w:hAnsi="Times New Roman"/>
        </w:rPr>
        <w:t xml:space="preserve"> zariadenia len </w:t>
      </w:r>
      <w:r w:rsidRPr="00320F62">
        <w:rPr>
          <w:rFonts w:ascii="Times New Roman" w:hAnsi="Times New Roman"/>
        </w:rPr>
        <w:t xml:space="preserve"> </w:t>
      </w:r>
      <w:r w:rsidRPr="00BA236B">
        <w:rPr>
          <w:rFonts w:ascii="Times New Roman" w:hAnsi="Times New Roman"/>
        </w:rPr>
        <w:t>na množstvo vyrobenej elektriny z biomasy alebo produktu jej spracovania do 40 GWh vrátane. Na účely výpočtu sa podľa odseku 4 započíta množstvo elektriny vyrobenej vysoko účinnou kombinovanou výrobou určené podľa § 19 ods. 1 písm. a) a do výpočtu sa nezapočíta elektrina, ktorá je vyrobená</w:t>
      </w:r>
    </w:p>
    <w:p w:rsidR="00180F94" w:rsidRPr="00320F62" w:rsidP="00180F94">
      <w:pPr>
        <w:tabs>
          <w:tab w:val="num" w:pos="709"/>
        </w:tabs>
        <w:bidi w:val="0"/>
        <w:ind w:left="709" w:hanging="283"/>
        <w:rPr>
          <w:rFonts w:ascii="Times New Roman" w:hAnsi="Times New Roman"/>
        </w:rPr>
      </w:pPr>
      <w:r w:rsidRPr="00BA236B">
        <w:rPr>
          <w:rFonts w:ascii="Times New Roman" w:hAnsi="Times New Roman"/>
        </w:rPr>
        <w:t>a)  z biomasy, ktorá ako vstupná surovina pri spaľovaní alebo spoluspaľovaní alebo pri spracovaní na jej produkt nespĺňa požiadavky na kvalitu a parametre</w:t>
      </w:r>
      <w:r w:rsidRPr="00DD3EE3">
        <w:rPr>
          <w:rFonts w:ascii="Times New Roman" w:hAnsi="Times New Roman"/>
        </w:rPr>
        <w:t xml:space="preserve"> </w:t>
      </w:r>
      <w:r w:rsidRPr="000C5788">
        <w:rPr>
          <w:rFonts w:ascii="Times New Roman" w:hAnsi="Times New Roman"/>
        </w:rPr>
        <w:t>podľa § 19 ods. 2 písm</w:t>
      </w:r>
      <w:r w:rsidRPr="00320F62">
        <w:rPr>
          <w:rFonts w:ascii="Times New Roman" w:hAnsi="Times New Roman"/>
        </w:rPr>
        <w:t>. h),</w:t>
      </w:r>
    </w:p>
    <w:p w:rsidR="00180F94" w:rsidRPr="00DD3EE3" w:rsidP="00180F94">
      <w:pPr>
        <w:tabs>
          <w:tab w:val="num" w:pos="709"/>
        </w:tabs>
        <w:bidi w:val="0"/>
        <w:ind w:left="709" w:hanging="283"/>
        <w:rPr>
          <w:rFonts w:ascii="Times New Roman" w:hAnsi="Times New Roman"/>
        </w:rPr>
      </w:pPr>
      <w:r w:rsidRPr="00BA236B">
        <w:rPr>
          <w:rFonts w:ascii="Times New Roman" w:hAnsi="Times New Roman"/>
        </w:rPr>
        <w:t>b)  z biokvapaliny, ktorá nespĺňa kritériá trvalej udržateľnosti podľa § 19b ods. 1                 písm. a</w:t>
      </w:r>
      <w:r w:rsidRPr="00DD3EE3">
        <w:rPr>
          <w:rFonts w:ascii="Times New Roman" w:hAnsi="Times New Roman"/>
        </w:rPr>
        <w:t xml:space="preserve"> ).</w:t>
      </w:r>
    </w:p>
    <w:p w:rsidR="00180F94" w:rsidRPr="00DD3EE3" w:rsidP="00180F94">
      <w:pPr>
        <w:tabs>
          <w:tab w:val="num" w:pos="426"/>
        </w:tabs>
        <w:bidi w:val="0"/>
        <w:ind w:left="426"/>
        <w:rPr>
          <w:rFonts w:ascii="Times New Roman" w:hAnsi="Times New Roman"/>
        </w:rPr>
      </w:pPr>
    </w:p>
    <w:p w:rsidR="00180F94" w:rsidRPr="00BA236B" w:rsidP="00180F94">
      <w:pPr>
        <w:tabs>
          <w:tab w:val="num" w:pos="426"/>
        </w:tabs>
        <w:bidi w:val="0"/>
        <w:ind w:left="426"/>
        <w:jc w:val="both"/>
        <w:rPr>
          <w:rFonts w:ascii="Times New Roman" w:hAnsi="Times New Roman"/>
        </w:rPr>
      </w:pPr>
      <w:r w:rsidRPr="000C5788">
        <w:rPr>
          <w:rFonts w:ascii="Times New Roman" w:hAnsi="Times New Roman"/>
        </w:rPr>
        <w:t xml:space="preserve">(9) Výpočet podľa odseku 8 sa </w:t>
      </w:r>
      <w:r w:rsidRPr="00320F62">
        <w:rPr>
          <w:rFonts w:ascii="Times New Roman" w:hAnsi="Times New Roman"/>
        </w:rPr>
        <w:t>nepoužije pre bioplyn</w:t>
      </w:r>
      <w:r w:rsidRPr="00BA236B">
        <w:rPr>
          <w:rFonts w:ascii="Times New Roman" w:hAnsi="Times New Roman"/>
        </w:rPr>
        <w:t xml:space="preserve"> vyrobený anaeróbnou fermentáciou, plyn vyrobený termochemickým splyňovaním biomasy, ktorá neobsahuje lesnícku biomasu, v splyňovacom generátore s inštalovaným výkonom do 500 kW, skládkový plyn a plyn z čistiarní odpadových vôd a pre spaľovanie komunálnych odpadov s maximálnym podielom biologicky rozložiteľnej zložky odpadov do 55 % vrátane.“.</w:t>
      </w:r>
    </w:p>
    <w:p w:rsidR="00180F94" w:rsidRPr="00BA236B" w:rsidP="00180F94">
      <w:pPr>
        <w:tabs>
          <w:tab w:val="num" w:pos="426"/>
        </w:tabs>
        <w:bidi w:val="0"/>
        <w:ind w:left="426"/>
        <w:jc w:val="both"/>
        <w:rPr>
          <w:rFonts w:ascii="Times New Roman" w:hAnsi="Times New Roman"/>
        </w:rPr>
      </w:pPr>
    </w:p>
    <w:p w:rsidR="00180F94" w:rsidRPr="00BA236B" w:rsidP="00180F94">
      <w:pPr>
        <w:numPr>
          <w:numId w:val="7"/>
        </w:numPr>
        <w:bidi w:val="0"/>
        <w:ind w:left="426"/>
        <w:rPr>
          <w:rFonts w:ascii="Times New Roman" w:hAnsi="Times New Roman"/>
        </w:rPr>
      </w:pPr>
      <w:r w:rsidRPr="00BA236B">
        <w:rPr>
          <w:rFonts w:ascii="Times New Roman" w:hAnsi="Times New Roman"/>
        </w:rPr>
        <w:t>V § 3 odsek 11 znie:</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„(11) Pri zariadení výrobcu elektriny, ktoré vyrába elektrinu spaľovaním bioplynu získaného anaeróbnou fermentáciou a elektrinu z plynu vyrobeného termochemickým splyňovaním biomasy, a ktorý z ročnej výroby tepla nevyužije najmenej 50 % na dodávku využiteľného tepla, ktorá nezahŕňa teplo použité na energetické spracovanie zvyšku biologicky rozložiteľného odpadu, ktorý zostal po výrobe bioplynu sa cena elektriny podľa § 6 ods. 1 písm. a) znižuje o 30 %. Teplo použité na energetické spracovanie zvyšku biologicky rozložiteľného odpadu sa pre zariadenie spaľujúce bioplyn s inštalovaným výkonom do 250 kW, ktoré hmotnostne využíva menej ako 40 % účelovo pestovanej biomasy na ornej pôde, započítava pre výpočet 50 % dodávky využiteľného tepla. Spôsob výpočtu ročnej výroby tepla ustanoví všeobecne záväzný právny predpis, ktorý vydá Ministerstvo hospodárstva Slovenskej republiky.“.</w:t>
      </w:r>
    </w:p>
    <w:p w:rsidR="00180F94" w:rsidRPr="00BA236B" w:rsidP="00180F94">
      <w:pPr>
        <w:tabs>
          <w:tab w:val="num" w:pos="426"/>
        </w:tabs>
        <w:bidi w:val="0"/>
        <w:ind w:left="426"/>
        <w:jc w:val="both"/>
        <w:rPr>
          <w:rFonts w:ascii="Times New Roman" w:hAnsi="Times New Roman"/>
        </w:rPr>
      </w:pPr>
    </w:p>
    <w:p w:rsidR="00180F94" w:rsidRPr="00BA236B" w:rsidP="00180F94">
      <w:pPr>
        <w:numPr>
          <w:numId w:val="7"/>
        </w:numPr>
        <w:bidi w:val="0"/>
        <w:ind w:left="426"/>
        <w:jc w:val="both"/>
        <w:rPr>
          <w:rFonts w:ascii="Times New Roman" w:hAnsi="Times New Roman"/>
        </w:rPr>
      </w:pPr>
      <w:r w:rsidRPr="00BA236B">
        <w:rPr>
          <w:rFonts w:ascii="Times New Roman" w:hAnsi="Times New Roman"/>
        </w:rPr>
        <w:t>V § 3 ods. 12 sa vypúšťa druhá veta.</w:t>
      </w:r>
    </w:p>
    <w:p w:rsidR="00180F94" w:rsidRPr="00BA236B" w:rsidP="00180F94">
      <w:pPr>
        <w:bidi w:val="0"/>
        <w:ind w:left="426"/>
        <w:jc w:val="both"/>
        <w:rPr>
          <w:rFonts w:ascii="Times New Roman" w:hAnsi="Times New Roman"/>
        </w:rPr>
      </w:pPr>
    </w:p>
    <w:p w:rsidR="00180F94" w:rsidRPr="00BA236B" w:rsidP="00180F94">
      <w:pPr>
        <w:numPr>
          <w:numId w:val="7"/>
        </w:numPr>
        <w:bidi w:val="0"/>
        <w:ind w:left="426"/>
        <w:jc w:val="both"/>
        <w:rPr>
          <w:rFonts w:ascii="Times New Roman" w:hAnsi="Times New Roman"/>
        </w:rPr>
      </w:pPr>
      <w:r w:rsidRPr="00BA236B">
        <w:rPr>
          <w:rFonts w:ascii="Times New Roman" w:hAnsi="Times New Roman"/>
        </w:rPr>
        <w:t>Poznámka pod čiarou k odkazu 9b znie:</w:t>
      </w:r>
    </w:p>
    <w:p w:rsidR="00180F94" w:rsidRPr="00BA236B" w:rsidP="00180F94">
      <w:pPr>
        <w:numPr>
          <w:numId w:val="6"/>
        </w:numPr>
        <w:tabs>
          <w:tab w:val="clear" w:pos="0"/>
          <w:tab w:val="num" w:pos="426"/>
        </w:tabs>
        <w:suppressAutoHyphens/>
        <w:bidi w:val="0"/>
        <w:ind w:left="709" w:hanging="283"/>
        <w:jc w:val="both"/>
        <w:rPr>
          <w:rFonts w:ascii="Times New Roman" w:hAnsi="Times New Roman"/>
        </w:rPr>
      </w:pPr>
      <w:r w:rsidRPr="00BA236B">
        <w:rPr>
          <w:rFonts w:ascii="Times New Roman" w:hAnsi="Times New Roman"/>
        </w:rPr>
        <w:t>„</w:t>
      </w:r>
      <w:r w:rsidRPr="00BA236B">
        <w:rPr>
          <w:rFonts w:ascii="Times New Roman" w:hAnsi="Times New Roman"/>
          <w:vertAlign w:val="superscript"/>
        </w:rPr>
        <w:t>9b</w:t>
      </w:r>
      <w:r w:rsidRPr="00BA236B">
        <w:rPr>
          <w:rFonts w:ascii="Times New Roman" w:hAnsi="Times New Roman"/>
        </w:rPr>
        <w:t>) Zákon č. 50/1976 Zb.</w:t>
      </w:r>
    </w:p>
    <w:p w:rsidR="00180F94" w:rsidRPr="00BA236B" w:rsidP="00180F94">
      <w:pPr>
        <w:numPr>
          <w:numId w:val="6"/>
        </w:numPr>
        <w:tabs>
          <w:tab w:val="clear" w:pos="0"/>
          <w:tab w:val="num" w:pos="426"/>
        </w:tabs>
        <w:suppressAutoHyphens/>
        <w:bidi w:val="0"/>
        <w:ind w:left="709" w:hanging="283"/>
        <w:jc w:val="both"/>
        <w:rPr>
          <w:rFonts w:ascii="Times New Roman" w:hAnsi="Times New Roman"/>
        </w:rPr>
      </w:pPr>
      <w:r w:rsidRPr="00BA236B">
        <w:rPr>
          <w:rFonts w:ascii="Times New Roman" w:hAnsi="Times New Roman"/>
        </w:rPr>
        <w:t xml:space="preserve">       Zákon č. 251/2012 Z. z.</w:t>
      </w:r>
    </w:p>
    <w:p w:rsidR="00180F94" w:rsidRPr="00186606" w:rsidP="00186606">
      <w:pPr>
        <w:tabs>
          <w:tab w:val="num" w:pos="426"/>
        </w:tabs>
        <w:bidi w:val="0"/>
        <w:ind w:hanging="283"/>
        <w:jc w:val="both"/>
        <w:rPr>
          <w:rFonts w:ascii="Times New Roman" w:hAnsi="Times New Roman"/>
        </w:rPr>
      </w:pPr>
      <w:r w:rsidRPr="00BA236B">
        <w:rPr>
          <w:rFonts w:ascii="Times New Roman" w:hAnsi="Times New Roman"/>
        </w:rPr>
        <w:t xml:space="preserve">                   Zákon č. 223/2001 Z. z. o odpadoch a o zmene a doplnení niektorých zákonov v znení  </w:t>
      </w:r>
      <w:r w:rsidRPr="00186606">
        <w:rPr>
          <w:rFonts w:ascii="Times New Roman" w:hAnsi="Times New Roman"/>
        </w:rPr>
        <w:t>neskorších predpisov.“.</w:t>
      </w:r>
    </w:p>
    <w:p w:rsidR="00180F94" w:rsidRPr="00BA236B" w:rsidP="00180F94">
      <w:pPr>
        <w:bidi w:val="0"/>
        <w:ind w:left="426"/>
        <w:jc w:val="both"/>
        <w:rPr>
          <w:rFonts w:ascii="Times New Roman" w:hAnsi="Times New Roman"/>
        </w:rPr>
      </w:pPr>
    </w:p>
    <w:p w:rsidR="00180F94" w:rsidRPr="00BA236B" w:rsidP="00180F94">
      <w:pPr>
        <w:numPr>
          <w:numId w:val="7"/>
        </w:numPr>
        <w:bidi w:val="0"/>
        <w:ind w:left="426"/>
        <w:jc w:val="both"/>
        <w:rPr>
          <w:rFonts w:ascii="Times New Roman" w:hAnsi="Times New Roman"/>
        </w:rPr>
      </w:pPr>
      <w:r w:rsidRPr="00DD3EE3">
        <w:rPr>
          <w:rFonts w:ascii="Times New Roman" w:hAnsi="Times New Roman"/>
        </w:rPr>
        <w:t>§ 3b sa dopĺňa odsekmi 3 a</w:t>
      </w:r>
      <w:r w:rsidRPr="000C5788">
        <w:rPr>
          <w:rFonts w:ascii="Times New Roman" w:hAnsi="Times New Roman"/>
        </w:rPr>
        <w:t>ž</w:t>
      </w:r>
      <w:r w:rsidRPr="00320F62">
        <w:rPr>
          <w:rFonts w:ascii="Times New Roman" w:hAnsi="Times New Roman"/>
        </w:rPr>
        <w:t xml:space="preserve"> </w:t>
      </w:r>
      <w:r w:rsidRPr="00BA236B">
        <w:rPr>
          <w:rFonts w:ascii="Times New Roman" w:hAnsi="Times New Roman"/>
        </w:rPr>
        <w:t>8, ktoré znejú:</w:t>
      </w:r>
    </w:p>
    <w:p w:rsidR="00180F94" w:rsidRPr="00BA236B" w:rsidP="00180F94">
      <w:pPr>
        <w:pStyle w:val="Style1"/>
        <w:kinsoku w:val="0"/>
        <w:autoSpaceDE/>
        <w:bidi w:val="0"/>
        <w:adjustRightInd/>
        <w:ind w:left="426"/>
        <w:jc w:val="both"/>
        <w:rPr>
          <w:rFonts w:ascii="Times New Roman" w:hAnsi="Times New Roman"/>
          <w:sz w:val="24"/>
          <w:szCs w:val="24"/>
        </w:rPr>
      </w:pPr>
      <w:r w:rsidRPr="00BA236B">
        <w:rPr>
          <w:rFonts w:ascii="Times New Roman" w:hAnsi="Times New Roman"/>
          <w:sz w:val="24"/>
          <w:szCs w:val="24"/>
        </w:rPr>
        <w:t>„(3) Právo na podporu podľa § 3 zaniká pre zariadenie výrobcu elektriny, aj ak bola výrobcovi elektriny počas 15 ročnej doby podpory pri výrobe elektriny na tomto zariadení dvakrát právoplatne uložená pokuta za závažné porušenie povinnosti, a to dňom právoplatnosti druhého rozhodnutia o pokute.</w:t>
      </w:r>
    </w:p>
    <w:p w:rsidR="00180F94" w:rsidRPr="00BA236B" w:rsidP="00180F94">
      <w:pPr>
        <w:pStyle w:val="Style1"/>
        <w:kinsoku w:val="0"/>
        <w:autoSpaceDE/>
        <w:bidi w:val="0"/>
        <w:adjustRightInd/>
        <w:ind w:left="426"/>
        <w:jc w:val="both"/>
        <w:rPr>
          <w:rFonts w:ascii="Times New Roman" w:hAnsi="Times New Roman"/>
          <w:sz w:val="24"/>
          <w:szCs w:val="24"/>
        </w:rPr>
      </w:pPr>
    </w:p>
    <w:p w:rsidR="00180F94" w:rsidRPr="00BA236B" w:rsidP="00180F94">
      <w:pPr>
        <w:pStyle w:val="Style1"/>
        <w:kinsoku w:val="0"/>
        <w:autoSpaceDE/>
        <w:bidi w:val="0"/>
        <w:adjustRightInd/>
        <w:ind w:left="426"/>
        <w:jc w:val="both"/>
        <w:rPr>
          <w:rFonts w:ascii="Times New Roman" w:hAnsi="Times New Roman"/>
          <w:sz w:val="24"/>
          <w:szCs w:val="24"/>
        </w:rPr>
      </w:pPr>
      <w:r w:rsidRPr="00BA236B">
        <w:rPr>
          <w:rFonts w:ascii="Times New Roman" w:hAnsi="Times New Roman"/>
          <w:sz w:val="24"/>
          <w:szCs w:val="24"/>
        </w:rPr>
        <w:t xml:space="preserve">(4) Závažným porušením povinnosti podľa odseku 3 sa rozumie porušenie povinnosti podľa tohto zákona alebo osobitých predpisov, </w:t>
      </w:r>
      <w:r w:rsidRPr="00BA236B">
        <w:rPr>
          <w:rFonts w:ascii="Times New Roman" w:hAnsi="Times New Roman"/>
          <w:sz w:val="24"/>
          <w:szCs w:val="24"/>
          <w:vertAlign w:val="superscript"/>
        </w:rPr>
        <w:t>9c</w:t>
      </w:r>
      <w:r w:rsidRPr="00BA236B">
        <w:rPr>
          <w:rFonts w:ascii="Times New Roman" w:hAnsi="Times New Roman"/>
          <w:sz w:val="24"/>
          <w:szCs w:val="24"/>
        </w:rPr>
        <w:t>) za ktoré bola výrobcovi elektriny uložená pokuta minimálne vo výške 80 000 eur.</w:t>
      </w:r>
    </w:p>
    <w:p w:rsidR="00180F94" w:rsidRPr="00BA236B" w:rsidP="00180F94">
      <w:pPr>
        <w:pStyle w:val="Style1"/>
        <w:kinsoku w:val="0"/>
        <w:autoSpaceDE/>
        <w:bidi w:val="0"/>
        <w:adjustRightInd/>
        <w:ind w:left="426"/>
        <w:jc w:val="both"/>
        <w:rPr>
          <w:rFonts w:ascii="Times New Roman" w:hAnsi="Times New Roman"/>
          <w:sz w:val="24"/>
          <w:szCs w:val="24"/>
        </w:rPr>
      </w:pPr>
    </w:p>
    <w:p w:rsidR="00180F94" w:rsidRPr="00BA236B" w:rsidP="00180F94">
      <w:pPr>
        <w:pStyle w:val="Style1"/>
        <w:kinsoku w:val="0"/>
        <w:autoSpaceDE/>
        <w:bidi w:val="0"/>
        <w:adjustRightInd/>
        <w:ind w:left="426" w:right="72"/>
        <w:jc w:val="both"/>
        <w:rPr>
          <w:rFonts w:ascii="Times New Roman" w:hAnsi="Times New Roman"/>
          <w:sz w:val="24"/>
          <w:szCs w:val="24"/>
        </w:rPr>
      </w:pPr>
      <w:r w:rsidRPr="00BA236B">
        <w:rPr>
          <w:rFonts w:ascii="Times New Roman" w:hAnsi="Times New Roman"/>
          <w:sz w:val="24"/>
          <w:szCs w:val="24"/>
        </w:rPr>
        <w:t>(5) Právo na podporu doplatkom podľa § 3 ods. 1 písm. c) zaniká pre zariadenie výrobcu elektriny, ak počas 15 ročnej doby podpory doplatkom podľa § 3 ods. 1 písm. c):</w:t>
      </w:r>
    </w:p>
    <w:p w:rsidR="00180F94" w:rsidRPr="00BA236B" w:rsidP="00180F94">
      <w:pPr>
        <w:pStyle w:val="Style2"/>
        <w:kinsoku w:val="0"/>
        <w:autoSpaceDE/>
        <w:bidi w:val="0"/>
        <w:ind w:left="709" w:hanging="283"/>
        <w:rPr>
          <w:rFonts w:ascii="Times New Roman" w:hAnsi="Times New Roman"/>
          <w:b w:val="0"/>
          <w:bCs w:val="0"/>
        </w:rPr>
      </w:pPr>
      <w:r w:rsidRPr="00BA236B">
        <w:rPr>
          <w:rFonts w:ascii="Times New Roman" w:hAnsi="Times New Roman"/>
          <w:b w:val="0"/>
          <w:bCs w:val="0"/>
        </w:rPr>
        <w:t xml:space="preserve">a) výrobca elektriny neuhradil daňový nedoplatok na dani okrem úroku z omeškania, úroku a pokuty, ani v lehote určenej v daňovej exekučnej výzve správcu dane podľa osobitného predpisu </w:t>
      </w:r>
      <w:r w:rsidRPr="00BA236B">
        <w:rPr>
          <w:rFonts w:ascii="Times New Roman" w:hAnsi="Times New Roman"/>
          <w:b w:val="0"/>
          <w:bCs w:val="0"/>
          <w:vertAlign w:val="superscript"/>
        </w:rPr>
        <w:t>9d</w:t>
      </w:r>
      <w:r w:rsidRPr="00BA236B">
        <w:rPr>
          <w:rFonts w:ascii="Times New Roman" w:hAnsi="Times New Roman"/>
          <w:b w:val="0"/>
          <w:bCs w:val="0"/>
        </w:rPr>
        <w:t xml:space="preserve">), alebo ani v lehote pätnástich dní odo dňa právoplatnosti rozhodnutia o odvolaní výrobcu elektriny proti daňovej exekučnej výzve, ak podal výrobca elektriny odvolanie proti daňovej exekučnej výzve a v rozhodnutí o odvolaní bola potvrdená povinnosť výrobcu elektriny nedoplatok uhradiť, alebo ani v lehote určenej v upovedomení o začatí exekúcie podľa osobitného predpisu </w:t>
      </w:r>
      <w:r w:rsidRPr="00BA236B">
        <w:rPr>
          <w:rFonts w:ascii="Times New Roman" w:hAnsi="Times New Roman"/>
          <w:b w:val="0"/>
          <w:bCs w:val="0"/>
          <w:vertAlign w:val="superscript"/>
        </w:rPr>
        <w:t>9e</w:t>
      </w:r>
      <w:r w:rsidRPr="00BA236B">
        <w:rPr>
          <w:rFonts w:ascii="Times New Roman" w:hAnsi="Times New Roman"/>
          <w:b w:val="0"/>
          <w:bCs w:val="0"/>
        </w:rPr>
        <w:t>), alebo ani v lehote pätnástich dní odo dňa právoplatnosti rozhodnutia o námietkach proti exekúcii alebo právoplatnosti rozhodnutia o odvolaní proti rozhodnutiu, ktorým sa vyhovelo námietkam, ak podal výrobca elektriny námietky proti exekúcii alebo odvolanie proti rozhodnutiu, ktorým sa vyhovelo námietkam, a v rozhodnutí o námietkach alebo v rozhodnutí o odvolaní proti rozhodnutiu, ktorým sa vyhovelo námietkam, bola potvrdená povinnosť výrobcu elektriny nedoplatok uhradiť,</w:t>
      </w:r>
    </w:p>
    <w:p w:rsidR="00180F94" w:rsidRPr="00BA236B" w:rsidP="00180F94">
      <w:pPr>
        <w:pStyle w:val="Style1"/>
        <w:kinsoku w:val="0"/>
        <w:autoSpaceDE/>
        <w:bidi w:val="0"/>
        <w:adjustRightInd/>
        <w:ind w:left="709" w:right="72" w:hanging="283"/>
        <w:jc w:val="both"/>
        <w:rPr>
          <w:rFonts w:ascii="Times New Roman" w:hAnsi="Times New Roman"/>
          <w:sz w:val="24"/>
          <w:szCs w:val="24"/>
        </w:rPr>
      </w:pPr>
      <w:r w:rsidRPr="00BA236B">
        <w:rPr>
          <w:rFonts w:ascii="Times New Roman" w:hAnsi="Times New Roman"/>
          <w:sz w:val="24"/>
          <w:szCs w:val="24"/>
        </w:rPr>
        <w:t>b) výrobca elektriny neuhradil nedoplatok na poistnom na zdravotné poistenie ani v lehote pätnástich dní odo dňa doručenia právoplatného výkazu nedoplatkov na zdravotné poistenie alebo ani v lehote pätnástich dní odo dňa právoplatnosti rozhodnutia Úradu pre dohľad nad zdravotnou starostlivosťou, ak výrobca elektriny podal námietky proti výkazu nedoplatkov; alebo</w:t>
      </w:r>
    </w:p>
    <w:p w:rsidR="00180F94" w:rsidRPr="00BA236B" w:rsidP="00180F94">
      <w:pPr>
        <w:pStyle w:val="Style2"/>
        <w:kinsoku w:val="0"/>
        <w:autoSpaceDE/>
        <w:bidi w:val="0"/>
        <w:ind w:left="709" w:hanging="283"/>
        <w:rPr>
          <w:rFonts w:ascii="Times New Roman" w:hAnsi="Times New Roman"/>
        </w:rPr>
      </w:pPr>
      <w:r w:rsidRPr="00BA236B">
        <w:rPr>
          <w:rFonts w:ascii="Times New Roman" w:hAnsi="Times New Roman"/>
          <w:b w:val="0"/>
          <w:bCs w:val="0"/>
        </w:rPr>
        <w:t>c) výrobca elektriny neuhradil dlžné sumy na poistnom na sociálne poistenie a dlžné sumy na príspevkoch na starobné dôchodkové sporenie, ani v lehote pätnástich dní odo dňa doručenia predpisu sociálnou poisťovňou podľa osobitného predpisu.</w:t>
      </w:r>
      <w:r w:rsidRPr="00BA236B">
        <w:rPr>
          <w:rFonts w:ascii="Times New Roman" w:hAnsi="Times New Roman"/>
          <w:b w:val="0"/>
          <w:bCs w:val="0"/>
          <w:vertAlign w:val="superscript"/>
        </w:rPr>
        <w:t>9f</w:t>
      </w:r>
      <w:r w:rsidRPr="00BA236B">
        <w:rPr>
          <w:rFonts w:ascii="Times New Roman" w:hAnsi="Times New Roman"/>
          <w:b w:val="0"/>
          <w:bCs w:val="0"/>
        </w:rPr>
        <w:t>)</w:t>
      </w:r>
    </w:p>
    <w:p w:rsidR="00180F94" w:rsidRPr="00BA236B" w:rsidP="00180F94">
      <w:pPr>
        <w:pStyle w:val="Style2"/>
        <w:kinsoku w:val="0"/>
        <w:autoSpaceDE/>
        <w:bidi w:val="0"/>
        <w:ind w:left="426" w:firstLine="0"/>
        <w:rPr>
          <w:rFonts w:ascii="Times New Roman" w:hAnsi="Times New Roman"/>
          <w:b w:val="0"/>
          <w:bCs w:val="0"/>
        </w:rPr>
      </w:pPr>
    </w:p>
    <w:p w:rsidR="00180F94" w:rsidRPr="00BA236B" w:rsidP="00180F94">
      <w:pPr>
        <w:pStyle w:val="Style2"/>
        <w:kinsoku w:val="0"/>
        <w:autoSpaceDE/>
        <w:bidi w:val="0"/>
        <w:ind w:left="426" w:firstLine="0"/>
        <w:rPr>
          <w:rFonts w:ascii="Times New Roman" w:hAnsi="Times New Roman"/>
          <w:b w:val="0"/>
          <w:bCs w:val="0"/>
        </w:rPr>
      </w:pPr>
      <w:r w:rsidRPr="00BA236B">
        <w:rPr>
          <w:rFonts w:ascii="Times New Roman" w:hAnsi="Times New Roman"/>
          <w:b w:val="0"/>
          <w:bCs w:val="0"/>
        </w:rPr>
        <w:t>(6) Dňom  zániku podpory je deň márneho uplynutia lehoty na úhradu nedoplatkov alebo dlžných súm podľa odseku 5.</w:t>
      </w:r>
    </w:p>
    <w:p w:rsidR="00180F94" w:rsidRPr="00BA236B" w:rsidP="00180F94">
      <w:pPr>
        <w:pStyle w:val="Style1"/>
        <w:kinsoku w:val="0"/>
        <w:autoSpaceDE/>
        <w:bidi w:val="0"/>
        <w:adjustRightInd/>
        <w:ind w:left="426"/>
        <w:jc w:val="both"/>
        <w:rPr>
          <w:rFonts w:ascii="Times New Roman" w:hAnsi="Times New Roman"/>
          <w:sz w:val="24"/>
          <w:szCs w:val="24"/>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 </w:t>
      </w:r>
      <w:r w:rsidRPr="00BA236B">
        <w:rPr>
          <w:rFonts w:ascii="Times New Roman" w:hAnsi="Times New Roman"/>
        </w:rPr>
        <w:t>(7) Úrad na svojom webovom sídle zverejňuje a aktualizuje zoznam zariadení výrobcov elektriny, ktorým právo na podporu podľa tohto zákona zaniklo.</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(8) Podpora podľa § 3 ods. 1 písm. c) sa vzťahuje na zariadenie výrobcu elektriny, ktorého zariadenie obsahuje všetky technologické časti zariadenia výrobcu elektriny, ktorými sa vykonáva celý proces premeny energie obsiahnutej v biomase na elektrinu.“. </w:t>
      </w:r>
    </w:p>
    <w:p w:rsidR="00180F94" w:rsidRPr="00BA236B" w:rsidP="00180F94">
      <w:pPr>
        <w:tabs>
          <w:tab w:val="num" w:pos="426"/>
        </w:tabs>
        <w:bidi w:val="0"/>
        <w:ind w:left="426"/>
        <w:rPr>
          <w:rFonts w:ascii="Times New Roman" w:hAnsi="Times New Roman"/>
        </w:rPr>
      </w:pPr>
    </w:p>
    <w:p w:rsidR="00180F94" w:rsidRPr="00BA236B" w:rsidP="00180F94">
      <w:pPr>
        <w:pStyle w:val="Style1"/>
        <w:kinsoku w:val="0"/>
        <w:autoSpaceDE/>
        <w:bidi w:val="0"/>
        <w:adjustRightInd/>
        <w:ind w:left="709" w:hanging="283"/>
        <w:jc w:val="both"/>
        <w:rPr>
          <w:rFonts w:ascii="Times New Roman" w:hAnsi="Times New Roman"/>
          <w:sz w:val="24"/>
          <w:szCs w:val="24"/>
        </w:rPr>
      </w:pPr>
      <w:r w:rsidRPr="00BA236B">
        <w:rPr>
          <w:rFonts w:ascii="Times New Roman" w:hAnsi="Times New Roman"/>
          <w:sz w:val="24"/>
          <w:szCs w:val="24"/>
        </w:rPr>
        <w:t>Poznámky pod čiarou k odkazom 9c) až 9f) znejú:</w:t>
      </w:r>
    </w:p>
    <w:p w:rsidR="00180F94" w:rsidRPr="00BA236B" w:rsidP="00180F94">
      <w:pPr>
        <w:tabs>
          <w:tab w:val="num" w:pos="426"/>
        </w:tabs>
        <w:bidi w:val="0"/>
        <w:ind w:left="426"/>
        <w:rPr>
          <w:rFonts w:ascii="Times New Roman" w:hAnsi="Times New Roman"/>
        </w:rPr>
      </w:pPr>
      <w:r w:rsidRPr="00BA236B">
        <w:rPr>
          <w:rFonts w:ascii="Times New Roman" w:hAnsi="Times New Roman"/>
        </w:rPr>
        <w:t>„</w:t>
      </w:r>
      <w:r w:rsidRPr="00BA236B">
        <w:rPr>
          <w:rFonts w:ascii="Times New Roman" w:hAnsi="Times New Roman"/>
          <w:vertAlign w:val="superscript"/>
        </w:rPr>
        <w:t>9c</w:t>
      </w:r>
      <w:r w:rsidRPr="00BA236B">
        <w:rPr>
          <w:rFonts w:ascii="Times New Roman" w:hAnsi="Times New Roman"/>
        </w:rPr>
        <w:t>) Zákon č. 251/2012 Z. z.</w:t>
      </w:r>
    </w:p>
    <w:p w:rsidR="00180F94" w:rsidRPr="00BA236B" w:rsidP="00180F94">
      <w:pPr>
        <w:tabs>
          <w:tab w:val="num" w:pos="426"/>
        </w:tabs>
        <w:bidi w:val="0"/>
        <w:ind w:left="426"/>
        <w:rPr>
          <w:rFonts w:ascii="Times New Roman" w:hAnsi="Times New Roman"/>
        </w:rPr>
      </w:pPr>
      <w:r w:rsidRPr="00BA236B">
        <w:rPr>
          <w:rFonts w:ascii="Times New Roman" w:hAnsi="Times New Roman"/>
        </w:rPr>
        <w:t xml:space="preserve">       Zákon č. 250/2012 Z. z. o regulácii v sieťových odvetviach.</w:t>
      </w:r>
    </w:p>
    <w:p w:rsidR="00180F94" w:rsidRPr="00BA236B" w:rsidP="00180F94">
      <w:pPr>
        <w:tabs>
          <w:tab w:val="num" w:pos="426"/>
        </w:tabs>
        <w:bidi w:val="0"/>
        <w:ind w:left="426"/>
        <w:rPr>
          <w:rFonts w:ascii="Times New Roman" w:hAnsi="Times New Roman"/>
        </w:rPr>
      </w:pPr>
      <w:r w:rsidRPr="00BA236B">
        <w:rPr>
          <w:rFonts w:ascii="Times New Roman" w:hAnsi="Times New Roman"/>
        </w:rPr>
        <w:t xml:space="preserve"> </w:t>
      </w:r>
      <w:r w:rsidRPr="00BA236B">
        <w:rPr>
          <w:rFonts w:ascii="Times New Roman" w:hAnsi="Times New Roman"/>
          <w:vertAlign w:val="superscript"/>
        </w:rPr>
        <w:t>9d</w:t>
      </w:r>
      <w:r w:rsidRPr="00BA236B">
        <w:rPr>
          <w:rFonts w:ascii="Times New Roman" w:hAnsi="Times New Roman"/>
        </w:rPr>
        <w:t xml:space="preserve">) § 91 zákona č. 563/2009 Z. z. o správe daní (daňový poriadok) a o zmene a doplnení </w:t>
      </w:r>
    </w:p>
    <w:p w:rsidR="00180F94" w:rsidRPr="00BA236B" w:rsidP="00180F94">
      <w:pPr>
        <w:tabs>
          <w:tab w:val="num" w:pos="426"/>
        </w:tabs>
        <w:bidi w:val="0"/>
        <w:ind w:left="426"/>
        <w:rPr>
          <w:rFonts w:ascii="Times New Roman" w:hAnsi="Times New Roman"/>
        </w:rPr>
      </w:pPr>
      <w:r w:rsidRPr="00BA236B">
        <w:rPr>
          <w:rFonts w:ascii="Times New Roman" w:hAnsi="Times New Roman"/>
        </w:rPr>
        <w:t xml:space="preserve">       niektorých zákonov v znení neskorších predpisov. </w:t>
      </w:r>
    </w:p>
    <w:p w:rsidR="00180F94" w:rsidRPr="00BA236B" w:rsidP="00180F94">
      <w:pPr>
        <w:pStyle w:val="Style1"/>
        <w:kinsoku w:val="0"/>
        <w:autoSpaceDE/>
        <w:bidi w:val="0"/>
        <w:adjustRightInd/>
        <w:jc w:val="both"/>
        <w:rPr>
          <w:rFonts w:ascii="Times New Roman" w:hAnsi="Times New Roman"/>
          <w:sz w:val="24"/>
          <w:szCs w:val="24"/>
        </w:rPr>
      </w:pPr>
      <w:r w:rsidRPr="00BA236B">
        <w:rPr>
          <w:rFonts w:ascii="Times New Roman" w:hAnsi="Times New Roman"/>
          <w:sz w:val="24"/>
          <w:szCs w:val="24"/>
          <w:vertAlign w:val="superscript"/>
        </w:rPr>
        <w:t xml:space="preserve">            9e</w:t>
      </w:r>
      <w:r w:rsidRPr="00BA236B">
        <w:rPr>
          <w:rFonts w:ascii="Times New Roman" w:hAnsi="Times New Roman"/>
          <w:sz w:val="24"/>
          <w:szCs w:val="24"/>
        </w:rPr>
        <w:t>)</w:t>
      </w:r>
      <w:r w:rsidR="00086598">
        <w:rPr>
          <w:rFonts w:ascii="Times New Roman" w:hAnsi="Times New Roman"/>
          <w:sz w:val="24"/>
          <w:szCs w:val="24"/>
        </w:rPr>
        <w:t xml:space="preserve"> </w:t>
      </w:r>
      <w:r w:rsidRPr="00BA236B">
        <w:rPr>
          <w:rFonts w:ascii="Times New Roman" w:hAnsi="Times New Roman"/>
          <w:sz w:val="24"/>
          <w:szCs w:val="24"/>
        </w:rPr>
        <w:t xml:space="preserve"> Zákon č. 233/1995 Z. z. </w:t>
      </w:r>
      <w:r w:rsidRPr="00BA236B">
        <w:rPr>
          <w:rStyle w:val="h1a1"/>
          <w:rFonts w:ascii="Times New Roman" w:hAnsi="Times New Roman"/>
          <w:szCs w:val="24"/>
        </w:rPr>
        <w:t xml:space="preserve">o súdnych exekútoroch a exekučnej činnosti (exekučný poriadok) a o zmene a doplnení ďalších zákonov </w:t>
      </w:r>
      <w:r w:rsidRPr="00BA236B">
        <w:rPr>
          <w:rFonts w:ascii="Times New Roman" w:hAnsi="Times New Roman"/>
          <w:sz w:val="24"/>
          <w:szCs w:val="24"/>
        </w:rPr>
        <w:t>v znení neskorších predpisov.</w:t>
      </w:r>
    </w:p>
    <w:p w:rsidR="00180F94" w:rsidRPr="00BA236B" w:rsidP="00180F94">
      <w:pPr>
        <w:pStyle w:val="Style1"/>
        <w:kinsoku w:val="0"/>
        <w:autoSpaceDE/>
        <w:bidi w:val="0"/>
        <w:adjustRightInd/>
        <w:jc w:val="both"/>
        <w:rPr>
          <w:rFonts w:ascii="Times New Roman" w:hAnsi="Times New Roman"/>
          <w:sz w:val="24"/>
          <w:szCs w:val="24"/>
        </w:rPr>
      </w:pPr>
      <w:r w:rsidRPr="00BA236B">
        <w:rPr>
          <w:rFonts w:ascii="Times New Roman" w:hAnsi="Times New Roman"/>
          <w:sz w:val="24"/>
          <w:szCs w:val="24"/>
        </w:rPr>
        <w:t xml:space="preserve">         </w:t>
      </w:r>
      <w:r w:rsidRPr="00BA236B">
        <w:rPr>
          <w:rFonts w:ascii="Times New Roman" w:hAnsi="Times New Roman"/>
          <w:sz w:val="24"/>
          <w:szCs w:val="24"/>
          <w:vertAlign w:val="superscript"/>
        </w:rPr>
        <w:t>9f</w:t>
      </w:r>
      <w:r w:rsidRPr="00BA236B">
        <w:rPr>
          <w:rFonts w:ascii="Times New Roman" w:hAnsi="Times New Roman"/>
          <w:sz w:val="24"/>
          <w:szCs w:val="24"/>
        </w:rPr>
        <w:t xml:space="preserve">) § 144 a § 152a zákona č. 461/2003 Z. z. o sociálnom poistení v znení neskorších </w:t>
      </w:r>
    </w:p>
    <w:p w:rsidR="00180F94" w:rsidRPr="00BA236B" w:rsidP="00180F94">
      <w:pPr>
        <w:pStyle w:val="Style1"/>
        <w:kinsoku w:val="0"/>
        <w:autoSpaceDE/>
        <w:bidi w:val="0"/>
        <w:adjustRightInd/>
        <w:jc w:val="both"/>
        <w:rPr>
          <w:rFonts w:ascii="Times New Roman" w:hAnsi="Times New Roman"/>
          <w:sz w:val="24"/>
          <w:szCs w:val="24"/>
        </w:rPr>
      </w:pPr>
      <w:r w:rsidRPr="00BA236B">
        <w:rPr>
          <w:rFonts w:ascii="Times New Roman" w:hAnsi="Times New Roman"/>
          <w:sz w:val="24"/>
          <w:szCs w:val="24"/>
        </w:rPr>
        <w:t xml:space="preserve">              predpisov.“.</w:t>
      </w:r>
    </w:p>
    <w:p w:rsidR="00180F94" w:rsidRPr="00BA236B" w:rsidP="00180F94">
      <w:pPr>
        <w:pStyle w:val="Heading3"/>
        <w:keepNext w:val="0"/>
        <w:numPr>
          <w:ilvl w:val="2"/>
          <w:numId w:val="6"/>
        </w:numPr>
        <w:suppressAutoHyphens/>
        <w:bidi w:val="0"/>
        <w:spacing w:before="0" w:after="0"/>
        <w:ind w:left="709" w:firstLine="0"/>
        <w:jc w:val="both"/>
        <w:rPr>
          <w:rFonts w:ascii="Times New Roman" w:hAnsi="Times New Roman"/>
          <w:sz w:val="24"/>
          <w:szCs w:val="24"/>
        </w:rPr>
      </w:pPr>
    </w:p>
    <w:p w:rsidR="00180F94" w:rsidRPr="00BA236B" w:rsidP="00180F94">
      <w:pPr>
        <w:pStyle w:val="Heading3"/>
        <w:keepNext w:val="0"/>
        <w:suppressAutoHyphens/>
        <w:bidi w:val="0"/>
        <w:spacing w:before="0" w:after="0"/>
        <w:jc w:val="both"/>
        <w:rPr>
          <w:rFonts w:ascii="Times New Roman" w:hAnsi="Times New Roman"/>
          <w:b w:val="0"/>
          <w:sz w:val="24"/>
          <w:szCs w:val="24"/>
        </w:rPr>
      </w:pPr>
      <w:r w:rsidRPr="00BA236B">
        <w:rPr>
          <w:rFonts w:ascii="Times New Roman" w:hAnsi="Times New Roman"/>
          <w:b w:val="0"/>
          <w:sz w:val="24"/>
          <w:szCs w:val="24"/>
        </w:rPr>
        <w:t>12</w:t>
      </w:r>
      <w:r w:rsidRPr="00BA236B">
        <w:rPr>
          <w:rFonts w:ascii="Times New Roman" w:hAnsi="Times New Roman"/>
          <w:sz w:val="24"/>
          <w:szCs w:val="24"/>
        </w:rPr>
        <w:t>.</w:t>
      </w:r>
      <w:r w:rsidRPr="00BA236B">
        <w:rPr>
          <w:rFonts w:ascii="Times New Roman" w:hAnsi="Times New Roman"/>
          <w:b w:val="0"/>
          <w:sz w:val="24"/>
          <w:szCs w:val="24"/>
        </w:rPr>
        <w:t xml:space="preserve">  Poznámky pod čiarou k odkazom 10 a 11 znejú:</w:t>
      </w:r>
    </w:p>
    <w:p w:rsidR="00180F94" w:rsidRPr="00BA236B" w:rsidP="00180F94">
      <w:pPr>
        <w:numPr>
          <w:numId w:val="6"/>
        </w:numPr>
        <w:suppressAutoHyphens/>
        <w:bidi w:val="0"/>
        <w:ind w:left="426" w:firstLine="0"/>
        <w:jc w:val="both"/>
        <w:rPr>
          <w:rFonts w:ascii="Times New Roman" w:hAnsi="Times New Roman"/>
        </w:rPr>
      </w:pPr>
      <w:r w:rsidRPr="00BA236B">
        <w:rPr>
          <w:rFonts w:ascii="Times New Roman" w:hAnsi="Times New Roman"/>
          <w:vertAlign w:val="superscript"/>
        </w:rPr>
        <w:t xml:space="preserve"> „10</w:t>
      </w:r>
      <w:r w:rsidRPr="00BA236B">
        <w:rPr>
          <w:rFonts w:ascii="Times New Roman" w:hAnsi="Times New Roman"/>
        </w:rPr>
        <w:t>) § 19 zákona č. 251/2012 Z. z.</w:t>
      </w:r>
    </w:p>
    <w:p w:rsidR="00180F94" w:rsidRPr="00BA236B" w:rsidP="00180F94">
      <w:pPr>
        <w:pStyle w:val="ListParagraph"/>
        <w:tabs>
          <w:tab w:val="num" w:pos="426"/>
        </w:tabs>
        <w:bidi w:val="0"/>
        <w:ind w:left="426"/>
        <w:rPr>
          <w:rFonts w:ascii="Times New Roman" w:hAnsi="Times New Roman"/>
        </w:rPr>
      </w:pPr>
      <w:r w:rsidRPr="00BA236B">
        <w:rPr>
          <w:rFonts w:ascii="Times New Roman" w:hAnsi="Times New Roman"/>
          <w:vertAlign w:val="superscript"/>
        </w:rPr>
        <w:t xml:space="preserve">   11</w:t>
      </w:r>
      <w:r w:rsidRPr="00BA236B">
        <w:rPr>
          <w:rFonts w:ascii="Times New Roman" w:hAnsi="Times New Roman"/>
        </w:rPr>
        <w:t xml:space="preserve">) § 2 písm. b) siedmy bod zákona č. 251/2012 Z. z.“. </w:t>
      </w:r>
    </w:p>
    <w:p w:rsidR="00180F94" w:rsidRPr="00BA236B" w:rsidP="00180F94">
      <w:pPr>
        <w:pStyle w:val="ListParagraph"/>
        <w:tabs>
          <w:tab w:val="num" w:pos="426"/>
        </w:tabs>
        <w:bidi w:val="0"/>
        <w:ind w:left="426"/>
        <w:rPr>
          <w:rFonts w:ascii="Times New Roman" w:hAnsi="Times New Roman"/>
        </w:rPr>
      </w:pPr>
    </w:p>
    <w:p w:rsidR="00180F94" w:rsidRPr="00BA236B" w:rsidP="00180F94">
      <w:pPr>
        <w:numPr>
          <w:numId w:val="8"/>
        </w:numPr>
        <w:bidi w:val="0"/>
        <w:ind w:left="426"/>
        <w:jc w:val="both"/>
        <w:rPr>
          <w:rFonts w:ascii="Times New Roman" w:hAnsi="Times New Roman"/>
        </w:rPr>
      </w:pPr>
      <w:r w:rsidRPr="00BA236B">
        <w:rPr>
          <w:rFonts w:ascii="Times New Roman" w:hAnsi="Times New Roman"/>
        </w:rPr>
        <w:t>V § 4 ods. 1 písm. b) a c) sa nad slovom „zdroja“ vypúšťa odkaz 11a.</w:t>
      </w:r>
    </w:p>
    <w:p w:rsidR="00180F94" w:rsidRPr="00BA236B" w:rsidP="00180F94">
      <w:pPr>
        <w:pStyle w:val="ListParagraph"/>
        <w:tabs>
          <w:tab w:val="num" w:pos="426"/>
        </w:tabs>
        <w:bidi w:val="0"/>
        <w:ind w:left="426"/>
        <w:rPr>
          <w:rFonts w:ascii="Times New Roman" w:hAnsi="Times New Roman"/>
        </w:rPr>
      </w:pPr>
    </w:p>
    <w:p w:rsidR="00180F94" w:rsidRPr="00BA236B" w:rsidP="00180F94">
      <w:pPr>
        <w:numPr>
          <w:numId w:val="8"/>
        </w:numPr>
        <w:bidi w:val="0"/>
        <w:ind w:left="426"/>
        <w:jc w:val="both"/>
        <w:rPr>
          <w:rFonts w:ascii="Times New Roman" w:hAnsi="Times New Roman"/>
        </w:rPr>
      </w:pPr>
      <w:r w:rsidRPr="00BA236B">
        <w:rPr>
          <w:rFonts w:ascii="Times New Roman" w:hAnsi="Times New Roman"/>
        </w:rPr>
        <w:t xml:space="preserve"> V § 4 odsek 3 znie:</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„(3) Výrobca elektriny s právom na podporu, ktorý nesplní povinnosti podľa odseku 2, si nemôže na elektrinu vyrobenú v danom zariadení na výrobu elektriny uplatniť právo podľa odseku 1 písm. b) a c) na nasledujúci kalendárny rok.“.</w:t>
      </w:r>
    </w:p>
    <w:p w:rsidR="00180F94" w:rsidRPr="00BA236B" w:rsidP="00180F94">
      <w:pPr>
        <w:tabs>
          <w:tab w:val="num" w:pos="426"/>
        </w:tabs>
        <w:bidi w:val="0"/>
        <w:ind w:left="426"/>
        <w:jc w:val="both"/>
        <w:rPr>
          <w:rFonts w:ascii="Times New Roman" w:hAnsi="Times New Roman"/>
        </w:rPr>
      </w:pPr>
    </w:p>
    <w:p w:rsidR="00180F94" w:rsidRPr="00BA236B" w:rsidP="00180F94">
      <w:pPr>
        <w:numPr>
          <w:numId w:val="8"/>
        </w:numPr>
        <w:bidi w:val="0"/>
        <w:ind w:left="426"/>
        <w:jc w:val="both"/>
        <w:rPr>
          <w:rFonts w:ascii="Times New Roman" w:hAnsi="Times New Roman"/>
        </w:rPr>
      </w:pPr>
      <w:r w:rsidRPr="00BA236B">
        <w:rPr>
          <w:rFonts w:ascii="Times New Roman" w:hAnsi="Times New Roman"/>
        </w:rPr>
        <w:t xml:space="preserve"> Za § 4 sa vkladá § 4a, ktorý vrátane nadpisu znie:</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center"/>
        <w:rPr>
          <w:rFonts w:ascii="Times New Roman" w:hAnsi="Times New Roman"/>
          <w:b/>
        </w:rPr>
      </w:pPr>
      <w:r w:rsidRPr="00BA236B">
        <w:rPr>
          <w:rFonts w:ascii="Times New Roman" w:hAnsi="Times New Roman"/>
        </w:rPr>
        <w:t>„</w:t>
      </w:r>
      <w:r w:rsidRPr="00BA236B">
        <w:rPr>
          <w:rFonts w:ascii="Times New Roman" w:hAnsi="Times New Roman"/>
          <w:b/>
        </w:rPr>
        <w:t>§ 4a</w:t>
      </w:r>
    </w:p>
    <w:p w:rsidR="00180F94" w:rsidRPr="00BA236B" w:rsidP="00180F94">
      <w:pPr>
        <w:tabs>
          <w:tab w:val="num" w:pos="426"/>
        </w:tabs>
        <w:bidi w:val="0"/>
        <w:ind w:left="426"/>
        <w:jc w:val="center"/>
        <w:rPr>
          <w:rFonts w:ascii="Times New Roman" w:hAnsi="Times New Roman"/>
          <w:b/>
        </w:rPr>
      </w:pPr>
      <w:r w:rsidRPr="00BA236B">
        <w:rPr>
          <w:rFonts w:ascii="Times New Roman" w:hAnsi="Times New Roman"/>
          <w:b/>
        </w:rPr>
        <w:t>Výroba elektriny z malého zdroja</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(1) Výrobca elektriny z malého zdroja, ktorého výroba elektriny sa nepovažuje za podnikanie podľa osobitného predpisu</w:t>
      </w:r>
      <w:r w:rsidRPr="00BA236B">
        <w:rPr>
          <w:rFonts w:ascii="Times New Roman" w:hAnsi="Times New Roman"/>
          <w:vertAlign w:val="superscript"/>
        </w:rPr>
        <w:t>11a)</w:t>
      </w:r>
      <w:r w:rsidRPr="00BA236B">
        <w:rPr>
          <w:rFonts w:ascii="Times New Roman" w:hAnsi="Times New Roman"/>
        </w:rPr>
        <w:t xml:space="preserve">, má pri splnení podmienok podľa odseku 2 právo na </w:t>
      </w:r>
    </w:p>
    <w:p w:rsidR="00180F94" w:rsidRPr="00BA236B" w:rsidP="00180F94">
      <w:pPr>
        <w:numPr>
          <w:numId w:val="2"/>
        </w:numPr>
        <w:tabs>
          <w:tab w:val="num" w:pos="709"/>
        </w:tabs>
        <w:bidi w:val="0"/>
        <w:ind w:left="709" w:hanging="283"/>
        <w:jc w:val="both"/>
        <w:rPr>
          <w:rFonts w:ascii="Times New Roman" w:hAnsi="Times New Roman"/>
        </w:rPr>
      </w:pPr>
      <w:r w:rsidRPr="00BA236B">
        <w:rPr>
          <w:rFonts w:ascii="Times New Roman" w:hAnsi="Times New Roman"/>
        </w:rPr>
        <w:t>bezplatné pripojenie do distribučnej sústavy v mieste, ktoré je identické s existujúcim odberným miestom,</w:t>
      </w:r>
    </w:p>
    <w:p w:rsidR="00180F94" w:rsidRPr="00BA236B" w:rsidP="00180F94">
      <w:pPr>
        <w:numPr>
          <w:numId w:val="2"/>
        </w:numPr>
        <w:tabs>
          <w:tab w:val="num" w:pos="709"/>
        </w:tabs>
        <w:bidi w:val="0"/>
        <w:ind w:left="709" w:hanging="283"/>
        <w:jc w:val="both"/>
        <w:rPr>
          <w:rFonts w:ascii="Times New Roman" w:hAnsi="Times New Roman"/>
        </w:rPr>
      </w:pPr>
      <w:r w:rsidRPr="00BA236B">
        <w:rPr>
          <w:rFonts w:ascii="Times New Roman" w:hAnsi="Times New Roman"/>
        </w:rPr>
        <w:t>bezplatnú montáž určeného meradla, ktoré započítava vyrobenú a dodanú elektrinu medzi fázami v reálnom čase,</w:t>
      </w:r>
    </w:p>
    <w:p w:rsidR="00180F94" w:rsidRPr="00BA236B" w:rsidP="00180F94">
      <w:pPr>
        <w:numPr>
          <w:numId w:val="2"/>
        </w:numPr>
        <w:bidi w:val="0"/>
        <w:ind w:left="709" w:hanging="283"/>
        <w:jc w:val="both"/>
        <w:rPr>
          <w:rFonts w:ascii="Times New Roman" w:hAnsi="Times New Roman"/>
          <w:iCs/>
        </w:rPr>
      </w:pPr>
      <w:r w:rsidRPr="00BA236B">
        <w:rPr>
          <w:rFonts w:ascii="Times New Roman" w:hAnsi="Times New Roman"/>
        </w:rPr>
        <w:t xml:space="preserve">bezplatnú montáž rozpínacieho zariadenia na mechanické oddelenie kontaktov pripojenia pri strate napätia v distribučnej sústave, ak je možná prevádzka malého zdroja </w:t>
      </w:r>
      <w:r w:rsidRPr="00BA236B">
        <w:rPr>
          <w:rFonts w:ascii="Times New Roman" w:hAnsi="Times New Roman"/>
          <w:iCs/>
        </w:rPr>
        <w:t>počas beznapäťového stavu v distribučnej sústave, keď je elektrická inštalácia odberného miesta a zdroja na výrobu elektriny mechanicky oddelená od distribučnej sústavy.“.</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 </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(2) Podmienky podľa odseku 1 sú:</w:t>
      </w:r>
    </w:p>
    <w:p w:rsidR="00180F94" w:rsidRPr="00DD3EE3" w:rsidP="00180F94">
      <w:pPr>
        <w:numPr>
          <w:numId w:val="3"/>
        </w:numPr>
        <w:tabs>
          <w:tab w:val="num" w:pos="851"/>
        </w:tabs>
        <w:bidi w:val="0"/>
        <w:ind w:left="851"/>
        <w:jc w:val="both"/>
        <w:rPr>
          <w:rFonts w:ascii="Times New Roman" w:hAnsi="Times New Roman"/>
        </w:rPr>
      </w:pPr>
      <w:r w:rsidRPr="00BA236B">
        <w:rPr>
          <w:rFonts w:ascii="Times New Roman" w:hAnsi="Times New Roman"/>
        </w:rPr>
        <w:t>celkový inštalovaný výkon malého zdroja nepresiahne hodnotu, ktorú zabezpečuje istenie 16 A</w:t>
      </w:r>
      <w:r w:rsidRPr="00DD3EE3">
        <w:rPr>
          <w:rFonts w:ascii="Times New Roman" w:hAnsi="Times New Roman"/>
        </w:rPr>
        <w:t xml:space="preserve"> </w:t>
      </w:r>
      <w:r w:rsidRPr="00DD3EE3">
        <w:rPr>
          <w:rFonts w:ascii="Times New Roman" w:hAnsi="Times New Roman"/>
        </w:rPr>
        <w:t>na jednej fáze,</w:t>
      </w:r>
    </w:p>
    <w:p w:rsidR="00180F94" w:rsidRPr="00320F62" w:rsidP="00180F94">
      <w:pPr>
        <w:numPr>
          <w:numId w:val="3"/>
        </w:numPr>
        <w:tabs>
          <w:tab w:val="num" w:pos="851"/>
        </w:tabs>
        <w:bidi w:val="0"/>
        <w:ind w:left="851"/>
        <w:jc w:val="both"/>
        <w:rPr>
          <w:rFonts w:ascii="Times New Roman" w:hAnsi="Times New Roman"/>
        </w:rPr>
      </w:pPr>
      <w:r w:rsidRPr="00DD3EE3">
        <w:rPr>
          <w:rFonts w:ascii="Times New Roman" w:hAnsi="Times New Roman"/>
        </w:rPr>
        <w:t xml:space="preserve">podanie oznámenia o pripojení do distribučnej sústavy, </w:t>
      </w:r>
      <w:r w:rsidRPr="000C5788">
        <w:rPr>
          <w:rFonts w:ascii="Times New Roman" w:hAnsi="Times New Roman"/>
        </w:rPr>
        <w:t xml:space="preserve">ktoré </w:t>
      </w:r>
      <w:r w:rsidRPr="00320F62">
        <w:rPr>
          <w:rFonts w:ascii="Times New Roman" w:hAnsi="Times New Roman"/>
        </w:rPr>
        <w:t>obsahuje</w:t>
      </w:r>
    </w:p>
    <w:p w:rsidR="00180F94" w:rsidRPr="00BA236B" w:rsidP="00180F94">
      <w:pPr>
        <w:numPr>
          <w:numId w:val="4"/>
        </w:numPr>
        <w:tabs>
          <w:tab w:val="num" w:pos="1276"/>
        </w:tabs>
        <w:bidi w:val="0"/>
        <w:ind w:left="1276"/>
        <w:jc w:val="both"/>
        <w:rPr>
          <w:rFonts w:ascii="Times New Roman" w:hAnsi="Times New Roman"/>
        </w:rPr>
      </w:pPr>
      <w:r w:rsidRPr="00BA236B">
        <w:rPr>
          <w:rFonts w:ascii="Times New Roman" w:hAnsi="Times New Roman"/>
        </w:rPr>
        <w:t>kladné stanovisko prevádzkovateľa distribučnej sústavy o rezervovanej kapacite na pripojenie malého zdroja,</w:t>
      </w:r>
    </w:p>
    <w:p w:rsidR="00180F94" w:rsidRPr="00BA236B" w:rsidP="00180F94">
      <w:pPr>
        <w:numPr>
          <w:numId w:val="4"/>
        </w:numPr>
        <w:tabs>
          <w:tab w:val="num" w:pos="1276"/>
        </w:tabs>
        <w:bidi w:val="0"/>
        <w:ind w:left="1276"/>
        <w:jc w:val="both"/>
        <w:rPr>
          <w:rFonts w:ascii="Times New Roman" w:hAnsi="Times New Roman"/>
        </w:rPr>
      </w:pPr>
      <w:r w:rsidRPr="00BA236B">
        <w:rPr>
          <w:rFonts w:ascii="Times New Roman" w:hAnsi="Times New Roman"/>
        </w:rPr>
        <w:t>vyhlásenie o zhode na striedač a generátor,</w:t>
      </w:r>
    </w:p>
    <w:p w:rsidR="00180F94" w:rsidRPr="00BA236B" w:rsidP="00180F94">
      <w:pPr>
        <w:numPr>
          <w:numId w:val="4"/>
        </w:numPr>
        <w:tabs>
          <w:tab w:val="num" w:pos="1276"/>
        </w:tabs>
        <w:bidi w:val="0"/>
        <w:ind w:left="1276"/>
        <w:jc w:val="both"/>
        <w:rPr>
          <w:rFonts w:ascii="Times New Roman" w:hAnsi="Times New Roman"/>
        </w:rPr>
      </w:pPr>
      <w:r w:rsidRPr="00BA236B">
        <w:rPr>
          <w:rFonts w:ascii="Times New Roman" w:hAnsi="Times New Roman"/>
        </w:rPr>
        <w:t>potvrdenie o vykonaní odbornej montáže malého zdroja osobou, ktorá má vydané osvedčenie pre inštalatérov podľa § 13a ods. 2.</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(3) Prevádzkovateľ distribučnej sústavy je povinný zaslať stanovisko k rezervovanej kapacite na pripojenie malého zdroja s platnosťou šesť mesiacov do 10 pracovných dní odo dňa doručenia žiadosti o stanovisko. Vzor žiadosti zverejní prevádzkovateľ distribučnej sústavy na svojom webovom sídle.</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(4) Činnosti podľa odseku 1 je povinný zabezpečiť prevádzkovateľ distribučnej sústavy, na území ktorého je malý zdroj inštalovaný, najneskôr do 5 pracovných dní odo dňa doručenia oznámenia o pripojení malého zdroja.</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(5) Výrobca alebo ním poverená osoba písomne alebo elektronicky oznámi  prevádzkovateľovi distribučnej sústavy, na území ktorého je malý zdroj inštalovaný, najneskôr dva dni vopred, termín uvedenia malého zdroja do prevádzky.</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(6) Výrobca elektriny z malého zdroja oznámi do 10 pracovných dní  prevádzkovateľovi distribučnej sústavy uvedenie malého zdroja do prevádzky. Oznámenie obsahuje meno, priezvisko, adresu pobytu fyzickej osoby, dátum inštalácie a opis malého zdroja. Ak si výrobca elektriny nesplní povinnosť podľa prvej vety, prevádzkovateľ distribučnej sústavy je oprávnený ho odpojiť. </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  </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(7) Prevádzkovateľ distribučnej sústavy zasiela úradu a organizátorovi krátkodobého trhu s elektrinou údaje o inštalovanom výkone malého zdroja do 10 pracovných dní po skončení polroka.</w:t>
      </w:r>
    </w:p>
    <w:p w:rsidR="00180F94" w:rsidRPr="00BA236B" w:rsidP="00180F94">
      <w:pPr>
        <w:pStyle w:val="ListParagraph"/>
        <w:tabs>
          <w:tab w:val="num" w:pos="426"/>
        </w:tabs>
        <w:bidi w:val="0"/>
        <w:ind w:left="426"/>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(8) Výrobca elektriny z malého zdroja stráca právo na podporu podľa § 3 ods. 1 písm. b) a c), ak mu bola poskytnutá podpora z podporných programov financovaných z prostriedkov štátneho rozpočtu.“.</w:t>
      </w:r>
    </w:p>
    <w:p w:rsidR="00180F94" w:rsidRPr="00BA236B" w:rsidP="00180F94">
      <w:pPr>
        <w:pStyle w:val="BodyText"/>
        <w:bidi w:val="0"/>
        <w:jc w:val="both"/>
        <w:rPr>
          <w:rFonts w:ascii="Times New Roman" w:hAnsi="Times New Roman"/>
        </w:rPr>
      </w:pPr>
      <w:r w:rsidRPr="00BA236B">
        <w:rPr>
          <w:rFonts w:ascii="Times New Roman" w:hAnsi="Times New Roman"/>
        </w:rPr>
        <w:t xml:space="preserve">   </w:t>
      </w:r>
    </w:p>
    <w:p w:rsidR="00180F94" w:rsidRPr="00DD3EE3" w:rsidP="00180F94">
      <w:pPr>
        <w:pStyle w:val="BodyText"/>
        <w:tabs>
          <w:tab w:val="left" w:pos="284"/>
        </w:tabs>
        <w:bidi w:val="0"/>
        <w:ind w:left="426"/>
        <w:jc w:val="both"/>
        <w:rPr>
          <w:rFonts w:ascii="Times New Roman" w:hAnsi="Times New Roman"/>
          <w:b w:val="0"/>
          <w:u w:val="single"/>
        </w:rPr>
      </w:pPr>
      <w:r w:rsidRPr="00DD3EE3">
        <w:rPr>
          <w:rFonts w:ascii="Times New Roman" w:hAnsi="Times New Roman"/>
          <w:b w:val="0"/>
        </w:rPr>
        <w:t>Poznámka pod čiarou k odkazu 11a znie:</w:t>
      </w:r>
      <w:r w:rsidRPr="00DD3EE3">
        <w:rPr>
          <w:rFonts w:ascii="Times New Roman" w:hAnsi="Times New Roman"/>
          <w:b w:val="0"/>
          <w:vertAlign w:val="superscript"/>
        </w:rPr>
        <w:t xml:space="preserve">   </w:t>
      </w:r>
    </w:p>
    <w:p w:rsidR="00180F94" w:rsidRPr="00BA236B" w:rsidP="00180F94">
      <w:pPr>
        <w:pStyle w:val="BodyText"/>
        <w:bidi w:val="0"/>
        <w:jc w:val="left"/>
        <w:rPr>
          <w:rFonts w:ascii="Times New Roman" w:hAnsi="Times New Roman"/>
          <w:b w:val="0"/>
          <w:u w:val="single"/>
        </w:rPr>
      </w:pPr>
      <w:r w:rsidRPr="00DD3EE3">
        <w:rPr>
          <w:rFonts w:ascii="Times New Roman" w:hAnsi="Times New Roman"/>
          <w:b w:val="0"/>
          <w:vertAlign w:val="superscript"/>
        </w:rPr>
        <w:t xml:space="preserve"> </w:t>
      </w:r>
      <w:r w:rsidRPr="000C5788">
        <w:rPr>
          <w:rFonts w:ascii="Times New Roman" w:hAnsi="Times New Roman"/>
          <w:b w:val="0"/>
        </w:rPr>
        <w:t xml:space="preserve">    </w:t>
      </w:r>
      <w:r w:rsidRPr="00320F62">
        <w:rPr>
          <w:rFonts w:ascii="Times New Roman" w:hAnsi="Times New Roman"/>
          <w:b w:val="0"/>
        </w:rPr>
        <w:t xml:space="preserve"> „</w:t>
      </w:r>
      <w:r w:rsidRPr="00BA236B">
        <w:rPr>
          <w:rFonts w:ascii="Times New Roman" w:hAnsi="Times New Roman"/>
          <w:b w:val="0"/>
          <w:vertAlign w:val="superscript"/>
        </w:rPr>
        <w:t>11a</w:t>
      </w:r>
      <w:r w:rsidRPr="00BA236B">
        <w:rPr>
          <w:rFonts w:ascii="Times New Roman" w:hAnsi="Times New Roman"/>
          <w:b w:val="0"/>
        </w:rPr>
        <w:t xml:space="preserve">) § 4 ods. 4 zákona č. 251/2012 Z. z.“. </w:t>
      </w:r>
    </w:p>
    <w:p w:rsidR="00180F94" w:rsidRPr="00BA236B" w:rsidP="00180F94">
      <w:pPr>
        <w:pStyle w:val="Heading3"/>
        <w:keepNext w:val="0"/>
        <w:numPr>
          <w:ilvl w:val="2"/>
          <w:numId w:val="6"/>
        </w:numPr>
        <w:tabs>
          <w:tab w:val="num" w:pos="-142"/>
          <w:tab w:val="clear" w:pos="0"/>
        </w:tabs>
        <w:suppressAutoHyphens/>
        <w:bidi w:val="0"/>
        <w:spacing w:before="0" w:after="0"/>
        <w:ind w:left="709" w:hanging="284"/>
        <w:jc w:val="both"/>
        <w:rPr>
          <w:rFonts w:ascii="Times New Roman" w:hAnsi="Times New Roman"/>
          <w:i/>
          <w:sz w:val="24"/>
          <w:szCs w:val="24"/>
        </w:rPr>
      </w:pPr>
    </w:p>
    <w:p w:rsidR="00180F94" w:rsidRPr="00DD3EE3" w:rsidP="00180F94">
      <w:pPr>
        <w:pStyle w:val="Heading3"/>
        <w:keepNext w:val="0"/>
        <w:numPr>
          <w:numId w:val="8"/>
        </w:numPr>
        <w:tabs>
          <w:tab w:val="left" w:pos="426"/>
        </w:tabs>
        <w:suppressAutoHyphens/>
        <w:bidi w:val="0"/>
        <w:spacing w:before="0" w:after="0"/>
        <w:ind w:left="284" w:hanging="284"/>
        <w:jc w:val="both"/>
        <w:rPr>
          <w:rFonts w:ascii="Times New Roman" w:hAnsi="Times New Roman"/>
          <w:b w:val="0"/>
          <w:sz w:val="24"/>
          <w:szCs w:val="24"/>
        </w:rPr>
      </w:pPr>
      <w:r w:rsidRPr="00BA236B">
        <w:rPr>
          <w:rFonts w:ascii="Times New Roman" w:hAnsi="Times New Roman"/>
          <w:i/>
          <w:sz w:val="24"/>
          <w:szCs w:val="24"/>
        </w:rPr>
        <w:t xml:space="preserve"> </w:t>
      </w:r>
      <w:r w:rsidRPr="00DD3EE3">
        <w:rPr>
          <w:rFonts w:ascii="Times New Roman" w:hAnsi="Times New Roman"/>
          <w:b w:val="0"/>
          <w:sz w:val="24"/>
          <w:szCs w:val="24"/>
        </w:rPr>
        <w:t xml:space="preserve">Poznámky pod čiarou k odkazom 12 až 15 znejú:   </w:t>
      </w:r>
    </w:p>
    <w:p w:rsidR="00180F94" w:rsidRPr="000C5788" w:rsidP="00180F94">
      <w:pPr>
        <w:tabs>
          <w:tab w:val="num" w:pos="426"/>
        </w:tabs>
        <w:bidi w:val="0"/>
        <w:ind w:left="426"/>
        <w:jc w:val="both"/>
        <w:rPr>
          <w:rFonts w:ascii="Times New Roman" w:hAnsi="Times New Roman"/>
        </w:rPr>
      </w:pPr>
      <w:r w:rsidRPr="00DD3EE3">
        <w:rPr>
          <w:rFonts w:ascii="Times New Roman" w:hAnsi="Times New Roman"/>
          <w:vertAlign w:val="superscript"/>
        </w:rPr>
        <w:t xml:space="preserve"> </w:t>
      </w:r>
      <w:r w:rsidRPr="00DD3EE3">
        <w:rPr>
          <w:rFonts w:ascii="Times New Roman" w:hAnsi="Times New Roman"/>
        </w:rPr>
        <w:t>„</w:t>
      </w:r>
      <w:r w:rsidRPr="00DD3EE3">
        <w:rPr>
          <w:rFonts w:ascii="Times New Roman" w:hAnsi="Times New Roman"/>
          <w:vertAlign w:val="superscript"/>
        </w:rPr>
        <w:t>12</w:t>
      </w:r>
      <w:r w:rsidRPr="000C5788">
        <w:rPr>
          <w:rFonts w:ascii="Times New Roman" w:hAnsi="Times New Roman"/>
        </w:rPr>
        <w:t xml:space="preserve">) § 11 ods. 1 zákona č. 250/2012 Z. z. </w:t>
      </w:r>
    </w:p>
    <w:p w:rsidR="00180F94" w:rsidRPr="00BA236B" w:rsidP="00180F94">
      <w:pPr>
        <w:tabs>
          <w:tab w:val="num" w:pos="567"/>
        </w:tabs>
        <w:bidi w:val="0"/>
        <w:ind w:left="567"/>
        <w:jc w:val="both"/>
        <w:rPr>
          <w:rFonts w:ascii="Times New Roman" w:hAnsi="Times New Roman"/>
        </w:rPr>
      </w:pPr>
      <w:r w:rsidRPr="00320F62">
        <w:rPr>
          <w:rFonts w:ascii="Times New Roman" w:hAnsi="Times New Roman"/>
          <w:vertAlign w:val="superscript"/>
        </w:rPr>
        <w:t>13</w:t>
      </w:r>
      <w:r w:rsidRPr="00BA236B">
        <w:rPr>
          <w:rFonts w:ascii="Times New Roman" w:hAnsi="Times New Roman"/>
        </w:rPr>
        <w:t>) § 12 zákona č. 251/2012 Z. z.</w:t>
      </w:r>
    </w:p>
    <w:p w:rsidR="00180F94" w:rsidRPr="00BA236B" w:rsidP="00180F94">
      <w:pPr>
        <w:tabs>
          <w:tab w:val="num" w:pos="567"/>
        </w:tabs>
        <w:bidi w:val="0"/>
        <w:ind w:left="567"/>
        <w:jc w:val="both"/>
        <w:rPr>
          <w:rFonts w:ascii="Times New Roman" w:hAnsi="Times New Roman"/>
        </w:rPr>
      </w:pPr>
      <w:r w:rsidRPr="00BA236B">
        <w:rPr>
          <w:rFonts w:ascii="Times New Roman" w:hAnsi="Times New Roman"/>
          <w:vertAlign w:val="superscript"/>
        </w:rPr>
        <w:t>14</w:t>
      </w:r>
      <w:r w:rsidRPr="00BA236B">
        <w:rPr>
          <w:rFonts w:ascii="Times New Roman" w:hAnsi="Times New Roman"/>
        </w:rPr>
        <w:t>) § 31 ods. 1 písm. h) zákona č. 251/2012 Z. z.</w:t>
      </w:r>
    </w:p>
    <w:p w:rsidR="00180F94" w:rsidRPr="00BA236B" w:rsidP="00180F94">
      <w:pPr>
        <w:pStyle w:val="Heading3"/>
        <w:keepNext w:val="0"/>
        <w:tabs>
          <w:tab w:val="num" w:pos="567"/>
        </w:tabs>
        <w:suppressAutoHyphens/>
        <w:bidi w:val="0"/>
        <w:spacing w:before="0" w:after="0"/>
        <w:ind w:left="567"/>
        <w:jc w:val="both"/>
        <w:rPr>
          <w:rFonts w:ascii="Times New Roman" w:hAnsi="Times New Roman"/>
          <w:b w:val="0"/>
          <w:sz w:val="24"/>
          <w:szCs w:val="24"/>
        </w:rPr>
      </w:pPr>
      <w:r w:rsidRPr="00BA236B">
        <w:rPr>
          <w:rFonts w:ascii="Times New Roman" w:hAnsi="Times New Roman"/>
          <w:b w:val="0"/>
          <w:sz w:val="24"/>
          <w:szCs w:val="24"/>
          <w:vertAlign w:val="superscript"/>
        </w:rPr>
        <w:t>15</w:t>
      </w:r>
      <w:r w:rsidRPr="00BA236B">
        <w:rPr>
          <w:rFonts w:ascii="Times New Roman" w:hAnsi="Times New Roman"/>
          <w:b w:val="0"/>
          <w:sz w:val="24"/>
          <w:szCs w:val="24"/>
        </w:rPr>
        <w:t>) § 6 ods. 2 zákona č. 251/2012 Z. z.“.</w:t>
      </w:r>
    </w:p>
    <w:p w:rsidR="00180F94" w:rsidRPr="00BA236B" w:rsidP="00180F94">
      <w:pPr>
        <w:suppressAutoHyphens/>
        <w:bidi w:val="0"/>
        <w:ind w:left="426"/>
        <w:jc w:val="both"/>
        <w:rPr>
          <w:rFonts w:ascii="Times New Roman" w:hAnsi="Times New Roman"/>
        </w:rPr>
      </w:pPr>
      <w:r w:rsidRPr="00BA236B">
        <w:rPr>
          <w:rFonts w:ascii="Times New Roman" w:hAnsi="Times New Roman"/>
        </w:rPr>
        <w:t xml:space="preserve">    </w:t>
      </w:r>
    </w:p>
    <w:p w:rsidR="00180F94" w:rsidRPr="00BA236B" w:rsidP="00180F94">
      <w:pPr>
        <w:numPr>
          <w:numId w:val="8"/>
        </w:numPr>
        <w:bidi w:val="0"/>
        <w:ind w:left="426"/>
        <w:jc w:val="both"/>
        <w:rPr>
          <w:rFonts w:ascii="Times New Roman" w:hAnsi="Times New Roman"/>
        </w:rPr>
      </w:pPr>
      <w:r w:rsidRPr="00BA236B">
        <w:rPr>
          <w:rFonts w:ascii="Times New Roman" w:hAnsi="Times New Roman"/>
        </w:rPr>
        <w:t xml:space="preserve"> V § 6 odseky 5 a 6 znejú:</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„(5) Podpora podľa § 3 ods. 1 písm. b) a c) sa neposkytuje, ak pri výstavbe, rekonštrukcii alebo modernizácii zariadenia na výrobu elektriny</w:t>
      </w:r>
      <w:r w:rsidRPr="00BA236B">
        <w:rPr>
          <w:rFonts w:ascii="Times New Roman" w:hAnsi="Times New Roman"/>
          <w:vertAlign w:val="superscript"/>
        </w:rPr>
        <w:t>1</w:t>
      </w:r>
      <w:r w:rsidRPr="00BA236B">
        <w:rPr>
          <w:rFonts w:ascii="Times New Roman" w:hAnsi="Times New Roman"/>
        </w:rPr>
        <w:t>) bola poskytnutá podpora                                 z podporných programov financovaných z prostriedkov štátneho rozpočtu.</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(6) Odsek 5 sa nepoužije, ak poskytnutá podpora z podporných programov financovaných zo štátneho rozpočtu bola použitá na realizáciu opatrení na zabezpečenie plnenia emisných limitov zariadení podľa osobitného predpisu</w:t>
      </w:r>
      <w:r w:rsidRPr="00BA236B">
        <w:rPr>
          <w:rFonts w:ascii="Times New Roman" w:hAnsi="Times New Roman"/>
          <w:vertAlign w:val="superscript"/>
        </w:rPr>
        <w:t>15a</w:t>
      </w:r>
      <w:r w:rsidRPr="00BA236B">
        <w:rPr>
          <w:rFonts w:ascii="Times New Roman" w:hAnsi="Times New Roman"/>
        </w:rPr>
        <w:t>) alebo ak bola z prostriedkov štátneho rozpočtu poskytnutá investičná pomoc podľa osobitného predpisu.</w:t>
      </w:r>
      <w:r w:rsidRPr="00BA236B">
        <w:rPr>
          <w:rFonts w:ascii="Times New Roman" w:hAnsi="Times New Roman"/>
          <w:vertAlign w:val="superscript"/>
        </w:rPr>
        <w:t>15aa</w:t>
      </w:r>
      <w:r w:rsidRPr="00BA236B">
        <w:rPr>
          <w:rFonts w:ascii="Times New Roman" w:hAnsi="Times New Roman"/>
        </w:rPr>
        <w:t>)“.</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rPr>
          <w:rFonts w:ascii="Times New Roman" w:hAnsi="Times New Roman"/>
        </w:rPr>
      </w:pPr>
      <w:r w:rsidRPr="00BA236B">
        <w:rPr>
          <w:rFonts w:ascii="Times New Roman" w:hAnsi="Times New Roman"/>
        </w:rPr>
        <w:t>Poznámky pod čiarou k odkazom 15a a 15aa znejú:</w:t>
      </w:r>
    </w:p>
    <w:p w:rsidR="00180F94" w:rsidRPr="00DD3EE3" w:rsidP="00180F94">
      <w:pPr>
        <w:tabs>
          <w:tab w:val="num" w:pos="-284"/>
        </w:tabs>
        <w:bidi w:val="0"/>
        <w:rPr>
          <w:rFonts w:ascii="Times New Roman" w:hAnsi="Times New Roman"/>
        </w:rPr>
      </w:pPr>
      <w:r w:rsidRPr="00BA236B">
        <w:rPr>
          <w:rFonts w:ascii="Times New Roman" w:hAnsi="Times New Roman"/>
          <w:vertAlign w:val="superscript"/>
        </w:rPr>
        <w:t xml:space="preserve">         „15a</w:t>
      </w:r>
      <w:r w:rsidRPr="00BA236B">
        <w:rPr>
          <w:rFonts w:ascii="Times New Roman" w:hAnsi="Times New Roman"/>
        </w:rPr>
        <w:t>) § 4 ods. 2 zákona č. 137/2010 Z. z. o ovzduší.</w:t>
      </w:r>
    </w:p>
    <w:p w:rsidR="00180F94" w:rsidRPr="00BA236B" w:rsidP="00180F94">
      <w:pPr>
        <w:tabs>
          <w:tab w:val="num" w:pos="851"/>
        </w:tabs>
        <w:bidi w:val="0"/>
        <w:ind w:left="851" w:hanging="425"/>
        <w:rPr>
          <w:rFonts w:ascii="Times New Roman" w:hAnsi="Times New Roman"/>
        </w:rPr>
      </w:pPr>
      <w:r w:rsidRPr="00DD3EE3">
        <w:rPr>
          <w:rFonts w:ascii="Times New Roman" w:hAnsi="Times New Roman"/>
          <w:vertAlign w:val="superscript"/>
        </w:rPr>
        <w:t>15aa</w:t>
      </w:r>
      <w:r w:rsidRPr="00DD3EE3">
        <w:rPr>
          <w:rFonts w:ascii="Times New Roman" w:hAnsi="Times New Roman"/>
        </w:rPr>
        <w:t xml:space="preserve">) </w:t>
      </w:r>
      <w:r w:rsidRPr="000C5788">
        <w:rPr>
          <w:rFonts w:ascii="Times New Roman" w:hAnsi="Times New Roman"/>
        </w:rPr>
        <w:t>Zákon č. 561/2007 Z. z. o investičnej pomoci a o zmene a doplnení niektorých zákonov v znení neskorších predpisov.“</w:t>
      </w:r>
      <w:r w:rsidRPr="00320F62">
        <w:rPr>
          <w:rFonts w:ascii="Times New Roman" w:hAnsi="Times New Roman"/>
        </w:rPr>
        <w:t>.</w:t>
      </w:r>
    </w:p>
    <w:p w:rsidR="00180F94" w:rsidRPr="00BA236B" w:rsidP="00180F94">
      <w:pPr>
        <w:tabs>
          <w:tab w:val="num" w:pos="426"/>
        </w:tabs>
        <w:bidi w:val="0"/>
        <w:ind w:left="426"/>
        <w:jc w:val="both"/>
        <w:rPr>
          <w:rFonts w:ascii="Times New Roman" w:hAnsi="Times New Roman"/>
        </w:rPr>
      </w:pPr>
    </w:p>
    <w:p w:rsidR="00180F94" w:rsidRPr="00BA236B" w:rsidP="00180F94">
      <w:pPr>
        <w:numPr>
          <w:numId w:val="8"/>
        </w:numPr>
        <w:bidi w:val="0"/>
        <w:ind w:left="426"/>
        <w:jc w:val="both"/>
        <w:rPr>
          <w:rFonts w:ascii="Times New Roman" w:hAnsi="Times New Roman"/>
        </w:rPr>
      </w:pPr>
      <w:r w:rsidRPr="00BA236B">
        <w:rPr>
          <w:rFonts w:ascii="Times New Roman" w:hAnsi="Times New Roman"/>
        </w:rPr>
        <w:t xml:space="preserve"> V§ 6 ods. 7 sa číslo „80“ nahrádza číslom „70“.</w:t>
      </w:r>
    </w:p>
    <w:p w:rsidR="00180F94" w:rsidRPr="00BA236B" w:rsidP="00180F94">
      <w:pPr>
        <w:tabs>
          <w:tab w:val="num" w:pos="426"/>
        </w:tabs>
        <w:bidi w:val="0"/>
        <w:ind w:left="426"/>
        <w:jc w:val="both"/>
        <w:rPr>
          <w:rFonts w:ascii="Times New Roman" w:hAnsi="Times New Roman"/>
        </w:rPr>
      </w:pPr>
    </w:p>
    <w:p w:rsidR="00180F94" w:rsidRPr="00BA236B" w:rsidP="00180F94">
      <w:pPr>
        <w:numPr>
          <w:numId w:val="8"/>
        </w:numPr>
        <w:bidi w:val="0"/>
        <w:ind w:left="426"/>
        <w:jc w:val="both"/>
        <w:rPr>
          <w:rFonts w:ascii="Times New Roman" w:hAnsi="Times New Roman"/>
        </w:rPr>
      </w:pPr>
      <w:r w:rsidRPr="00BA236B">
        <w:rPr>
          <w:rFonts w:ascii="Times New Roman" w:hAnsi="Times New Roman"/>
        </w:rPr>
        <w:t xml:space="preserve"> § 6 sa dopĺňa odsekmi 8 a 9, ktoré znejú:</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„(8) Ak  náklady na rekonštrukciu alebo modernizáciu technologickej časti zariadenia výrobcu elektriny sú nižšie ako 60 % investičných nákladov na obstaranie novej porovnateľnej technologickej časti zariadenia (ďalej len „percentuálny podiel rekonštrukcie“), doplatok sa znižuje najmenej o</w:t>
      </w:r>
    </w:p>
    <w:p w:rsidR="00180F94" w:rsidRPr="00BA236B" w:rsidP="00180F94">
      <w:pPr>
        <w:pStyle w:val="ListParagraph"/>
        <w:numPr>
          <w:numId w:val="1"/>
        </w:numPr>
        <w:tabs>
          <w:tab w:val="num" w:pos="851"/>
        </w:tabs>
        <w:bidi w:val="0"/>
        <w:ind w:left="851"/>
        <w:rPr>
          <w:rFonts w:ascii="Times New Roman" w:hAnsi="Times New Roman"/>
        </w:rPr>
      </w:pPr>
      <w:r w:rsidRPr="00BA236B">
        <w:rPr>
          <w:rFonts w:ascii="Times New Roman" w:hAnsi="Times New Roman"/>
        </w:rPr>
        <w:t>20 %, ak percentuálny podiel rekonštrukcie je v rozsahu od 50 % do 60 % vrátane,</w:t>
      </w:r>
    </w:p>
    <w:p w:rsidR="00180F94" w:rsidRPr="00BA236B" w:rsidP="00180F94">
      <w:pPr>
        <w:pStyle w:val="ListParagraph"/>
        <w:numPr>
          <w:numId w:val="1"/>
        </w:numPr>
        <w:tabs>
          <w:tab w:val="num" w:pos="851"/>
        </w:tabs>
        <w:bidi w:val="0"/>
        <w:ind w:left="851"/>
        <w:rPr>
          <w:rFonts w:ascii="Times New Roman" w:hAnsi="Times New Roman"/>
        </w:rPr>
      </w:pPr>
      <w:r w:rsidRPr="00BA236B">
        <w:rPr>
          <w:rFonts w:ascii="Times New Roman" w:hAnsi="Times New Roman"/>
        </w:rPr>
        <w:t>30 %, ak percentuálny podiel rekonštrukcie je v rozsahu od 40 % do 50 % vrátane,</w:t>
      </w:r>
    </w:p>
    <w:p w:rsidR="00180F94" w:rsidRPr="00BA236B" w:rsidP="00180F94">
      <w:pPr>
        <w:pStyle w:val="ListParagraph"/>
        <w:numPr>
          <w:numId w:val="1"/>
        </w:numPr>
        <w:tabs>
          <w:tab w:val="num" w:pos="851"/>
        </w:tabs>
        <w:bidi w:val="0"/>
        <w:ind w:left="851"/>
        <w:rPr>
          <w:rFonts w:ascii="Times New Roman" w:hAnsi="Times New Roman"/>
        </w:rPr>
      </w:pPr>
      <w:r w:rsidRPr="00BA236B">
        <w:rPr>
          <w:rFonts w:ascii="Times New Roman" w:hAnsi="Times New Roman"/>
        </w:rPr>
        <w:t>40 %, ak percentuálny podiel rekonštrukcie je v rozsahu od 30 % do 40 % vrátane,</w:t>
      </w:r>
    </w:p>
    <w:p w:rsidR="00180F94" w:rsidRPr="00BA236B" w:rsidP="00180F94">
      <w:pPr>
        <w:pStyle w:val="ListParagraph"/>
        <w:numPr>
          <w:numId w:val="1"/>
        </w:numPr>
        <w:tabs>
          <w:tab w:val="num" w:pos="851"/>
        </w:tabs>
        <w:bidi w:val="0"/>
        <w:ind w:left="851"/>
        <w:rPr>
          <w:rFonts w:ascii="Times New Roman" w:hAnsi="Times New Roman"/>
        </w:rPr>
      </w:pPr>
      <w:r w:rsidRPr="00BA236B">
        <w:rPr>
          <w:rFonts w:ascii="Times New Roman" w:hAnsi="Times New Roman"/>
        </w:rPr>
        <w:t>60 %, ak percentuálny podiel rekonštrukcie je v rozsahu od 20 % do 30 % vrátane,</w:t>
      </w:r>
    </w:p>
    <w:p w:rsidR="00180F94" w:rsidRPr="00BA236B" w:rsidP="00180F94">
      <w:pPr>
        <w:pStyle w:val="ListParagraph"/>
        <w:numPr>
          <w:numId w:val="1"/>
        </w:numPr>
        <w:tabs>
          <w:tab w:val="num" w:pos="851"/>
        </w:tabs>
        <w:bidi w:val="0"/>
        <w:ind w:left="851"/>
        <w:rPr>
          <w:rFonts w:ascii="Times New Roman" w:hAnsi="Times New Roman"/>
        </w:rPr>
      </w:pPr>
      <w:r w:rsidRPr="00BA236B">
        <w:rPr>
          <w:rFonts w:ascii="Times New Roman" w:hAnsi="Times New Roman"/>
        </w:rPr>
        <w:t>80 %, ak percentuálny podiel rekonštrukcie je v rozsahu od 10 % do 20 % vrátane,</w:t>
      </w:r>
    </w:p>
    <w:p w:rsidR="00180F94" w:rsidRPr="00BA236B" w:rsidP="00180F94">
      <w:pPr>
        <w:pStyle w:val="ListParagraph"/>
        <w:numPr>
          <w:numId w:val="1"/>
        </w:numPr>
        <w:tabs>
          <w:tab w:val="num" w:pos="851"/>
        </w:tabs>
        <w:bidi w:val="0"/>
        <w:ind w:left="851"/>
        <w:rPr>
          <w:rFonts w:ascii="Times New Roman" w:hAnsi="Times New Roman"/>
        </w:rPr>
      </w:pPr>
      <w:r w:rsidRPr="00BA236B">
        <w:rPr>
          <w:rFonts w:ascii="Times New Roman" w:hAnsi="Times New Roman"/>
        </w:rPr>
        <w:t>100 %, ak percentuálny podiel rekonštrukcie je v rozsahu nižší ako 10 %.</w:t>
      </w:r>
    </w:p>
    <w:p w:rsidR="00180F94" w:rsidRPr="00BA236B" w:rsidP="00180F94">
      <w:pPr>
        <w:widowControl w:val="0"/>
        <w:tabs>
          <w:tab w:val="num" w:pos="426"/>
        </w:tabs>
        <w:autoSpaceDE w:val="0"/>
        <w:autoSpaceDN w:val="0"/>
        <w:bidi w:val="0"/>
        <w:adjustRightInd w:val="0"/>
        <w:ind w:left="426"/>
        <w:jc w:val="both"/>
        <w:rPr>
          <w:rFonts w:ascii="Times New Roman" w:hAnsi="Times New Roman"/>
        </w:rPr>
      </w:pPr>
    </w:p>
    <w:p w:rsidR="00180F94" w:rsidRPr="00BA236B" w:rsidP="00180F94">
      <w:pPr>
        <w:widowControl w:val="0"/>
        <w:tabs>
          <w:tab w:val="num" w:pos="426"/>
        </w:tabs>
        <w:autoSpaceDE w:val="0"/>
        <w:autoSpaceDN w:val="0"/>
        <w:bidi w:val="0"/>
        <w:adjustRightInd w:val="0"/>
        <w:ind w:left="426"/>
        <w:jc w:val="both"/>
        <w:rPr>
          <w:rFonts w:ascii="Times New Roman" w:hAnsi="Times New Roman"/>
        </w:rPr>
      </w:pPr>
      <w:r w:rsidRPr="00BA236B">
        <w:rPr>
          <w:rFonts w:ascii="Times New Roman" w:hAnsi="Times New Roman"/>
        </w:rPr>
        <w:t>(9) Ak sa v dôsledku rekonštrukcie alebo modernizácie technologickej časti zariadenia výrobcu elektriny zvýši alebo zníži celkový inštalovaný výkon zariadenia výrobcu elektriny, percentuálny podiel rekonštrukcie sa určí porovnaním nákladov rekonštrukcie alebo modernizácie technologickej časti zariadenia výrobcu elektriny a investičných nákladov na obstaranie novej porovnateľnej technologickej časti zariadenia výrobcu elektriny s celkovým inštalovaným výkonom, ktorý zodpovedá celkovému inštalovanému výkonu zariadenia výrobcu elektriny po takejto rekonštrukcii alebo modernizácii.“.</w:t>
      </w:r>
    </w:p>
    <w:p w:rsidR="00180F94" w:rsidRPr="00BA236B" w:rsidP="00180F94">
      <w:pPr>
        <w:pStyle w:val="Heading3"/>
        <w:keepNext w:val="0"/>
        <w:tabs>
          <w:tab w:val="num" w:pos="-709"/>
        </w:tabs>
        <w:suppressAutoHyphens/>
        <w:bidi w:val="0"/>
        <w:rPr>
          <w:rFonts w:ascii="Times New Roman" w:hAnsi="Times New Roman"/>
          <w:b w:val="0"/>
          <w:sz w:val="24"/>
          <w:szCs w:val="24"/>
        </w:rPr>
      </w:pPr>
      <w:r w:rsidRPr="00BA236B">
        <w:rPr>
          <w:rFonts w:ascii="Times New Roman" w:hAnsi="Times New Roman"/>
          <w:b w:val="0"/>
          <w:sz w:val="24"/>
          <w:szCs w:val="24"/>
        </w:rPr>
        <w:t>20. Poznámky pod čiarou k odkazom 15c a 15d znejú:</w:t>
      </w:r>
    </w:p>
    <w:p w:rsidR="00180F94" w:rsidRPr="00DD3EE3" w:rsidP="00180F94">
      <w:pPr>
        <w:tabs>
          <w:tab w:val="num" w:pos="567"/>
        </w:tabs>
        <w:bidi w:val="0"/>
        <w:ind w:left="709" w:hanging="283"/>
        <w:jc w:val="both"/>
        <w:rPr>
          <w:rFonts w:ascii="Times New Roman" w:hAnsi="Times New Roman"/>
        </w:rPr>
      </w:pPr>
      <w:r w:rsidRPr="00DD3EE3">
        <w:rPr>
          <w:rFonts w:ascii="Times New Roman" w:hAnsi="Times New Roman"/>
          <w:iCs/>
          <w:vertAlign w:val="superscript"/>
        </w:rPr>
        <w:t>„15c</w:t>
      </w:r>
      <w:r w:rsidRPr="00DD3EE3">
        <w:rPr>
          <w:rFonts w:ascii="Times New Roman" w:hAnsi="Times New Roman"/>
          <w:iCs/>
        </w:rPr>
        <w:t>)</w:t>
      </w:r>
      <w:r w:rsidRPr="00DD3EE3">
        <w:rPr>
          <w:rFonts w:ascii="Times New Roman" w:hAnsi="Times New Roman"/>
        </w:rPr>
        <w:t xml:space="preserve"> § 3 písm. b) šiesty bod zákona č. 251/2012 Z. z.</w:t>
      </w:r>
    </w:p>
    <w:p w:rsidR="00180F94" w:rsidRPr="00DD3EE3" w:rsidP="00180F94">
      <w:pPr>
        <w:tabs>
          <w:tab w:val="num" w:pos="567"/>
        </w:tabs>
        <w:bidi w:val="0"/>
        <w:ind w:left="709" w:hanging="283"/>
        <w:jc w:val="both"/>
        <w:rPr>
          <w:rFonts w:ascii="Times New Roman" w:hAnsi="Times New Roman"/>
        </w:rPr>
      </w:pPr>
      <w:r w:rsidRPr="00DD3EE3">
        <w:rPr>
          <w:rFonts w:ascii="Times New Roman" w:hAnsi="Times New Roman"/>
          <w:vertAlign w:val="superscript"/>
        </w:rPr>
        <w:t xml:space="preserve"> 15d</w:t>
      </w:r>
      <w:r w:rsidRPr="000C5788">
        <w:rPr>
          <w:rFonts w:ascii="Times New Roman" w:hAnsi="Times New Roman"/>
        </w:rPr>
        <w:t>) § 3 písm. b) ôsmy bod zákona č. 251/2012 Z. z.“.</w:t>
      </w:r>
    </w:p>
    <w:p w:rsidR="00180F94" w:rsidRPr="00DD3EE3" w:rsidP="00180F94">
      <w:pPr>
        <w:tabs>
          <w:tab w:val="num" w:pos="426"/>
        </w:tabs>
        <w:bidi w:val="0"/>
        <w:ind w:left="426"/>
        <w:jc w:val="both"/>
        <w:rPr>
          <w:rFonts w:ascii="Times New Roman" w:hAnsi="Times New Roman"/>
        </w:rPr>
      </w:pPr>
    </w:p>
    <w:p w:rsidR="00180F94" w:rsidRPr="00DD3EE3" w:rsidP="00180F94">
      <w:pPr>
        <w:numPr>
          <w:numId w:val="9"/>
        </w:numPr>
        <w:bidi w:val="0"/>
        <w:ind w:left="426"/>
        <w:jc w:val="both"/>
        <w:rPr>
          <w:rFonts w:ascii="Times New Roman" w:hAnsi="Times New Roman"/>
        </w:rPr>
      </w:pPr>
      <w:r w:rsidRPr="00DD3EE3">
        <w:rPr>
          <w:rFonts w:ascii="Times New Roman" w:hAnsi="Times New Roman"/>
        </w:rPr>
        <w:t xml:space="preserve"> V § 8 sa odsek 2 dopĺňa písmenom n), ktoré znie:</w:t>
      </w:r>
    </w:p>
    <w:p w:rsidR="00180F94" w:rsidRPr="00BA236B" w:rsidP="00180F94">
      <w:pPr>
        <w:tabs>
          <w:tab w:val="num" w:pos="426"/>
        </w:tabs>
        <w:bidi w:val="0"/>
        <w:ind w:left="426"/>
        <w:jc w:val="both"/>
        <w:rPr>
          <w:rFonts w:ascii="Times New Roman" w:hAnsi="Times New Roman"/>
        </w:rPr>
      </w:pPr>
      <w:r w:rsidRPr="00DD3EE3">
        <w:rPr>
          <w:rFonts w:ascii="Times New Roman" w:hAnsi="Times New Roman"/>
        </w:rPr>
        <w:t xml:space="preserve">„n) </w:t>
      </w:r>
      <w:r w:rsidRPr="000C5788">
        <w:rPr>
          <w:rFonts w:ascii="Times New Roman" w:hAnsi="Times New Roman"/>
        </w:rPr>
        <w:t>pot</w:t>
      </w:r>
      <w:r w:rsidRPr="00320F62">
        <w:rPr>
          <w:rFonts w:ascii="Times New Roman" w:hAnsi="Times New Roman"/>
        </w:rPr>
        <w:t>vrdenie o pôvode paliva v zariadení výrobcu elektriny u katalyticky spracovaného odpadu, z termického štiepenia odpadov a jeho produktov, plynu vyrobeného termochemickým splyňovaním odpadu v splyňovacom generátore alebo termickým štiepením odpadu, energeti</w:t>
      </w:r>
      <w:r w:rsidRPr="00BA236B">
        <w:rPr>
          <w:rFonts w:ascii="Times New Roman" w:hAnsi="Times New Roman"/>
        </w:rPr>
        <w:t>cky využiteľných plynov vznikajúcich ako vedľajší produkt v metalurgickom výrobnom procese, kde sa uvedie názov výrobcu, chemické zloženie paliva a jeho výhrevnosť akreditované laboratóriom podľa osobitného predpisu.</w:t>
      </w:r>
      <w:r w:rsidRPr="00BA236B">
        <w:rPr>
          <w:rFonts w:ascii="Times New Roman" w:hAnsi="Times New Roman"/>
          <w:vertAlign w:val="superscript"/>
        </w:rPr>
        <w:t>15e</w:t>
      </w:r>
      <w:r w:rsidRPr="00BA236B">
        <w:rPr>
          <w:rFonts w:ascii="Times New Roman" w:hAnsi="Times New Roman"/>
        </w:rPr>
        <w:t>)“.</w:t>
        <w:br/>
        <w:br/>
        <w:t>Poznámka po čiarou k odkazu 15e) znie:</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w:t>
      </w:r>
      <w:r w:rsidRPr="00BA236B">
        <w:rPr>
          <w:rFonts w:ascii="Times New Roman" w:hAnsi="Times New Roman"/>
          <w:vertAlign w:val="superscript"/>
        </w:rPr>
        <w:t>15e</w:t>
      </w:r>
      <w:r w:rsidRPr="00BA236B">
        <w:rPr>
          <w:rFonts w:ascii="Times New Roman" w:hAnsi="Times New Roman"/>
        </w:rPr>
        <w:t>) Zákon č. 142/2000 Z. z. o metrológii a o zmene a doplnení niektorých zákonov v znení neskorších predpisov.“.</w:t>
      </w:r>
    </w:p>
    <w:p w:rsidR="00180F94" w:rsidRPr="00BA236B" w:rsidP="00180F94">
      <w:pPr>
        <w:tabs>
          <w:tab w:val="num" w:pos="709"/>
        </w:tabs>
        <w:bidi w:val="0"/>
        <w:ind w:left="709"/>
        <w:jc w:val="both"/>
        <w:rPr>
          <w:rFonts w:ascii="Times New Roman" w:hAnsi="Times New Roman"/>
        </w:rPr>
      </w:pPr>
    </w:p>
    <w:p w:rsidR="00180F94" w:rsidRPr="00BA236B" w:rsidP="00180F94">
      <w:pPr>
        <w:numPr>
          <w:numId w:val="9"/>
        </w:numPr>
        <w:tabs>
          <w:tab w:val="left" w:pos="426"/>
        </w:tabs>
        <w:bidi w:val="0"/>
        <w:ind w:left="0" w:firstLine="0"/>
        <w:jc w:val="both"/>
        <w:rPr>
          <w:rFonts w:ascii="Times New Roman" w:hAnsi="Times New Roman"/>
        </w:rPr>
      </w:pPr>
      <w:r w:rsidRPr="00BA236B">
        <w:rPr>
          <w:rFonts w:ascii="Times New Roman" w:hAnsi="Times New Roman"/>
        </w:rPr>
        <w:t>Poznámka pod čiarou k odkazu 16 znie:</w:t>
      </w:r>
    </w:p>
    <w:p w:rsidR="00180F94" w:rsidRPr="00DD3EE3" w:rsidP="00180F94">
      <w:pPr>
        <w:tabs>
          <w:tab w:val="num" w:pos="426"/>
        </w:tabs>
        <w:bidi w:val="0"/>
        <w:ind w:left="709" w:hanging="283"/>
        <w:jc w:val="both"/>
        <w:rPr>
          <w:rFonts w:ascii="Times New Roman" w:hAnsi="Times New Roman"/>
        </w:rPr>
      </w:pPr>
      <w:r w:rsidRPr="00BA236B">
        <w:rPr>
          <w:rFonts w:ascii="Times New Roman" w:hAnsi="Times New Roman"/>
        </w:rPr>
        <w:t xml:space="preserve"> „</w:t>
      </w:r>
      <w:r w:rsidRPr="00BA236B">
        <w:rPr>
          <w:rFonts w:ascii="Times New Roman" w:hAnsi="Times New Roman"/>
          <w:vertAlign w:val="superscript"/>
        </w:rPr>
        <w:t>16</w:t>
      </w:r>
      <w:r w:rsidRPr="00BA236B">
        <w:rPr>
          <w:rFonts w:ascii="Times New Roman" w:hAnsi="Times New Roman"/>
        </w:rPr>
        <w:t>) § 64 zákona č. 251/2012 Z. z.“.</w:t>
      </w:r>
    </w:p>
    <w:p w:rsidR="00180F94" w:rsidRPr="00DD3EE3" w:rsidP="00180F94">
      <w:pPr>
        <w:tabs>
          <w:tab w:val="num" w:pos="426"/>
        </w:tabs>
        <w:bidi w:val="0"/>
        <w:ind w:left="426"/>
        <w:jc w:val="both"/>
        <w:rPr>
          <w:rFonts w:ascii="Times New Roman" w:hAnsi="Times New Roman"/>
        </w:rPr>
      </w:pPr>
    </w:p>
    <w:p w:rsidR="00180F94" w:rsidRPr="00DD3EE3" w:rsidP="00180F94">
      <w:pPr>
        <w:numPr>
          <w:numId w:val="9"/>
        </w:numPr>
        <w:tabs>
          <w:tab w:val="left" w:pos="426"/>
        </w:tabs>
        <w:bidi w:val="0"/>
        <w:ind w:left="0" w:firstLine="0"/>
        <w:jc w:val="both"/>
        <w:rPr>
          <w:rFonts w:ascii="Times New Roman" w:hAnsi="Times New Roman"/>
        </w:rPr>
      </w:pPr>
      <w:r w:rsidRPr="00DD3EE3">
        <w:rPr>
          <w:rFonts w:ascii="Times New Roman" w:hAnsi="Times New Roman"/>
        </w:rPr>
        <w:t>V § 11a odseky 2 a 3 znejú:</w:t>
      </w:r>
    </w:p>
    <w:p w:rsidR="00180F94" w:rsidRPr="00BA236B" w:rsidP="00180F94">
      <w:pPr>
        <w:tabs>
          <w:tab w:val="num" w:pos="426"/>
        </w:tabs>
        <w:bidi w:val="0"/>
        <w:ind w:left="426"/>
        <w:jc w:val="both"/>
        <w:rPr>
          <w:rFonts w:ascii="Times New Roman" w:hAnsi="Times New Roman"/>
        </w:rPr>
      </w:pPr>
      <w:r w:rsidRPr="00DD3EE3">
        <w:rPr>
          <w:rFonts w:ascii="Times New Roman" w:hAnsi="Times New Roman"/>
        </w:rPr>
        <w:t>„(2) Za prípojku sa považuj</w:t>
      </w:r>
      <w:r w:rsidRPr="000C5788">
        <w:rPr>
          <w:rFonts w:ascii="Times New Roman" w:hAnsi="Times New Roman"/>
        </w:rPr>
        <w:t>ú technické a technologické zariadenia, ktoré slúžia na</w:t>
      </w:r>
      <w:r w:rsidRPr="00320F62">
        <w:rPr>
          <w:rFonts w:ascii="Times New Roman" w:hAnsi="Times New Roman"/>
        </w:rPr>
        <w:t> </w:t>
      </w:r>
      <w:r w:rsidRPr="00BA236B">
        <w:rPr>
          <w:rFonts w:ascii="Times New Roman" w:hAnsi="Times New Roman"/>
        </w:rPr>
        <w:t>dopravu biometánu do distribučnej siete a začínajú po zariadení na úpravu bioplynu na biometán, okrem zariadenia na úpravu tlaku a kvality biometánu.</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 xml:space="preserve"> </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(3) Prípojku zriaďuje prevádzkovateľ distribučnej siete alebo žiadateľ. Prípojka je po kolaudácii a finančnom vyrovnaní nákladov podľa odseku 1 v majetku prevádzkovateľa distribučnej siete.“.</w:t>
      </w:r>
    </w:p>
    <w:p w:rsidR="00180F94" w:rsidRPr="00BA236B" w:rsidP="00180F94">
      <w:pPr>
        <w:pStyle w:val="ListParagraph"/>
        <w:tabs>
          <w:tab w:val="num" w:pos="426"/>
        </w:tabs>
        <w:bidi w:val="0"/>
        <w:ind w:left="426"/>
        <w:rPr>
          <w:rFonts w:ascii="Times New Roman" w:hAnsi="Times New Roman"/>
        </w:rPr>
      </w:pPr>
    </w:p>
    <w:p w:rsidR="00180F94" w:rsidRPr="00DD3EE3" w:rsidP="00180F94">
      <w:pPr>
        <w:numPr>
          <w:numId w:val="9"/>
        </w:numPr>
        <w:bidi w:val="0"/>
        <w:ind w:left="426"/>
        <w:jc w:val="both"/>
        <w:rPr>
          <w:rFonts w:ascii="Times New Roman" w:hAnsi="Times New Roman"/>
        </w:rPr>
      </w:pPr>
      <w:r w:rsidRPr="00DD3EE3">
        <w:rPr>
          <w:rFonts w:ascii="Times New Roman" w:hAnsi="Times New Roman"/>
        </w:rPr>
        <w:t xml:space="preserve"> V § 12b ods. 1 sa na konci prvej vety pripájajú tieto slová: „alebo sa zmenili podmienky alebo skutočnosti, na základe ktorých bolo potvrdenie vydané“.</w:t>
      </w:r>
    </w:p>
    <w:p w:rsidR="00180F94" w:rsidRPr="00DD3EE3" w:rsidP="00180F94">
      <w:pPr>
        <w:tabs>
          <w:tab w:val="num" w:pos="426"/>
        </w:tabs>
        <w:bidi w:val="0"/>
        <w:ind w:left="426"/>
        <w:jc w:val="both"/>
        <w:rPr>
          <w:rFonts w:ascii="Times New Roman" w:hAnsi="Times New Roman"/>
        </w:rPr>
      </w:pPr>
      <w:r w:rsidRPr="00DD3EE3">
        <w:rPr>
          <w:rFonts w:ascii="Times New Roman" w:hAnsi="Times New Roman"/>
        </w:rPr>
        <w:t xml:space="preserve">  </w:t>
      </w:r>
    </w:p>
    <w:p w:rsidR="00180F94" w:rsidRPr="00BA236B" w:rsidP="00180F94">
      <w:pPr>
        <w:numPr>
          <w:numId w:val="9"/>
        </w:numPr>
        <w:bidi w:val="0"/>
        <w:ind w:left="426"/>
        <w:jc w:val="both"/>
        <w:rPr>
          <w:rFonts w:ascii="Times New Roman" w:hAnsi="Times New Roman"/>
        </w:rPr>
      </w:pPr>
      <w:r w:rsidRPr="00DD3EE3">
        <w:rPr>
          <w:rFonts w:ascii="Times New Roman" w:hAnsi="Times New Roman"/>
        </w:rPr>
        <w:t xml:space="preserve"> </w:t>
      </w:r>
      <w:r w:rsidRPr="000C5788">
        <w:rPr>
          <w:rFonts w:ascii="Times New Roman" w:hAnsi="Times New Roman"/>
        </w:rPr>
        <w:t>V § 14a odsek</w:t>
      </w:r>
      <w:r w:rsidRPr="00320F62">
        <w:rPr>
          <w:rFonts w:ascii="Times New Roman" w:hAnsi="Times New Roman"/>
        </w:rPr>
        <w:t xml:space="preserve"> 3</w:t>
      </w:r>
      <w:r w:rsidRPr="00BA236B">
        <w:rPr>
          <w:rFonts w:ascii="Times New Roman" w:hAnsi="Times New Roman"/>
        </w:rPr>
        <w:t xml:space="preserve"> znie:</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„(3) Právnická osoba alebo fyzická osoba podľa odseku 2 je povinná plnenie povinnosti podľa odseku 1 zabezpečiť za kalendárny štvrťrok prostredníctvom pohonných látok s obsahom biopalív, pričom minimálny obsah biopalív v jednotlivých druhoch  pohonných látok je ustanovený v prílohe č. 1, najviac však v množstve ustanovenom v technickej norme upravujúcej kvalitu pohonných látok,</w:t>
      </w:r>
      <w:r w:rsidRPr="00BA236B">
        <w:rPr>
          <w:rFonts w:ascii="Times New Roman" w:hAnsi="Times New Roman"/>
          <w:vertAlign w:val="superscript"/>
        </w:rPr>
        <w:t>17e)</w:t>
      </w:r>
      <w:r w:rsidRPr="00BA236B">
        <w:rPr>
          <w:rFonts w:ascii="Times New Roman" w:hAnsi="Times New Roman"/>
        </w:rPr>
        <w:t xml:space="preserve"> ak v odseku 11 nie je ustanovené inak. Povinnosť podľa prílohy č. 1 sa považuje za splnenú i v prípade, ak minimálny obsah biopaliva je nižší najviac o 0, 25 % vrátane v litri jednotlivého druhu pohonných látok, ako je ustanovené v prílohe č. 1, alebo ak je odchýlka v súlade s technickou normou</w:t>
      </w:r>
      <w:r w:rsidRPr="00DD3EE3">
        <w:rPr>
          <w:rFonts w:ascii="Times New Roman" w:hAnsi="Times New Roman"/>
        </w:rPr>
        <w:t>.</w:t>
      </w:r>
      <w:r w:rsidRPr="00DD3EE3">
        <w:rPr>
          <w:rFonts w:ascii="Times New Roman" w:hAnsi="Times New Roman"/>
          <w:vertAlign w:val="superscript"/>
        </w:rPr>
        <w:t>17f)</w:t>
      </w:r>
      <w:r w:rsidRPr="000C5788">
        <w:rPr>
          <w:rFonts w:ascii="Times New Roman" w:hAnsi="Times New Roman"/>
        </w:rPr>
        <w:t xml:space="preserve"> Na účely prílohy č. 1 sa bioetanolovou zložkou rozumie</w:t>
      </w:r>
      <w:r w:rsidRPr="00320F62">
        <w:rPr>
          <w:rFonts w:ascii="Times New Roman" w:hAnsi="Times New Roman"/>
        </w:rPr>
        <w:t xml:space="preserve"> bioetyltercbutyléter alebo zmes bioetyltercbutyléteru a bioetanolu, pričom zmes musí obsahovať minimálny podiel bioetyltercbutyléteru podľa prílohy č. 1. Objem bioetyltercbutyléteru sa do objemu bioetanolovej zložky zmesi započítava 47 % svojho objemu. Na účely prílohy č. 1 sa biodieselom rozumejú aj estery vyrobené z </w:t>
      </w:r>
      <w:r w:rsidRPr="00BA236B">
        <w:rPr>
          <w:rFonts w:ascii="Times New Roman" w:hAnsi="Times New Roman"/>
        </w:rPr>
        <w:t>používaných kuchynských olejov a tukov, alebo z ich zmesí, ak spĺňajú požiadavky na kvalitu biodiesla,</w:t>
      </w:r>
      <w:r w:rsidRPr="00BA236B">
        <w:rPr>
          <w:rFonts w:ascii="Times New Roman" w:hAnsi="Times New Roman"/>
          <w:vertAlign w:val="superscript"/>
        </w:rPr>
        <w:t>3a)</w:t>
      </w:r>
      <w:r w:rsidRPr="00BA236B">
        <w:rPr>
          <w:rFonts w:ascii="Times New Roman" w:hAnsi="Times New Roman"/>
        </w:rPr>
        <w:t xml:space="preserve"> pričom na účely odseku 1 sa do výpočtu referenčnej hodnoty započítava ich energetický obsah dvojnásobne.“.</w:t>
      </w:r>
    </w:p>
    <w:p w:rsidR="00180F94" w:rsidRPr="00BA236B" w:rsidP="00180F94">
      <w:pPr>
        <w:tabs>
          <w:tab w:val="num" w:pos="426"/>
        </w:tabs>
        <w:bidi w:val="0"/>
        <w:ind w:left="426"/>
        <w:jc w:val="both"/>
        <w:rPr>
          <w:rFonts w:ascii="Times New Roman" w:hAnsi="Times New Roman"/>
        </w:rPr>
      </w:pPr>
    </w:p>
    <w:p w:rsidR="00180F94" w:rsidRPr="00BA236B" w:rsidP="00180F94">
      <w:pPr>
        <w:numPr>
          <w:numId w:val="9"/>
        </w:numPr>
        <w:bidi w:val="0"/>
        <w:ind w:left="426" w:hanging="426"/>
        <w:jc w:val="both"/>
        <w:rPr>
          <w:rFonts w:ascii="Times New Roman" w:hAnsi="Times New Roman"/>
        </w:rPr>
      </w:pPr>
      <w:r w:rsidRPr="00BA236B">
        <w:rPr>
          <w:rFonts w:ascii="Times New Roman" w:hAnsi="Times New Roman"/>
        </w:rPr>
        <w:t>V § 14a odsek 9 znie:</w:t>
      </w: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„(9) Na účely plnenia povinností podľa odseku 1 a 3 sa započítavajú len biopalivá, ktoré spĺňajú kritériá trvalej udržateľnosti podľa § 19b ods. 1 písm. a).“.</w:t>
      </w:r>
    </w:p>
    <w:p w:rsidR="00180F94" w:rsidRPr="00BA236B" w:rsidP="00180F94">
      <w:pPr>
        <w:bidi w:val="0"/>
        <w:ind w:left="426" w:hanging="426"/>
        <w:jc w:val="both"/>
        <w:rPr>
          <w:rFonts w:ascii="Times New Roman" w:hAnsi="Times New Roman"/>
        </w:rPr>
      </w:pPr>
    </w:p>
    <w:p w:rsidR="00180F94" w:rsidRPr="00BA236B" w:rsidP="00180F94">
      <w:pPr>
        <w:numPr>
          <w:numId w:val="9"/>
        </w:numPr>
        <w:tabs>
          <w:tab w:val="left" w:pos="426"/>
        </w:tabs>
        <w:bidi w:val="0"/>
        <w:ind w:left="284" w:hanging="284"/>
        <w:jc w:val="both"/>
        <w:rPr>
          <w:rFonts w:ascii="Times New Roman" w:hAnsi="Times New Roman"/>
        </w:rPr>
      </w:pPr>
      <w:r w:rsidRPr="00BA236B">
        <w:rPr>
          <w:rFonts w:ascii="Times New Roman" w:hAnsi="Times New Roman"/>
        </w:rPr>
        <w:t>Poznámka pod čiarou k odkazu 18 znie:</w:t>
      </w:r>
    </w:p>
    <w:p w:rsidR="00180F94" w:rsidRPr="00DD3EE3" w:rsidP="00180F94">
      <w:pPr>
        <w:tabs>
          <w:tab w:val="num" w:pos="284"/>
        </w:tabs>
        <w:bidi w:val="0"/>
        <w:ind w:left="709" w:hanging="567"/>
        <w:jc w:val="both"/>
        <w:rPr>
          <w:rFonts w:ascii="Times New Roman" w:hAnsi="Times New Roman"/>
        </w:rPr>
      </w:pPr>
      <w:r w:rsidRPr="00BA236B">
        <w:rPr>
          <w:rFonts w:ascii="Times New Roman" w:hAnsi="Times New Roman"/>
          <w:vertAlign w:val="superscript"/>
        </w:rPr>
        <w:t xml:space="preserve">       „18</w:t>
      </w:r>
      <w:r w:rsidRPr="00BA236B">
        <w:rPr>
          <w:rFonts w:ascii="Times New Roman" w:hAnsi="Times New Roman"/>
        </w:rPr>
        <w:t>) § 89 zákona č. 251/2012 Z. z.“.</w:t>
      </w:r>
    </w:p>
    <w:p w:rsidR="00180F94" w:rsidRPr="00DD3EE3" w:rsidP="00180F94">
      <w:pPr>
        <w:tabs>
          <w:tab w:val="num" w:pos="426"/>
        </w:tabs>
        <w:bidi w:val="0"/>
        <w:ind w:left="426"/>
        <w:jc w:val="both"/>
        <w:rPr>
          <w:rFonts w:ascii="Times New Roman" w:hAnsi="Times New Roman"/>
        </w:rPr>
      </w:pPr>
    </w:p>
    <w:p w:rsidR="00180F94" w:rsidRPr="00DD3EE3" w:rsidP="00180F94">
      <w:pPr>
        <w:numPr>
          <w:numId w:val="9"/>
        </w:numPr>
        <w:bidi w:val="0"/>
        <w:ind w:left="426" w:hanging="426"/>
        <w:jc w:val="both"/>
        <w:rPr>
          <w:rFonts w:ascii="Times New Roman" w:hAnsi="Times New Roman"/>
        </w:rPr>
      </w:pPr>
      <w:r w:rsidRPr="00BA236B">
        <w:rPr>
          <w:rFonts w:ascii="Times New Roman" w:hAnsi="Times New Roman"/>
        </w:rPr>
        <w:t>Za § 18d sa vkladá §18e, ktorý vrátane nadpisu znie</w:t>
      </w:r>
      <w:r w:rsidRPr="00DD3EE3">
        <w:rPr>
          <w:rFonts w:ascii="Times New Roman" w:hAnsi="Times New Roman"/>
        </w:rPr>
        <w:t>:</w:t>
      </w:r>
    </w:p>
    <w:p w:rsidR="00180F94" w:rsidRPr="00DD3EE3" w:rsidP="00180F94">
      <w:pPr>
        <w:tabs>
          <w:tab w:val="num" w:pos="426"/>
        </w:tabs>
        <w:bidi w:val="0"/>
        <w:ind w:left="426"/>
        <w:jc w:val="both"/>
        <w:rPr>
          <w:rFonts w:ascii="Times New Roman" w:hAnsi="Times New Roman"/>
        </w:rPr>
      </w:pPr>
    </w:p>
    <w:p w:rsidR="00180F94" w:rsidRPr="00DD3EE3" w:rsidP="00180F94">
      <w:pPr>
        <w:tabs>
          <w:tab w:val="num" w:pos="426"/>
        </w:tabs>
        <w:bidi w:val="0"/>
        <w:ind w:left="426"/>
        <w:jc w:val="center"/>
        <w:rPr>
          <w:rFonts w:ascii="Times New Roman" w:hAnsi="Times New Roman"/>
          <w:b/>
        </w:rPr>
      </w:pPr>
      <w:r w:rsidRPr="00DD3EE3">
        <w:rPr>
          <w:rFonts w:ascii="Times New Roman" w:hAnsi="Times New Roman"/>
        </w:rPr>
        <w:t>„</w:t>
      </w:r>
      <w:r w:rsidRPr="00DD3EE3">
        <w:rPr>
          <w:rFonts w:ascii="Times New Roman" w:hAnsi="Times New Roman"/>
          <w:b/>
        </w:rPr>
        <w:t>§ 18e</w:t>
      </w:r>
    </w:p>
    <w:p w:rsidR="00180F94" w:rsidRPr="000C5788" w:rsidP="00180F94">
      <w:pPr>
        <w:tabs>
          <w:tab w:val="num" w:pos="426"/>
        </w:tabs>
        <w:bidi w:val="0"/>
        <w:ind w:left="426"/>
        <w:jc w:val="center"/>
        <w:rPr>
          <w:rFonts w:ascii="Times New Roman" w:hAnsi="Times New Roman"/>
          <w:b/>
        </w:rPr>
      </w:pPr>
      <w:r w:rsidRPr="000C5788">
        <w:rPr>
          <w:rFonts w:ascii="Times New Roman" w:hAnsi="Times New Roman"/>
          <w:b/>
        </w:rPr>
        <w:t>Prechodné ustanovenia k úpravám účinným od 1. januára 2014</w:t>
      </w:r>
    </w:p>
    <w:p w:rsidR="00180F94" w:rsidRPr="00320F62"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color w:val="FF0000"/>
        </w:rPr>
        <w:t xml:space="preserve"> </w:t>
      </w:r>
      <w:r w:rsidRPr="00BA236B">
        <w:rPr>
          <w:rFonts w:ascii="Times New Roman" w:hAnsi="Times New Roman"/>
        </w:rPr>
        <w:t>(1) Podmienky podpory výroby elektriny z obnoviteľných zdrojov energie a podpory výroby elektriny vysoko účinnou kombinovanou výrobou pri zariadení výrobcu elektriny, ktoré bolo uvedené do prevádzky pred 1. januárom 2014, zostávajú zachované podľa doterajších predpisov.</w:t>
      </w:r>
    </w:p>
    <w:p w:rsidR="00180F94" w:rsidRPr="00BA236B" w:rsidP="00180F94">
      <w:pPr>
        <w:tabs>
          <w:tab w:val="num" w:pos="426"/>
        </w:tabs>
        <w:bidi w:val="0"/>
        <w:ind w:left="426"/>
        <w:jc w:val="both"/>
        <w:rPr>
          <w:rFonts w:ascii="Times New Roman" w:hAnsi="Times New Roman"/>
        </w:rPr>
      </w:pPr>
    </w:p>
    <w:p w:rsidR="00180F94" w:rsidRPr="00BA236B" w:rsidP="00180F94">
      <w:pPr>
        <w:tabs>
          <w:tab w:val="num" w:pos="426"/>
        </w:tabs>
        <w:bidi w:val="0"/>
        <w:ind w:left="426"/>
        <w:jc w:val="both"/>
        <w:rPr>
          <w:rFonts w:ascii="Times New Roman" w:hAnsi="Times New Roman"/>
          <w:color w:val="FF0000"/>
        </w:rPr>
      </w:pPr>
      <w:r w:rsidRPr="00BA236B">
        <w:rPr>
          <w:rFonts w:ascii="Times New Roman" w:hAnsi="Times New Roman"/>
        </w:rPr>
        <w:t xml:space="preserve">(2) Na zariadenie, </w:t>
      </w:r>
      <w:r w:rsidRPr="00DD3EE3">
        <w:rPr>
          <w:rFonts w:ascii="Times New Roman" w:hAnsi="Times New Roman"/>
        </w:rPr>
        <w:t>na ktorého výstavbu vydané stavebné povolenie nadobudlo právoplatnosť pred 1. januárom 2014 a ktoré má vydané rozhodnutie o povolení užívania podľa osobitného predpisu</w:t>
      </w:r>
      <w:r w:rsidRPr="000C5788">
        <w:rPr>
          <w:rFonts w:ascii="Times New Roman" w:hAnsi="Times New Roman"/>
          <w:vertAlign w:val="superscript"/>
        </w:rPr>
        <w:t>20)</w:t>
      </w:r>
      <w:r w:rsidRPr="00320F62">
        <w:rPr>
          <w:rFonts w:ascii="Times New Roman" w:hAnsi="Times New Roman"/>
        </w:rPr>
        <w:t xml:space="preserve"> pred 1. augustom 2015, sa na účely výpočtu podľa § 3 ods.</w:t>
      </w:r>
      <w:r w:rsidRPr="00BA236B">
        <w:rPr>
          <w:rFonts w:ascii="Times New Roman" w:hAnsi="Times New Roman"/>
        </w:rPr>
        <w:t xml:space="preserve"> 4 započíta množstvo elektriny vyrobené z biomasy alebo biokvapaliny kombinovanou výrobou určené podľa § 19 ods. 1 písm. a).</w:t>
      </w:r>
    </w:p>
    <w:p w:rsidR="00180F94" w:rsidRPr="00BA236B" w:rsidP="00180F94">
      <w:pPr>
        <w:pStyle w:val="ListParagraph"/>
        <w:tabs>
          <w:tab w:val="num" w:pos="426"/>
        </w:tabs>
        <w:bidi w:val="0"/>
        <w:ind w:left="426"/>
        <w:rPr>
          <w:rFonts w:ascii="Times New Roman" w:hAnsi="Times New Roman"/>
        </w:rPr>
      </w:pPr>
      <w:r w:rsidRPr="00BA236B">
        <w:rPr>
          <w:rFonts w:ascii="Times New Roman" w:hAnsi="Times New Roman"/>
        </w:rPr>
        <w:t xml:space="preserve"> </w:t>
      </w:r>
    </w:p>
    <w:p w:rsidR="00180F94" w:rsidRPr="00BA236B" w:rsidP="00180F94">
      <w:pPr>
        <w:tabs>
          <w:tab w:val="num" w:pos="426"/>
        </w:tabs>
        <w:bidi w:val="0"/>
        <w:ind w:left="426"/>
        <w:jc w:val="both"/>
        <w:rPr>
          <w:rFonts w:ascii="Times New Roman" w:hAnsi="Times New Roman"/>
          <w:color w:val="231F20"/>
        </w:rPr>
      </w:pPr>
      <w:r w:rsidRPr="00BA236B">
        <w:rPr>
          <w:rFonts w:ascii="Times New Roman" w:hAnsi="Times New Roman"/>
        </w:rPr>
        <w:t>(3) Výrobca elektriny z malého zdroja, ktorý</w:t>
      </w:r>
      <w:r w:rsidRPr="00BA236B">
        <w:rPr>
          <w:rFonts w:ascii="Times New Roman" w:hAnsi="Times New Roman"/>
          <w:color w:val="231F20"/>
        </w:rPr>
        <w:t xml:space="preserve"> si inštaloval malý zdroj pred 1. januárom 2014, oznámi uvedenie malého zdroja do prevádzky podľa § 4a ods. 6 do 31. marca 2014.  </w:t>
      </w:r>
    </w:p>
    <w:p w:rsidR="00180F94" w:rsidRPr="00BA236B" w:rsidP="00180F94">
      <w:pPr>
        <w:pStyle w:val="Style4"/>
        <w:kinsoku w:val="0"/>
        <w:autoSpaceDE/>
        <w:bidi w:val="0"/>
        <w:spacing w:line="240" w:lineRule="auto"/>
        <w:ind w:left="360"/>
        <w:rPr>
          <w:rFonts w:ascii="Times New Roman" w:hAnsi="Times New Roman"/>
          <w:sz w:val="24"/>
          <w:szCs w:val="24"/>
        </w:rPr>
      </w:pPr>
    </w:p>
    <w:p w:rsidR="00180F94" w:rsidRPr="00DD3EE3" w:rsidP="00180F94">
      <w:pPr>
        <w:pStyle w:val="Style4"/>
        <w:kinsoku w:val="0"/>
        <w:autoSpaceDE/>
        <w:bidi w:val="0"/>
        <w:spacing w:line="240" w:lineRule="auto"/>
        <w:ind w:left="360"/>
        <w:rPr>
          <w:rFonts w:ascii="Times New Roman" w:hAnsi="Times New Roman"/>
          <w:sz w:val="24"/>
          <w:szCs w:val="24"/>
        </w:rPr>
      </w:pPr>
      <w:r w:rsidRPr="00DD3EE3">
        <w:rPr>
          <w:rFonts w:ascii="Times New Roman" w:hAnsi="Times New Roman"/>
          <w:sz w:val="24"/>
          <w:szCs w:val="24"/>
        </w:rPr>
        <w:t xml:space="preserve">(4) Právo na doplatok podľa § 3 ods. 4 písm. </w:t>
      </w:r>
      <w:r w:rsidR="00610B72">
        <w:rPr>
          <w:rFonts w:ascii="Times New Roman" w:hAnsi="Times New Roman"/>
          <w:sz w:val="24"/>
          <w:szCs w:val="24"/>
        </w:rPr>
        <w:t>i</w:t>
      </w:r>
      <w:r w:rsidRPr="00DD3EE3">
        <w:rPr>
          <w:rFonts w:ascii="Times New Roman" w:hAnsi="Times New Roman"/>
          <w:sz w:val="24"/>
          <w:szCs w:val="24"/>
        </w:rPr>
        <w:t>) si výrobca elektriny môže uplatniť v období od 1. januára 2015 do 31. decembra 2018.</w:t>
      </w:r>
    </w:p>
    <w:p w:rsidR="00180F94" w:rsidRPr="00DD3EE3" w:rsidP="00180F94">
      <w:pPr>
        <w:pStyle w:val="Style4"/>
        <w:kinsoku w:val="0"/>
        <w:autoSpaceDE/>
        <w:bidi w:val="0"/>
        <w:spacing w:line="240" w:lineRule="auto"/>
        <w:ind w:left="360"/>
        <w:rPr>
          <w:rFonts w:ascii="Times New Roman" w:hAnsi="Times New Roman"/>
          <w:sz w:val="24"/>
          <w:szCs w:val="24"/>
        </w:rPr>
      </w:pPr>
      <w:r w:rsidRPr="00DD3EE3">
        <w:rPr>
          <w:rFonts w:ascii="Times New Roman" w:hAnsi="Times New Roman"/>
          <w:sz w:val="24"/>
          <w:szCs w:val="24"/>
        </w:rPr>
        <w:t xml:space="preserve"> </w:t>
      </w:r>
    </w:p>
    <w:p w:rsidR="00180F94" w:rsidRPr="00DD3EE3" w:rsidP="00180F94">
      <w:pPr>
        <w:pStyle w:val="Style4"/>
        <w:kinsoku w:val="0"/>
        <w:autoSpaceDE/>
        <w:bidi w:val="0"/>
        <w:spacing w:line="240" w:lineRule="auto"/>
        <w:ind w:left="360"/>
        <w:rPr>
          <w:rFonts w:ascii="Times New Roman" w:hAnsi="Times New Roman"/>
          <w:sz w:val="24"/>
          <w:szCs w:val="24"/>
        </w:rPr>
      </w:pPr>
      <w:r w:rsidRPr="00DD3EE3">
        <w:rPr>
          <w:rFonts w:ascii="Times New Roman" w:hAnsi="Times New Roman"/>
          <w:sz w:val="24"/>
          <w:szCs w:val="24"/>
        </w:rPr>
        <w:t>(5) Ustanovenie § 6 ods. 5 sa vzťahuje na výrobcu elektriny, na výstavbu, rekonštrukciu alebo modernizáciu zariadenia ktorého bola poskytnutá podpora z podporných programov financovaných z prostriedkov štátneho rozpočtu po 1. januári 2014.“.</w:t>
      </w:r>
    </w:p>
    <w:p w:rsidR="00180F94" w:rsidRPr="00DD3EE3" w:rsidP="00180F94">
      <w:pPr>
        <w:tabs>
          <w:tab w:val="num" w:pos="426"/>
        </w:tabs>
        <w:bidi w:val="0"/>
        <w:ind w:left="426"/>
        <w:jc w:val="both"/>
        <w:rPr>
          <w:rFonts w:ascii="Times New Roman" w:hAnsi="Times New Roman"/>
        </w:rPr>
      </w:pPr>
    </w:p>
    <w:p w:rsidR="00180F94" w:rsidRPr="00DD3EE3" w:rsidP="00180F94">
      <w:pPr>
        <w:numPr>
          <w:numId w:val="9"/>
        </w:numPr>
        <w:bidi w:val="0"/>
        <w:ind w:left="426"/>
        <w:jc w:val="both"/>
        <w:rPr>
          <w:rFonts w:ascii="Times New Roman" w:hAnsi="Times New Roman"/>
        </w:rPr>
      </w:pPr>
      <w:r w:rsidRPr="00DD3EE3">
        <w:rPr>
          <w:rFonts w:ascii="Times New Roman" w:hAnsi="Times New Roman"/>
        </w:rPr>
        <w:t>V § 19 ods. 2 písmeno h) znie:</w:t>
      </w:r>
    </w:p>
    <w:p w:rsidR="00180F94" w:rsidRPr="00BA236B" w:rsidP="00180F94">
      <w:pPr>
        <w:tabs>
          <w:tab w:val="num" w:pos="426"/>
        </w:tabs>
        <w:bidi w:val="0"/>
        <w:ind w:left="426"/>
        <w:jc w:val="both"/>
        <w:rPr>
          <w:rFonts w:ascii="Times New Roman" w:hAnsi="Times New Roman"/>
        </w:rPr>
      </w:pPr>
      <w:r w:rsidRPr="00DD3EE3">
        <w:rPr>
          <w:rFonts w:ascii="Times New Roman" w:hAnsi="Times New Roman"/>
        </w:rPr>
        <w:t>„</w:t>
      </w:r>
      <w:r w:rsidRPr="000C5788">
        <w:rPr>
          <w:rFonts w:ascii="Times New Roman" w:hAnsi="Times New Roman"/>
        </w:rPr>
        <w:t xml:space="preserve">h) </w:t>
      </w:r>
      <w:r w:rsidRPr="00320F62">
        <w:rPr>
          <w:rFonts w:ascii="Times New Roman" w:hAnsi="Times New Roman"/>
        </w:rPr>
        <w:t>požiadavky na kvalitu a parametre biomasy, ktorá sa</w:t>
      </w:r>
      <w:r w:rsidRPr="00BA236B">
        <w:rPr>
          <w:rFonts w:ascii="Times New Roman" w:hAnsi="Times New Roman"/>
        </w:rPr>
        <w:t xml:space="preserve"> používa na spaľovanie alebo spoluspaľovanie alebo spracovanie,“.</w:t>
      </w:r>
    </w:p>
    <w:p w:rsidR="00180F94" w:rsidP="00180F94">
      <w:pPr>
        <w:tabs>
          <w:tab w:val="num" w:pos="426"/>
        </w:tabs>
        <w:bidi w:val="0"/>
        <w:ind w:left="426"/>
        <w:jc w:val="both"/>
        <w:rPr>
          <w:rFonts w:ascii="Times New Roman" w:hAnsi="Times New Roman"/>
        </w:rPr>
      </w:pPr>
    </w:p>
    <w:p w:rsidR="000C77F7" w:rsidP="00180F94">
      <w:pPr>
        <w:tabs>
          <w:tab w:val="num" w:pos="426"/>
        </w:tabs>
        <w:bidi w:val="0"/>
        <w:ind w:left="426"/>
        <w:jc w:val="both"/>
        <w:rPr>
          <w:rFonts w:ascii="Times New Roman" w:hAnsi="Times New Roman"/>
        </w:rPr>
      </w:pPr>
    </w:p>
    <w:p w:rsidR="000C77F7" w:rsidRPr="00BA236B" w:rsidP="00180F94">
      <w:pPr>
        <w:tabs>
          <w:tab w:val="num" w:pos="426"/>
        </w:tabs>
        <w:bidi w:val="0"/>
        <w:ind w:left="426"/>
        <w:jc w:val="both"/>
        <w:rPr>
          <w:rFonts w:ascii="Times New Roman" w:hAnsi="Times New Roman"/>
        </w:rPr>
      </w:pPr>
    </w:p>
    <w:p w:rsidR="00180F94" w:rsidRPr="00BA236B" w:rsidP="00180F94">
      <w:pPr>
        <w:numPr>
          <w:numId w:val="9"/>
        </w:numPr>
        <w:bidi w:val="0"/>
        <w:ind w:left="426"/>
        <w:jc w:val="both"/>
        <w:rPr>
          <w:rFonts w:ascii="Times New Roman" w:hAnsi="Times New Roman"/>
        </w:rPr>
      </w:pPr>
      <w:r w:rsidRPr="00BA236B">
        <w:rPr>
          <w:rFonts w:ascii="Times New Roman" w:hAnsi="Times New Roman"/>
        </w:rPr>
        <w:t xml:space="preserve"> Za § 21 sa vkladá § 21a, ktorý znie:</w:t>
      </w:r>
    </w:p>
    <w:p w:rsidR="00180F94" w:rsidRPr="00BA236B" w:rsidP="00180F94">
      <w:pPr>
        <w:tabs>
          <w:tab w:val="num" w:pos="426"/>
        </w:tabs>
        <w:bidi w:val="0"/>
        <w:ind w:left="426"/>
        <w:jc w:val="center"/>
        <w:rPr>
          <w:rFonts w:ascii="Times New Roman" w:hAnsi="Times New Roman"/>
        </w:rPr>
      </w:pPr>
      <w:r w:rsidRPr="00BA236B">
        <w:rPr>
          <w:rFonts w:ascii="Times New Roman" w:hAnsi="Times New Roman"/>
        </w:rPr>
        <w:t>„§ 21a</w:t>
      </w:r>
    </w:p>
    <w:p w:rsidR="00180F94" w:rsidRPr="00BA236B" w:rsidP="00180F94">
      <w:pPr>
        <w:tabs>
          <w:tab w:val="num" w:pos="426"/>
        </w:tabs>
        <w:bidi w:val="0"/>
        <w:ind w:left="426"/>
        <w:jc w:val="center"/>
        <w:rPr>
          <w:rFonts w:ascii="Times New Roman" w:hAnsi="Times New Roman"/>
        </w:rPr>
      </w:pPr>
    </w:p>
    <w:p w:rsidR="00180F94" w:rsidRPr="00BA236B" w:rsidP="00180F94">
      <w:pPr>
        <w:tabs>
          <w:tab w:val="num" w:pos="426"/>
        </w:tabs>
        <w:bidi w:val="0"/>
        <w:ind w:left="426"/>
        <w:jc w:val="both"/>
        <w:rPr>
          <w:rFonts w:ascii="Times New Roman" w:hAnsi="Times New Roman"/>
        </w:rPr>
      </w:pPr>
      <w:r w:rsidRPr="00BA236B">
        <w:rPr>
          <w:rFonts w:ascii="Times New Roman" w:hAnsi="Times New Roman"/>
        </w:rPr>
        <w:t>Zrušuje sa nariadenie vlády Slovenskej republiky č. 246/2006 Z. z. o minimálnom množstve pohonných látok vyrobených z obnoviteľných zdrojov v motorových benzínoch a motorovej nafte uvádzaných na trh Slovenskej republiky v znení nariadenia vlády Slovenskej republiky č. 304/2008 Z. z. a nariadenia vlády Slovenskej republiky                          č. 402/2010 Z. z.“.</w:t>
      </w:r>
    </w:p>
    <w:p w:rsidR="00180F94" w:rsidRPr="00BA236B" w:rsidP="00180F94">
      <w:pPr>
        <w:tabs>
          <w:tab w:val="num" w:pos="426"/>
        </w:tabs>
        <w:bidi w:val="0"/>
        <w:ind w:left="426"/>
        <w:jc w:val="both"/>
        <w:rPr>
          <w:rFonts w:ascii="Times New Roman" w:hAnsi="Times New Roman"/>
        </w:rPr>
      </w:pPr>
    </w:p>
    <w:p w:rsidR="00180F94" w:rsidRPr="00BA236B" w:rsidP="00180F94">
      <w:pPr>
        <w:numPr>
          <w:numId w:val="9"/>
        </w:numPr>
        <w:bidi w:val="0"/>
        <w:ind w:left="426"/>
        <w:jc w:val="both"/>
        <w:rPr>
          <w:rFonts w:ascii="Times New Roman" w:hAnsi="Times New Roman"/>
        </w:rPr>
      </w:pPr>
      <w:r w:rsidRPr="00BA236B">
        <w:rPr>
          <w:rFonts w:ascii="Times New Roman" w:hAnsi="Times New Roman"/>
        </w:rPr>
        <w:t>V prílohe č. 1 Tabuľka č. 1 znie:</w:t>
      </w:r>
    </w:p>
    <w:p w:rsidR="00180F94" w:rsidRPr="00DD3EE3" w:rsidP="00180F94">
      <w:pPr>
        <w:tabs>
          <w:tab w:val="num" w:pos="426"/>
        </w:tabs>
        <w:bidi w:val="0"/>
        <w:ind w:left="426" w:hanging="426"/>
        <w:jc w:val="both"/>
        <w:rPr>
          <w:rFonts w:ascii="Times New Roman" w:hAnsi="Times New Roman"/>
        </w:rPr>
      </w:pPr>
      <w:r w:rsidRPr="00DD3EE3">
        <w:rPr>
          <w:rFonts w:ascii="Times New Roman" w:hAnsi="Times New Roman"/>
        </w:rPr>
        <w:t>„</w:t>
      </w:r>
    </w:p>
    <w:tbl>
      <w:tblPr>
        <w:tblStyle w:val="TableNormal"/>
        <w:tblW w:w="8930" w:type="dxa"/>
        <w:tblLayout w:type="fixed"/>
        <w:tblLook w:val="00A0"/>
      </w:tblPr>
      <w:tblGrid>
        <w:gridCol w:w="992"/>
        <w:gridCol w:w="793"/>
        <w:gridCol w:w="794"/>
        <w:gridCol w:w="794"/>
        <w:gridCol w:w="794"/>
        <w:gridCol w:w="794"/>
        <w:gridCol w:w="793"/>
        <w:gridCol w:w="794"/>
        <w:gridCol w:w="794"/>
        <w:gridCol w:w="794"/>
        <w:gridCol w:w="794"/>
      </w:tblGrid>
      <w:tr>
        <w:tblPrEx>
          <w:tblW w:w="8930" w:type="dxa"/>
          <w:tblLayout w:type="fixed"/>
          <w:tblLook w:val="00A0"/>
        </w:tblPrEx>
        <w:trPr>
          <w:trHeight w:val="317"/>
        </w:trPr>
        <w:tc>
          <w:tcPr>
            <w:tcW w:w="992"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0C77F7">
            <w:pPr>
              <w:tabs>
                <w:tab w:val="num" w:pos="426"/>
                <w:tab w:val="left" w:pos="1134"/>
              </w:tabs>
              <w:bidi w:val="0"/>
              <w:rPr>
                <w:rFonts w:ascii="Times New Roman" w:hAnsi="Times New Roman"/>
              </w:rPr>
            </w:pPr>
            <w:r w:rsidRPr="00DD3EE3">
              <w:rPr>
                <w:rFonts w:ascii="Times New Roman" w:hAnsi="Times New Roman"/>
              </w:rPr>
              <w:t> </w:t>
            </w:r>
          </w:p>
        </w:tc>
        <w:tc>
          <w:tcPr>
            <w:tcW w:w="793"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jc w:val="right"/>
              <w:rPr>
                <w:rFonts w:ascii="Times New Roman" w:hAnsi="Times New Roman"/>
                <w:sz w:val="22"/>
                <w:szCs w:val="22"/>
              </w:rPr>
            </w:pPr>
            <w:r w:rsidRPr="00DD3EE3">
              <w:rPr>
                <w:rFonts w:ascii="Times New Roman" w:hAnsi="Times New Roman"/>
                <w:sz w:val="22"/>
                <w:szCs w:val="22"/>
              </w:rPr>
              <w:t>2011</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2012</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2013</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2014</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2015</w:t>
            </w:r>
          </w:p>
        </w:tc>
        <w:tc>
          <w:tcPr>
            <w:tcW w:w="793"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2016</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2017</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2018</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right"/>
              <w:rPr>
                <w:rFonts w:ascii="Times New Roman" w:hAnsi="Times New Roman"/>
                <w:sz w:val="22"/>
                <w:szCs w:val="22"/>
              </w:rPr>
            </w:pPr>
            <w:r w:rsidRPr="00DD3EE3">
              <w:rPr>
                <w:rFonts w:ascii="Times New Roman" w:hAnsi="Times New Roman"/>
                <w:sz w:val="22"/>
                <w:szCs w:val="22"/>
              </w:rPr>
              <w:t>2019</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2" w:hanging="70"/>
              <w:jc w:val="right"/>
              <w:rPr>
                <w:rFonts w:ascii="Times New Roman" w:hAnsi="Times New Roman"/>
                <w:sz w:val="22"/>
                <w:szCs w:val="22"/>
              </w:rPr>
            </w:pPr>
            <w:r w:rsidRPr="00DD3EE3">
              <w:rPr>
                <w:rFonts w:ascii="Times New Roman" w:hAnsi="Times New Roman"/>
                <w:sz w:val="22"/>
                <w:szCs w:val="22"/>
              </w:rPr>
              <w:t>2020</w:t>
            </w:r>
          </w:p>
        </w:tc>
      </w:tr>
      <w:tr>
        <w:tblPrEx>
          <w:tblW w:w="8930" w:type="dxa"/>
          <w:tblLayout w:type="fixed"/>
          <w:tblLook w:val="00A0"/>
        </w:tblPrEx>
        <w:trPr>
          <w:trHeight w:val="278"/>
        </w:trPr>
        <w:tc>
          <w:tcPr>
            <w:tcW w:w="992" w:type="dxa"/>
            <w:tcBorders>
              <w:top w:val="none" w:sz="0" w:space="0" w:color="auto"/>
              <w:left w:val="none" w:sz="0" w:space="0" w:color="auto"/>
              <w:bottom w:val="none" w:sz="0" w:space="0" w:color="auto"/>
              <w:right w:val="none" w:sz="0" w:space="0" w:color="auto"/>
            </w:tcBorders>
            <w:noWrap/>
            <w:textDirection w:val="lrTb"/>
            <w:vAlign w:val="top"/>
          </w:tcPr>
          <w:p w:rsidR="00180F94" w:rsidRPr="00F75719" w:rsidP="0080308E">
            <w:pPr>
              <w:tabs>
                <w:tab w:val="left" w:pos="1134"/>
              </w:tabs>
              <w:bidi w:val="0"/>
              <w:ind w:left="-108"/>
              <w:rPr>
                <w:rFonts w:ascii="Times New Roman" w:hAnsi="Times New Roman"/>
                <w:sz w:val="22"/>
                <w:szCs w:val="22"/>
              </w:rPr>
            </w:pPr>
            <w:r w:rsidRPr="00F75719">
              <w:rPr>
                <w:rFonts w:ascii="Times New Roman" w:hAnsi="Times New Roman"/>
                <w:sz w:val="22"/>
                <w:szCs w:val="22"/>
              </w:rPr>
              <w:t>Biodiesel</w:t>
            </w:r>
          </w:p>
        </w:tc>
        <w:tc>
          <w:tcPr>
            <w:tcW w:w="793"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72"/>
              <w:jc w:val="center"/>
              <w:rPr>
                <w:rFonts w:ascii="Times New Roman" w:hAnsi="Times New Roman"/>
                <w:sz w:val="22"/>
                <w:szCs w:val="22"/>
              </w:rPr>
            </w:pPr>
            <w:r w:rsidRPr="00DD3EE3">
              <w:rPr>
                <w:rFonts w:ascii="Times New Roman" w:hAnsi="Times New Roman"/>
                <w:sz w:val="22"/>
                <w:szCs w:val="22"/>
              </w:rPr>
              <w:t>5,2%</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63"/>
              <w:jc w:val="center"/>
              <w:rPr>
                <w:rFonts w:ascii="Times New Roman" w:hAnsi="Times New Roman"/>
                <w:sz w:val="22"/>
                <w:szCs w:val="22"/>
              </w:rPr>
            </w:pPr>
            <w:r w:rsidRPr="00DD3EE3">
              <w:rPr>
                <w:rFonts w:ascii="Times New Roman" w:hAnsi="Times New Roman"/>
                <w:sz w:val="22"/>
                <w:szCs w:val="22"/>
              </w:rPr>
              <w:t>5,3%</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63"/>
              <w:jc w:val="center"/>
              <w:rPr>
                <w:rFonts w:ascii="Times New Roman" w:hAnsi="Times New Roman"/>
                <w:sz w:val="22"/>
                <w:szCs w:val="22"/>
              </w:rPr>
            </w:pPr>
            <w:r w:rsidRPr="00DD3EE3">
              <w:rPr>
                <w:rFonts w:ascii="Times New Roman" w:hAnsi="Times New Roman"/>
                <w:sz w:val="22"/>
                <w:szCs w:val="22"/>
              </w:rPr>
              <w:t>5,4%</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63"/>
              <w:jc w:val="center"/>
              <w:rPr>
                <w:rFonts w:ascii="Times New Roman" w:hAnsi="Times New Roman"/>
                <w:sz w:val="22"/>
                <w:szCs w:val="22"/>
              </w:rPr>
            </w:pPr>
            <w:r w:rsidRPr="00DD3EE3">
              <w:rPr>
                <w:rFonts w:ascii="Times New Roman" w:hAnsi="Times New Roman"/>
                <w:sz w:val="22"/>
                <w:szCs w:val="22"/>
              </w:rPr>
              <w:t>6,8%</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63"/>
              <w:jc w:val="center"/>
              <w:rPr>
                <w:rFonts w:ascii="Times New Roman" w:hAnsi="Times New Roman"/>
                <w:sz w:val="22"/>
                <w:szCs w:val="22"/>
              </w:rPr>
            </w:pPr>
            <w:r w:rsidRPr="00DD3EE3">
              <w:rPr>
                <w:rFonts w:ascii="Times New Roman" w:hAnsi="Times New Roman"/>
                <w:sz w:val="22"/>
                <w:szCs w:val="22"/>
              </w:rPr>
              <w:t>6,8%</w:t>
            </w:r>
          </w:p>
        </w:tc>
        <w:tc>
          <w:tcPr>
            <w:tcW w:w="793"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63"/>
              <w:jc w:val="center"/>
              <w:rPr>
                <w:rFonts w:ascii="Times New Roman" w:hAnsi="Times New Roman"/>
                <w:sz w:val="22"/>
                <w:szCs w:val="22"/>
              </w:rPr>
            </w:pPr>
            <w:r w:rsidRPr="00DD3EE3">
              <w:rPr>
                <w:rFonts w:ascii="Times New Roman" w:hAnsi="Times New Roman"/>
                <w:sz w:val="22"/>
                <w:szCs w:val="22"/>
              </w:rPr>
              <w:t>7,6%</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63"/>
              <w:jc w:val="center"/>
              <w:rPr>
                <w:rFonts w:ascii="Times New Roman" w:hAnsi="Times New Roman"/>
                <w:sz w:val="22"/>
                <w:szCs w:val="22"/>
              </w:rPr>
            </w:pPr>
            <w:r w:rsidRPr="00DD3EE3">
              <w:rPr>
                <w:rFonts w:ascii="Times New Roman" w:hAnsi="Times New Roman"/>
                <w:sz w:val="22"/>
                <w:szCs w:val="22"/>
              </w:rPr>
              <w:t>8,8%</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63"/>
              <w:jc w:val="center"/>
              <w:rPr>
                <w:rFonts w:ascii="Times New Roman" w:hAnsi="Times New Roman"/>
                <w:sz w:val="22"/>
                <w:szCs w:val="22"/>
              </w:rPr>
            </w:pPr>
            <w:r w:rsidRPr="00DD3EE3">
              <w:rPr>
                <w:rFonts w:ascii="Times New Roman" w:hAnsi="Times New Roman"/>
                <w:sz w:val="22"/>
                <w:szCs w:val="22"/>
              </w:rPr>
              <w:t>9,7%</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29"/>
              <w:jc w:val="center"/>
              <w:rPr>
                <w:rFonts w:ascii="Times New Roman" w:hAnsi="Times New Roman"/>
                <w:sz w:val="22"/>
                <w:szCs w:val="22"/>
              </w:rPr>
            </w:pPr>
            <w:r w:rsidRPr="00DD3EE3">
              <w:rPr>
                <w:rFonts w:ascii="Times New Roman" w:hAnsi="Times New Roman"/>
                <w:sz w:val="22"/>
                <w:szCs w:val="22"/>
              </w:rPr>
              <w:t>10,1%</w:t>
            </w:r>
          </w:p>
        </w:tc>
        <w:tc>
          <w:tcPr>
            <w:tcW w:w="794" w:type="dxa"/>
            <w:tcBorders>
              <w:top w:val="none" w:sz="0" w:space="0" w:color="auto"/>
              <w:left w:val="none" w:sz="0" w:space="0" w:color="auto"/>
              <w:bottom w:val="none" w:sz="0" w:space="0" w:color="auto"/>
              <w:right w:val="none" w:sz="0" w:space="0" w:color="auto"/>
            </w:tcBorders>
            <w:noWrap/>
            <w:textDirection w:val="lrTb"/>
            <w:vAlign w:val="top"/>
          </w:tcPr>
          <w:p w:rsidR="00180F94" w:rsidRPr="00DD3EE3" w:rsidP="0080308E">
            <w:pPr>
              <w:tabs>
                <w:tab w:val="left" w:pos="1134"/>
              </w:tabs>
              <w:bidi w:val="0"/>
              <w:ind w:left="2" w:right="-108"/>
              <w:jc w:val="center"/>
              <w:rPr>
                <w:rFonts w:ascii="Times New Roman" w:hAnsi="Times New Roman"/>
                <w:sz w:val="22"/>
                <w:szCs w:val="22"/>
              </w:rPr>
            </w:pPr>
            <w:r w:rsidRPr="00DD3EE3">
              <w:rPr>
                <w:rFonts w:ascii="Times New Roman" w:hAnsi="Times New Roman"/>
                <w:sz w:val="22"/>
                <w:szCs w:val="22"/>
              </w:rPr>
              <w:t>11,5%</w:t>
            </w:r>
          </w:p>
        </w:tc>
      </w:tr>
    </w:tbl>
    <w:p w:rsidR="00180F94" w:rsidRPr="00DD3EE3" w:rsidP="00180F94">
      <w:pPr>
        <w:tabs>
          <w:tab w:val="num" w:pos="426"/>
          <w:tab w:val="left" w:pos="1134"/>
        </w:tabs>
        <w:bidi w:val="0"/>
        <w:ind w:left="426"/>
        <w:jc w:val="right"/>
        <w:rPr>
          <w:rFonts w:ascii="Times New Roman" w:hAnsi="Times New Roman"/>
        </w:rPr>
      </w:pPr>
      <w:r>
        <w:rPr>
          <w:rFonts w:ascii="Times New Roman" w:hAnsi="Times New Roman"/>
        </w:rPr>
        <w:t>.</w:t>
      </w:r>
      <w:r w:rsidRPr="00DD3EE3">
        <w:rPr>
          <w:rFonts w:ascii="Times New Roman" w:hAnsi="Times New Roman"/>
        </w:rPr>
        <w:t>“.</w:t>
      </w:r>
    </w:p>
    <w:p w:rsidR="00180F94" w:rsidRPr="00DD3EE3" w:rsidP="00180F94">
      <w:pPr>
        <w:pStyle w:val="ListParagraph"/>
        <w:tabs>
          <w:tab w:val="num" w:pos="426"/>
        </w:tabs>
        <w:bidi w:val="0"/>
        <w:ind w:left="426"/>
        <w:rPr>
          <w:rFonts w:ascii="Times New Roman" w:hAnsi="Times New Roman"/>
        </w:rPr>
      </w:pPr>
    </w:p>
    <w:p w:rsidR="00180F94" w:rsidRPr="00DD3EE3" w:rsidP="00180F94">
      <w:pPr>
        <w:bidi w:val="0"/>
        <w:jc w:val="center"/>
        <w:rPr>
          <w:rFonts w:ascii="Times New Roman" w:hAnsi="Times New Roman"/>
        </w:rPr>
      </w:pPr>
      <w:r w:rsidRPr="00DD3EE3">
        <w:rPr>
          <w:rFonts w:ascii="Times New Roman" w:hAnsi="Times New Roman"/>
        </w:rPr>
        <w:t xml:space="preserve"> </w:t>
      </w:r>
      <w:r w:rsidRPr="00DD3EE3">
        <w:rPr>
          <w:rFonts w:ascii="Times New Roman" w:hAnsi="Times New Roman"/>
          <w:b/>
        </w:rPr>
        <w:t>Č</w:t>
      </w:r>
      <w:r w:rsidRPr="00DD3EE3">
        <w:rPr>
          <w:rFonts w:ascii="Times New Roman" w:hAnsi="Times New Roman"/>
        </w:rPr>
        <w:t>l. II</w:t>
      </w:r>
    </w:p>
    <w:p w:rsidR="00180F94" w:rsidRPr="00DD3EE3" w:rsidP="00180F94">
      <w:pPr>
        <w:pStyle w:val="BodyText"/>
        <w:bidi w:val="0"/>
        <w:rPr>
          <w:rFonts w:ascii="Times New Roman" w:hAnsi="Times New Roman"/>
          <w:b w:val="0"/>
        </w:rPr>
      </w:pPr>
    </w:p>
    <w:p w:rsidR="00180F94" w:rsidRPr="000C5788" w:rsidP="00180F94">
      <w:pPr>
        <w:bidi w:val="0"/>
        <w:jc w:val="both"/>
        <w:rPr>
          <w:rFonts w:ascii="Times New Roman" w:hAnsi="Times New Roman"/>
        </w:rPr>
      </w:pPr>
      <w:r w:rsidRPr="00DD3EE3">
        <w:rPr>
          <w:rFonts w:ascii="Times New Roman" w:hAnsi="Times New Roman"/>
        </w:rPr>
        <w:t>Zákon č. 251/2012 Z. z. o energetike a o zmene a doplnení niektorých zákonov v znení zákona č. 391/2012 Z. z. sa mení takto</w:t>
      </w:r>
      <w:r w:rsidRPr="000C5788">
        <w:rPr>
          <w:rFonts w:ascii="Times New Roman" w:hAnsi="Times New Roman"/>
        </w:rPr>
        <w:t xml:space="preserve">: </w:t>
      </w:r>
    </w:p>
    <w:p w:rsidR="00180F94" w:rsidRPr="00DD3EE3" w:rsidP="00180F94">
      <w:pPr>
        <w:bidi w:val="0"/>
        <w:jc w:val="both"/>
        <w:rPr>
          <w:rFonts w:ascii="Times New Roman" w:hAnsi="Times New Roman"/>
        </w:rPr>
      </w:pPr>
    </w:p>
    <w:p w:rsidR="00180F94" w:rsidRPr="00DD3EE3" w:rsidP="00180F94">
      <w:pPr>
        <w:tabs>
          <w:tab w:val="left" w:pos="360"/>
        </w:tabs>
        <w:autoSpaceDE w:val="0"/>
        <w:autoSpaceDN w:val="0"/>
        <w:bidi w:val="0"/>
        <w:adjustRightInd w:val="0"/>
        <w:jc w:val="both"/>
        <w:rPr>
          <w:rFonts w:ascii="Times New Roman" w:hAnsi="Times New Roman"/>
          <w:color w:val="000000"/>
        </w:rPr>
      </w:pPr>
      <w:r w:rsidRPr="00DD3EE3">
        <w:rPr>
          <w:rFonts w:ascii="Times New Roman" w:hAnsi="Times New Roman"/>
        </w:rPr>
        <w:t xml:space="preserve">1.  </w:t>
      </w:r>
      <w:r w:rsidRPr="00DD3EE3">
        <w:rPr>
          <w:rFonts w:ascii="Times New Roman" w:hAnsi="Times New Roman"/>
          <w:color w:val="000000"/>
        </w:rPr>
        <w:t xml:space="preserve">V § 2 písm. b) bod 12 znie: </w:t>
      </w:r>
    </w:p>
    <w:p w:rsidR="00180F94" w:rsidRPr="00DD3EE3" w:rsidP="00180F94">
      <w:pPr>
        <w:autoSpaceDE w:val="0"/>
        <w:autoSpaceDN w:val="0"/>
        <w:bidi w:val="0"/>
        <w:adjustRightInd w:val="0"/>
        <w:ind w:left="284"/>
        <w:jc w:val="both"/>
        <w:rPr>
          <w:rFonts w:ascii="Times New Roman" w:hAnsi="Times New Roman"/>
          <w:color w:val="000000"/>
        </w:rPr>
      </w:pPr>
      <w:r w:rsidRPr="00DD3EE3">
        <w:rPr>
          <w:rFonts w:ascii="Times New Roman" w:hAnsi="Times New Roman"/>
        </w:rPr>
        <w:t>„12. odberným miestom miesto odberu elektriny pozostávajúce z jedného meracieho bodu,“.</w:t>
      </w:r>
    </w:p>
    <w:p w:rsidR="00180F94" w:rsidRPr="00DD3EE3" w:rsidP="00180F94">
      <w:pPr>
        <w:pStyle w:val="ListParagraph"/>
        <w:bidi w:val="0"/>
        <w:ind w:left="0"/>
        <w:jc w:val="both"/>
        <w:rPr>
          <w:rFonts w:ascii="Times New Roman" w:hAnsi="Times New Roman"/>
        </w:rPr>
      </w:pPr>
    </w:p>
    <w:p w:rsidR="00180F94" w:rsidRPr="00DD3EE3" w:rsidP="00180F94">
      <w:pPr>
        <w:pStyle w:val="ListParagraph"/>
        <w:bidi w:val="0"/>
        <w:ind w:left="0"/>
        <w:jc w:val="both"/>
        <w:rPr>
          <w:rFonts w:ascii="Times New Roman" w:hAnsi="Times New Roman"/>
        </w:rPr>
      </w:pPr>
      <w:r w:rsidRPr="00DD3EE3">
        <w:rPr>
          <w:rFonts w:ascii="Times New Roman" w:hAnsi="Times New Roman"/>
        </w:rPr>
        <w:t>2.  § 27 sa dopĺňa odsekom 5, ktorý znie:</w:t>
      </w:r>
    </w:p>
    <w:p w:rsidR="00180F94" w:rsidRPr="00320F62" w:rsidP="00180F94">
      <w:pPr>
        <w:bidi w:val="0"/>
        <w:ind w:left="284"/>
        <w:jc w:val="both"/>
        <w:rPr>
          <w:rFonts w:ascii="Times New Roman" w:hAnsi="Times New Roman"/>
        </w:rPr>
      </w:pPr>
      <w:r w:rsidRPr="00DD3EE3">
        <w:rPr>
          <w:rFonts w:ascii="Times New Roman" w:hAnsi="Times New Roman"/>
        </w:rPr>
        <w:t>„(5)  Povinnosti podľa odseku 2 písm. e), f), g), h), i),  k), l) a q) sa nevzťahujú na výrobcu  elektriny z malého zdroja; povinnosti podľa odseku 2 písm. j) sa nevzťahujú na výrobcu elektriny z malého zdroja, ktorý nepodniká v energetike. Na výrobcu elektriny z malého zdroja pri plnení povinností podľa odseku 2 písm. p) sa nevzťahuje § 41 ods. 3.“</w:t>
      </w:r>
      <w:r w:rsidRPr="000C5788">
        <w:rPr>
          <w:rFonts w:ascii="Times New Roman" w:hAnsi="Times New Roman"/>
          <w:bCs/>
        </w:rPr>
        <w:t>.</w:t>
      </w:r>
    </w:p>
    <w:p w:rsidR="00180F94" w:rsidRPr="00BA236B" w:rsidP="00180F94">
      <w:pPr>
        <w:bidi w:val="0"/>
        <w:ind w:left="360"/>
        <w:jc w:val="both"/>
        <w:rPr>
          <w:rFonts w:ascii="Times New Roman" w:hAnsi="Times New Roman"/>
        </w:rPr>
      </w:pPr>
    </w:p>
    <w:p w:rsidR="00180F94" w:rsidRPr="00BA236B" w:rsidP="00180F94">
      <w:pPr>
        <w:bidi w:val="0"/>
        <w:ind w:left="284" w:hanging="284"/>
        <w:jc w:val="both"/>
        <w:rPr>
          <w:rFonts w:ascii="Times New Roman" w:hAnsi="Times New Roman"/>
        </w:rPr>
      </w:pPr>
      <w:r w:rsidRPr="00BA236B">
        <w:rPr>
          <w:rFonts w:ascii="Times New Roman" w:hAnsi="Times New Roman"/>
        </w:rPr>
        <w:t xml:space="preserve">3. V § 41 ods. 3 písm. a) sa slová „bez obmedzenia inštalovaného výkonu“ nahrádzajú slovami „ak celkový inštalovaný výkon je viac ako 100 kW“. </w:t>
      </w:r>
    </w:p>
    <w:p w:rsidR="00180F94" w:rsidRPr="00BA236B" w:rsidP="00180F94">
      <w:pPr>
        <w:bidi w:val="0"/>
        <w:ind w:left="284" w:hanging="284"/>
        <w:jc w:val="both"/>
        <w:rPr>
          <w:rFonts w:ascii="Times New Roman" w:hAnsi="Times New Roman"/>
        </w:rPr>
      </w:pPr>
    </w:p>
    <w:p w:rsidR="00180F94" w:rsidRPr="00DD3EE3" w:rsidP="00180F94">
      <w:pPr>
        <w:numPr>
          <w:numId w:val="4"/>
        </w:numPr>
        <w:bidi w:val="0"/>
        <w:ind w:left="426" w:hanging="426"/>
        <w:jc w:val="both"/>
        <w:rPr>
          <w:rFonts w:ascii="Times New Roman" w:hAnsi="Times New Roman"/>
        </w:rPr>
      </w:pPr>
      <w:r w:rsidRPr="00BA236B">
        <w:rPr>
          <w:rFonts w:ascii="Times New Roman" w:hAnsi="Times New Roman"/>
        </w:rPr>
        <w:t>V § 41 ods. 6 text za bodkočiarkou znie: „odovzdávacím miestom je miesto odovzdania elektriny pozostávajúce z jedného meracieho bodu.“.</w:t>
      </w:r>
    </w:p>
    <w:p w:rsidR="00180F94" w:rsidRPr="00DD3EE3" w:rsidP="00180F94">
      <w:pPr>
        <w:bidi w:val="0"/>
        <w:ind w:left="1428"/>
        <w:jc w:val="both"/>
        <w:rPr>
          <w:rFonts w:ascii="Times New Roman" w:hAnsi="Times New Roman"/>
        </w:rPr>
      </w:pPr>
    </w:p>
    <w:p w:rsidR="00180F94" w:rsidRPr="00DD3EE3" w:rsidP="00180F94">
      <w:pPr>
        <w:bidi w:val="0"/>
        <w:ind w:left="284" w:hanging="284"/>
        <w:jc w:val="both"/>
        <w:rPr>
          <w:rFonts w:ascii="Times New Roman" w:hAnsi="Times New Roman"/>
        </w:rPr>
      </w:pPr>
    </w:p>
    <w:p w:rsidR="00180F94" w:rsidRPr="00DD3EE3" w:rsidP="00180F94">
      <w:pPr>
        <w:bidi w:val="0"/>
        <w:ind w:left="284" w:hanging="284"/>
        <w:jc w:val="both"/>
        <w:rPr>
          <w:rFonts w:ascii="Times New Roman" w:hAnsi="Times New Roman"/>
        </w:rPr>
      </w:pPr>
    </w:p>
    <w:p w:rsidR="00180F94"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P="00180F94">
      <w:pPr>
        <w:widowControl w:val="0"/>
        <w:autoSpaceDE w:val="0"/>
        <w:autoSpaceDN w:val="0"/>
        <w:bidi w:val="0"/>
        <w:adjustRightInd w:val="0"/>
        <w:ind w:left="705"/>
        <w:jc w:val="both"/>
        <w:rPr>
          <w:rFonts w:ascii="Times New Roman" w:hAnsi="Times New Roman"/>
          <w:color w:val="339966"/>
        </w:rPr>
      </w:pPr>
    </w:p>
    <w:p w:rsidR="00186606" w:rsidRPr="000C5788" w:rsidP="00180F94">
      <w:pPr>
        <w:widowControl w:val="0"/>
        <w:autoSpaceDE w:val="0"/>
        <w:autoSpaceDN w:val="0"/>
        <w:bidi w:val="0"/>
        <w:adjustRightInd w:val="0"/>
        <w:ind w:left="705"/>
        <w:jc w:val="both"/>
        <w:rPr>
          <w:rFonts w:ascii="Times New Roman" w:hAnsi="Times New Roman"/>
          <w:color w:val="339966"/>
        </w:rPr>
      </w:pPr>
    </w:p>
    <w:p w:rsidR="00180F94" w:rsidRPr="00320F62" w:rsidP="00180F94">
      <w:pPr>
        <w:bidi w:val="0"/>
        <w:jc w:val="both"/>
        <w:rPr>
          <w:rFonts w:ascii="Times New Roman" w:hAnsi="Times New Roman"/>
        </w:rPr>
      </w:pPr>
    </w:p>
    <w:p w:rsidR="00180F94" w:rsidRPr="00BA236B" w:rsidP="00180F94">
      <w:pPr>
        <w:pStyle w:val="BodyText"/>
        <w:bidi w:val="0"/>
        <w:rPr>
          <w:rFonts w:ascii="Times New Roman" w:hAnsi="Times New Roman"/>
          <w:b w:val="0"/>
        </w:rPr>
      </w:pPr>
      <w:r w:rsidRPr="00BA236B">
        <w:rPr>
          <w:rFonts w:ascii="Times New Roman" w:hAnsi="Times New Roman"/>
          <w:b w:val="0"/>
        </w:rPr>
        <w:t>Čl. III</w:t>
      </w:r>
    </w:p>
    <w:p w:rsidR="00180F94" w:rsidRPr="00BA236B" w:rsidP="00180F94">
      <w:pPr>
        <w:pStyle w:val="BodyText"/>
        <w:bidi w:val="0"/>
        <w:rPr>
          <w:rFonts w:ascii="Times New Roman" w:hAnsi="Times New Roman"/>
          <w:b w:val="0"/>
        </w:rPr>
      </w:pPr>
    </w:p>
    <w:p w:rsidR="00180F94" w:rsidRPr="00BA236B" w:rsidP="00180F94">
      <w:pPr>
        <w:pStyle w:val="BodyText"/>
        <w:bidi w:val="0"/>
        <w:rPr>
          <w:rFonts w:ascii="Times New Roman" w:hAnsi="Times New Roman"/>
          <w:b w:val="0"/>
        </w:rPr>
      </w:pPr>
    </w:p>
    <w:p w:rsidR="00180F94" w:rsidRPr="00BA236B" w:rsidP="00180F94">
      <w:pPr>
        <w:bidi w:val="0"/>
        <w:jc w:val="center"/>
        <w:rPr>
          <w:rFonts w:ascii="Times New Roman" w:hAnsi="Times New Roman"/>
        </w:rPr>
      </w:pPr>
      <w:r w:rsidRPr="00BA236B">
        <w:rPr>
          <w:rFonts w:ascii="Times New Roman" w:hAnsi="Times New Roman"/>
        </w:rPr>
        <w:t>Tento zákon nadobúda účinnosť 1. januára 2014.</w:t>
      </w:r>
    </w:p>
    <w:p w:rsidR="00180F94" w:rsidRPr="00BA236B" w:rsidP="00180F94">
      <w:pPr>
        <w:bidi w:val="0"/>
        <w:jc w:val="center"/>
        <w:rPr>
          <w:rFonts w:ascii="Times New Roman" w:hAnsi="Times New Roman"/>
        </w:rPr>
      </w:pPr>
    </w:p>
    <w:p w:rsidR="00186606" w:rsidP="00186606">
      <w:pPr>
        <w:bidi w:val="0"/>
        <w:jc w:val="center"/>
        <w:rPr>
          <w:rFonts w:ascii="Times New Roman" w:hAnsi="Times New Roman"/>
        </w:rPr>
      </w:pPr>
    </w:p>
    <w:p w:rsidR="00186606" w:rsidP="00186606">
      <w:pPr>
        <w:bidi w:val="0"/>
        <w:jc w:val="center"/>
        <w:rPr>
          <w:rFonts w:ascii="Times New Roman" w:hAnsi="Times New Roman"/>
        </w:rPr>
      </w:pPr>
    </w:p>
    <w:p w:rsidR="00186606" w:rsidP="00186606">
      <w:pPr>
        <w:bidi w:val="0"/>
        <w:jc w:val="center"/>
        <w:rPr>
          <w:rFonts w:ascii="Times New Roman" w:hAnsi="Times New Roman"/>
        </w:rPr>
      </w:pPr>
    </w:p>
    <w:p w:rsidR="000C77F7" w:rsidP="00186606">
      <w:pPr>
        <w:bidi w:val="0"/>
        <w:jc w:val="center"/>
        <w:rPr>
          <w:rFonts w:ascii="Times New Roman" w:hAnsi="Times New Roman"/>
        </w:rPr>
      </w:pPr>
    </w:p>
    <w:p w:rsidR="00186606" w:rsidP="00186606">
      <w:pPr>
        <w:bidi w:val="0"/>
        <w:jc w:val="center"/>
        <w:rPr>
          <w:rFonts w:ascii="Times New Roman" w:hAnsi="Times New Roman"/>
        </w:rPr>
      </w:pPr>
    </w:p>
    <w:p w:rsidR="00186606" w:rsidP="00186606">
      <w:pPr>
        <w:bidi w:val="0"/>
        <w:jc w:val="center"/>
        <w:rPr>
          <w:rFonts w:ascii="Times New Roman" w:hAnsi="Times New Roman"/>
        </w:rPr>
      </w:pPr>
    </w:p>
    <w:p w:rsidR="00186606" w:rsidP="00186606">
      <w:pPr>
        <w:bidi w:val="0"/>
        <w:jc w:val="center"/>
        <w:rPr>
          <w:rFonts w:ascii="Times New Roman" w:hAnsi="Times New Roman"/>
        </w:rPr>
      </w:pPr>
    </w:p>
    <w:p w:rsidR="00186606" w:rsidP="00186606">
      <w:pPr>
        <w:bidi w:val="0"/>
        <w:jc w:val="center"/>
        <w:rPr>
          <w:rFonts w:ascii="Times New Roman" w:hAnsi="Times New Roman"/>
        </w:rPr>
      </w:pPr>
    </w:p>
    <w:p w:rsidR="00186606" w:rsidRPr="00BC53F0" w:rsidP="00186606">
      <w:pPr>
        <w:bidi w:val="0"/>
        <w:jc w:val="center"/>
        <w:rPr>
          <w:rFonts w:ascii="Times New Roman" w:hAnsi="Times New Roman"/>
        </w:rPr>
      </w:pPr>
      <w:r w:rsidRPr="00BC53F0">
        <w:rPr>
          <w:rFonts w:ascii="Times New Roman" w:hAnsi="Times New Roman"/>
        </w:rPr>
        <w:t>prezident Slovenskej republiky</w:t>
      </w:r>
    </w:p>
    <w:p w:rsidR="00186606" w:rsidP="00186606">
      <w:pPr>
        <w:bidi w:val="0"/>
        <w:rPr>
          <w:rFonts w:ascii="Times New Roman" w:hAnsi="Times New Roman"/>
        </w:rPr>
      </w:pPr>
    </w:p>
    <w:p w:rsidR="000C77F7" w:rsidP="00186606">
      <w:pPr>
        <w:bidi w:val="0"/>
        <w:rPr>
          <w:rFonts w:ascii="Times New Roman" w:hAnsi="Times New Roman"/>
        </w:rPr>
      </w:pPr>
    </w:p>
    <w:p w:rsidR="000C77F7" w:rsidRPr="00BC53F0" w:rsidP="00186606">
      <w:pPr>
        <w:bidi w:val="0"/>
        <w:rPr>
          <w:rFonts w:ascii="Times New Roman" w:hAnsi="Times New Roman"/>
        </w:rPr>
      </w:pPr>
    </w:p>
    <w:p w:rsidR="00186606" w:rsidRPr="00BC53F0" w:rsidP="00186606">
      <w:pPr>
        <w:bidi w:val="0"/>
        <w:rPr>
          <w:rFonts w:ascii="Times New Roman" w:hAnsi="Times New Roman"/>
        </w:rPr>
      </w:pPr>
    </w:p>
    <w:p w:rsidR="00186606" w:rsidP="00186606">
      <w:pPr>
        <w:bidi w:val="0"/>
        <w:rPr>
          <w:rFonts w:ascii="Times New Roman" w:hAnsi="Times New Roman"/>
        </w:rPr>
      </w:pPr>
    </w:p>
    <w:p w:rsidR="00186606" w:rsidP="00186606">
      <w:pPr>
        <w:bidi w:val="0"/>
        <w:rPr>
          <w:rFonts w:ascii="Times New Roman" w:hAnsi="Times New Roman"/>
        </w:rPr>
      </w:pPr>
    </w:p>
    <w:p w:rsidR="00186606" w:rsidRPr="00BC53F0" w:rsidP="00186606">
      <w:pPr>
        <w:bidi w:val="0"/>
        <w:rPr>
          <w:rFonts w:ascii="Times New Roman" w:hAnsi="Times New Roman"/>
        </w:rPr>
      </w:pPr>
    </w:p>
    <w:p w:rsidR="00186606" w:rsidRPr="00BC53F0" w:rsidP="00186606">
      <w:pPr>
        <w:bidi w:val="0"/>
        <w:jc w:val="center"/>
        <w:rPr>
          <w:rFonts w:ascii="Times New Roman" w:hAnsi="Times New Roman"/>
        </w:rPr>
      </w:pPr>
    </w:p>
    <w:p w:rsidR="00186606" w:rsidRPr="00BC53F0" w:rsidP="00186606">
      <w:pPr>
        <w:bidi w:val="0"/>
        <w:jc w:val="center"/>
        <w:rPr>
          <w:rFonts w:ascii="Times New Roman" w:hAnsi="Times New Roman"/>
        </w:rPr>
      </w:pPr>
      <w:r w:rsidRPr="00BC53F0">
        <w:rPr>
          <w:rFonts w:ascii="Times New Roman" w:hAnsi="Times New Roman"/>
        </w:rPr>
        <w:t>predseda Národnej rady Slovenskej republiky</w:t>
      </w:r>
    </w:p>
    <w:p w:rsidR="00186606" w:rsidRPr="00BC53F0" w:rsidP="00186606">
      <w:pPr>
        <w:bidi w:val="0"/>
        <w:jc w:val="center"/>
        <w:rPr>
          <w:rFonts w:ascii="Times New Roman" w:hAnsi="Times New Roman"/>
        </w:rPr>
      </w:pPr>
    </w:p>
    <w:p w:rsidR="00186606" w:rsidP="00186606">
      <w:pPr>
        <w:bidi w:val="0"/>
        <w:rPr>
          <w:rFonts w:ascii="Times New Roman" w:hAnsi="Times New Roman"/>
        </w:rPr>
      </w:pPr>
    </w:p>
    <w:p w:rsidR="000C77F7" w:rsidP="00186606">
      <w:pPr>
        <w:bidi w:val="0"/>
        <w:rPr>
          <w:rFonts w:ascii="Times New Roman" w:hAnsi="Times New Roman"/>
        </w:rPr>
      </w:pPr>
    </w:p>
    <w:p w:rsidR="000C77F7" w:rsidRPr="00BC53F0" w:rsidP="00186606">
      <w:pPr>
        <w:bidi w:val="0"/>
        <w:rPr>
          <w:rFonts w:ascii="Times New Roman" w:hAnsi="Times New Roman"/>
        </w:rPr>
      </w:pPr>
    </w:p>
    <w:p w:rsidR="00186606" w:rsidP="00186606">
      <w:pPr>
        <w:bidi w:val="0"/>
        <w:rPr>
          <w:rFonts w:ascii="Times New Roman" w:hAnsi="Times New Roman"/>
        </w:rPr>
      </w:pPr>
    </w:p>
    <w:p w:rsidR="00186606" w:rsidP="00186606">
      <w:pPr>
        <w:bidi w:val="0"/>
        <w:rPr>
          <w:rFonts w:ascii="Times New Roman" w:hAnsi="Times New Roman"/>
        </w:rPr>
      </w:pPr>
    </w:p>
    <w:p w:rsidR="00186606" w:rsidP="00186606">
      <w:pPr>
        <w:bidi w:val="0"/>
        <w:rPr>
          <w:rFonts w:ascii="Times New Roman" w:hAnsi="Times New Roman"/>
        </w:rPr>
      </w:pPr>
    </w:p>
    <w:p w:rsidR="00186606" w:rsidRPr="00BC53F0" w:rsidP="00186606">
      <w:pPr>
        <w:bidi w:val="0"/>
        <w:rPr>
          <w:rFonts w:ascii="Times New Roman" w:hAnsi="Times New Roman"/>
        </w:rPr>
      </w:pPr>
    </w:p>
    <w:p w:rsidR="00186606" w:rsidRPr="00BC53F0" w:rsidP="00186606">
      <w:pPr>
        <w:bidi w:val="0"/>
        <w:jc w:val="center"/>
        <w:rPr>
          <w:rFonts w:ascii="Times New Roman" w:hAnsi="Times New Roman"/>
        </w:rPr>
      </w:pPr>
    </w:p>
    <w:p w:rsidR="00186606" w:rsidRPr="00BC53F0" w:rsidP="00186606">
      <w:pPr>
        <w:bidi w:val="0"/>
        <w:jc w:val="center"/>
        <w:rPr>
          <w:rFonts w:ascii="Times New Roman" w:hAnsi="Times New Roman"/>
        </w:rPr>
      </w:pPr>
      <w:r w:rsidRPr="00BC53F0">
        <w:rPr>
          <w:rFonts w:ascii="Times New Roman" w:hAnsi="Times New Roman"/>
        </w:rPr>
        <w:t>predseda vlády Slovenskej republiky</w:t>
      </w:r>
    </w:p>
    <w:p w:rsidR="00C40B3A">
      <w:pPr>
        <w:bidi w:val="0"/>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EE" w:rsidP="006054C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74FEE" w:rsidP="00F4428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64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86598">
      <w:rPr>
        <w:rFonts w:ascii="Times New Roman" w:hAnsi="Times New Roman"/>
        <w:noProof/>
      </w:rPr>
      <w:t>5</w:t>
    </w:r>
    <w:r>
      <w:rPr>
        <w:rFonts w:ascii="Times New Roman" w:hAnsi="Times New Roman"/>
      </w:rPr>
      <w:fldChar w:fldCharType="end"/>
    </w:r>
  </w:p>
  <w:p w:rsidR="00874FEE" w:rsidP="00F4428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2BB62BE9"/>
    <w:multiLevelType w:val="hybridMultilevel"/>
    <w:tmpl w:val="4844E88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364648F5"/>
    <w:multiLevelType w:val="hybridMultilevel"/>
    <w:tmpl w:val="497C759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75F7C10"/>
    <w:multiLevelType w:val="hybridMultilevel"/>
    <w:tmpl w:val="BD26DCBC"/>
    <w:lvl w:ilvl="0">
      <w:start w:val="21"/>
      <w:numFmt w:val="decimal"/>
      <w:lvlText w:val="%1."/>
      <w:lvlJc w:val="left"/>
      <w:pPr>
        <w:ind w:left="720" w:hanging="360"/>
      </w:pPr>
      <w:rPr>
        <w:rFonts w:cs="Times New Roman" w:hint="default"/>
        <w:u w:val="none" w:color="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0826E12"/>
    <w:multiLevelType w:val="hybridMultilevel"/>
    <w:tmpl w:val="2E664CF8"/>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5E848AE"/>
    <w:multiLevelType w:val="hybridMultilevel"/>
    <w:tmpl w:val="E87C7188"/>
    <w:lvl w:ilvl="0">
      <w:start w:val="1"/>
      <w:numFmt w:val="decimal"/>
      <w:lvlText w:val="%1."/>
      <w:lvlJc w:val="left"/>
      <w:pPr>
        <w:ind w:left="1065" w:hanging="360"/>
      </w:pPr>
      <w:rPr>
        <w:rFonts w:cs="Times New Roman" w:hint="default"/>
        <w:u w:val="none" w:color="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6E354684"/>
    <w:multiLevelType w:val="hybridMultilevel"/>
    <w:tmpl w:val="75EE9532"/>
    <w:lvl w:ilvl="0">
      <w:start w:val="5"/>
      <w:numFmt w:val="decimal"/>
      <w:lvlText w:val="%1."/>
      <w:lvlJc w:val="left"/>
      <w:pPr>
        <w:ind w:left="1065" w:hanging="360"/>
      </w:pPr>
      <w:rPr>
        <w:rFonts w:cs="Times New Roman" w:hint="default"/>
        <w:u w:val="none" w:color="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1B165E0"/>
    <w:multiLevelType w:val="hybridMultilevel"/>
    <w:tmpl w:val="A52E8A06"/>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72D06A95"/>
    <w:multiLevelType w:val="hybridMultilevel"/>
    <w:tmpl w:val="55144066"/>
    <w:lvl w:ilvl="0">
      <w:start w:val="13"/>
      <w:numFmt w:val="decimal"/>
      <w:lvlText w:val="%1."/>
      <w:lvlJc w:val="left"/>
      <w:pPr>
        <w:ind w:left="1065" w:hanging="360"/>
      </w:pPr>
      <w:rPr>
        <w:rFonts w:cs="Times New Roman" w:hint="default"/>
        <w:u w:val="none" w:color="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characterSpacingControl w:val="doNotCompress"/>
  <w:compat/>
  <w:rsids>
    <w:rsidRoot w:val="00180F94"/>
    <w:rsid w:val="00086598"/>
    <w:rsid w:val="000A5984"/>
    <w:rsid w:val="000C5788"/>
    <w:rsid w:val="000C77F7"/>
    <w:rsid w:val="0012259C"/>
    <w:rsid w:val="00180F94"/>
    <w:rsid w:val="00186606"/>
    <w:rsid w:val="00203645"/>
    <w:rsid w:val="002E5073"/>
    <w:rsid w:val="002E6415"/>
    <w:rsid w:val="00320F62"/>
    <w:rsid w:val="0037110C"/>
    <w:rsid w:val="004E7043"/>
    <w:rsid w:val="00531AE6"/>
    <w:rsid w:val="00571E30"/>
    <w:rsid w:val="006054C2"/>
    <w:rsid w:val="00610B72"/>
    <w:rsid w:val="00726D48"/>
    <w:rsid w:val="0080308E"/>
    <w:rsid w:val="00831FD3"/>
    <w:rsid w:val="00835D5D"/>
    <w:rsid w:val="00874FEE"/>
    <w:rsid w:val="009E060B"/>
    <w:rsid w:val="00A01314"/>
    <w:rsid w:val="00B22CB8"/>
    <w:rsid w:val="00BA236B"/>
    <w:rsid w:val="00BC53F0"/>
    <w:rsid w:val="00C001B5"/>
    <w:rsid w:val="00C40B3A"/>
    <w:rsid w:val="00C42318"/>
    <w:rsid w:val="00DD3EE3"/>
    <w:rsid w:val="00E31BB8"/>
    <w:rsid w:val="00F44284"/>
    <w:rsid w:val="00F75719"/>
    <w:rsid w:val="00FB430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F9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link w:val="Nadpis2Char"/>
    <w:uiPriority w:val="9"/>
    <w:qFormat/>
    <w:rsid w:val="00180F94"/>
    <w:pPr>
      <w:spacing w:before="100" w:beforeAutospacing="1" w:after="100" w:afterAutospacing="1"/>
      <w:jc w:val="center"/>
      <w:outlineLvl w:val="1"/>
    </w:pPr>
    <w:rPr>
      <w:rFonts w:ascii="Arial" w:hAnsi="Arial"/>
      <w:b/>
      <w:color w:val="804000"/>
      <w:sz w:val="28"/>
      <w:szCs w:val="20"/>
    </w:rPr>
  </w:style>
  <w:style w:type="paragraph" w:styleId="Heading3">
    <w:name w:val="heading 3"/>
    <w:basedOn w:val="Normal"/>
    <w:next w:val="Normal"/>
    <w:link w:val="Nadpis3Char"/>
    <w:uiPriority w:val="9"/>
    <w:semiHidden/>
    <w:unhideWhenUsed/>
    <w:qFormat/>
    <w:rsid w:val="00180F94"/>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180F94"/>
    <w:rPr>
      <w:rFonts w:ascii="Arial" w:hAnsi="Arial" w:cs="Times New Roman"/>
      <w:b/>
      <w:color w:val="804000"/>
      <w:sz w:val="28"/>
      <w:rtl w:val="0"/>
      <w:cs w:val="0"/>
    </w:rPr>
  </w:style>
  <w:style w:type="character" w:customStyle="1" w:styleId="Nadpis3Char">
    <w:name w:val="Nadpis 3 Char"/>
    <w:basedOn w:val="DefaultParagraphFont"/>
    <w:link w:val="Heading3"/>
    <w:uiPriority w:val="9"/>
    <w:semiHidden/>
    <w:locked/>
    <w:rsid w:val="00180F94"/>
    <w:rPr>
      <w:rFonts w:ascii="Cambria" w:hAnsi="Cambria" w:cs="Times New Roman"/>
      <w:b/>
      <w:bCs/>
      <w:sz w:val="26"/>
      <w:szCs w:val="26"/>
      <w:rtl w:val="0"/>
      <w:cs w:val="0"/>
    </w:rPr>
  </w:style>
  <w:style w:type="paragraph" w:styleId="BodyText">
    <w:name w:val="Body Text"/>
    <w:basedOn w:val="Normal"/>
    <w:link w:val="ZkladntextChar"/>
    <w:uiPriority w:val="99"/>
    <w:rsid w:val="00180F94"/>
    <w:pPr>
      <w:jc w:val="center"/>
    </w:pPr>
    <w:rPr>
      <w:b/>
      <w:bCs/>
    </w:rPr>
  </w:style>
  <w:style w:type="character" w:customStyle="1" w:styleId="ZkladntextChar">
    <w:name w:val="Základný text Char"/>
    <w:basedOn w:val="DefaultParagraphFont"/>
    <w:link w:val="BodyText"/>
    <w:uiPriority w:val="99"/>
    <w:locked/>
    <w:rsid w:val="00180F94"/>
    <w:rPr>
      <w:rFonts w:cs="Times New Roman"/>
      <w:b/>
      <w:bCs/>
      <w:sz w:val="24"/>
      <w:szCs w:val="24"/>
      <w:rtl w:val="0"/>
      <w:cs w:val="0"/>
    </w:rPr>
  </w:style>
  <w:style w:type="paragraph" w:customStyle="1" w:styleId="Zkladntext">
    <w:name w:val="Základní text"/>
    <w:rsid w:val="00180F94"/>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odyText2">
    <w:name w:val="Body Text 2"/>
    <w:basedOn w:val="Normal"/>
    <w:link w:val="Zkladntext2Char"/>
    <w:uiPriority w:val="99"/>
    <w:rsid w:val="00180F94"/>
    <w:pPr>
      <w:spacing w:after="120" w:line="480" w:lineRule="auto"/>
      <w:jc w:val="left"/>
    </w:pPr>
  </w:style>
  <w:style w:type="character" w:customStyle="1" w:styleId="Zkladntext2Char">
    <w:name w:val="Základný text 2 Char"/>
    <w:basedOn w:val="DefaultParagraphFont"/>
    <w:link w:val="BodyText2"/>
    <w:uiPriority w:val="99"/>
    <w:locked/>
    <w:rsid w:val="00180F94"/>
    <w:rPr>
      <w:rFonts w:cs="Times New Roman"/>
      <w:sz w:val="24"/>
      <w:szCs w:val="24"/>
      <w:rtl w:val="0"/>
      <w:cs w:val="0"/>
    </w:rPr>
  </w:style>
  <w:style w:type="paragraph" w:styleId="Footer">
    <w:name w:val="footer"/>
    <w:basedOn w:val="Normal"/>
    <w:link w:val="PtaChar"/>
    <w:uiPriority w:val="99"/>
    <w:rsid w:val="00180F94"/>
    <w:pPr>
      <w:tabs>
        <w:tab w:val="center" w:pos="4536"/>
        <w:tab w:val="right" w:pos="9072"/>
      </w:tabs>
      <w:jc w:val="left"/>
    </w:pPr>
  </w:style>
  <w:style w:type="character" w:customStyle="1" w:styleId="PtaChar">
    <w:name w:val="Päta Char"/>
    <w:basedOn w:val="DefaultParagraphFont"/>
    <w:link w:val="Footer"/>
    <w:uiPriority w:val="99"/>
    <w:locked/>
    <w:rsid w:val="00180F94"/>
    <w:rPr>
      <w:rFonts w:cs="Times New Roman"/>
      <w:sz w:val="24"/>
      <w:szCs w:val="24"/>
      <w:rtl w:val="0"/>
      <w:cs w:val="0"/>
    </w:rPr>
  </w:style>
  <w:style w:type="character" w:styleId="PageNumber">
    <w:name w:val="page number"/>
    <w:basedOn w:val="DefaultParagraphFont"/>
    <w:uiPriority w:val="99"/>
    <w:rsid w:val="00180F94"/>
    <w:rPr>
      <w:rFonts w:cs="Times New Roman"/>
      <w:rtl w:val="0"/>
      <w:cs w:val="0"/>
    </w:rPr>
  </w:style>
  <w:style w:type="paragraph" w:styleId="ListParagraph">
    <w:name w:val="List Paragraph"/>
    <w:basedOn w:val="Normal"/>
    <w:uiPriority w:val="34"/>
    <w:qFormat/>
    <w:rsid w:val="00180F94"/>
    <w:pPr>
      <w:ind w:left="720"/>
      <w:contextualSpacing/>
      <w:jc w:val="left"/>
    </w:pPr>
  </w:style>
  <w:style w:type="paragraph" w:customStyle="1" w:styleId="poznamka">
    <w:name w:val="poznamka"/>
    <w:basedOn w:val="Normal"/>
    <w:rsid w:val="00180F94"/>
    <w:pPr>
      <w:spacing w:before="100" w:beforeAutospacing="1" w:after="100" w:afterAutospacing="1"/>
      <w:jc w:val="left"/>
    </w:pPr>
    <w:rPr>
      <w:rFonts w:ascii="Tahoma" w:hAnsi="Tahoma" w:cs="Tahoma"/>
      <w:color w:val="000060"/>
      <w:sz w:val="20"/>
      <w:szCs w:val="20"/>
    </w:rPr>
  </w:style>
  <w:style w:type="paragraph" w:customStyle="1" w:styleId="Style1">
    <w:name w:val="Style 1"/>
    <w:basedOn w:val="Normal"/>
    <w:uiPriority w:val="99"/>
    <w:rsid w:val="00180F94"/>
    <w:pPr>
      <w:widowControl w:val="0"/>
      <w:autoSpaceDE w:val="0"/>
      <w:autoSpaceDN w:val="0"/>
      <w:adjustRightInd w:val="0"/>
      <w:jc w:val="left"/>
    </w:pPr>
    <w:rPr>
      <w:sz w:val="20"/>
      <w:szCs w:val="20"/>
    </w:rPr>
  </w:style>
  <w:style w:type="paragraph" w:customStyle="1" w:styleId="Style2">
    <w:name w:val="Style 2"/>
    <w:basedOn w:val="Normal"/>
    <w:uiPriority w:val="99"/>
    <w:rsid w:val="00180F94"/>
    <w:pPr>
      <w:widowControl w:val="0"/>
      <w:autoSpaceDE w:val="0"/>
      <w:autoSpaceDN w:val="0"/>
      <w:ind w:left="864" w:right="72" w:hanging="360"/>
      <w:jc w:val="both"/>
    </w:pPr>
    <w:rPr>
      <w:b/>
      <w:bCs/>
    </w:rPr>
  </w:style>
  <w:style w:type="character" w:customStyle="1" w:styleId="h1a1">
    <w:name w:val="h1a1"/>
    <w:rsid w:val="00180F94"/>
    <w:rPr>
      <w:vanish/>
      <w:sz w:val="24"/>
    </w:rPr>
  </w:style>
  <w:style w:type="paragraph" w:customStyle="1" w:styleId="Style4">
    <w:name w:val="Style 4"/>
    <w:basedOn w:val="Normal"/>
    <w:uiPriority w:val="99"/>
    <w:rsid w:val="00180F94"/>
    <w:pPr>
      <w:widowControl w:val="0"/>
      <w:autoSpaceDE w:val="0"/>
      <w:autoSpaceDN w:val="0"/>
      <w:spacing w:line="288" w:lineRule="auto"/>
      <w:jc w:val="both"/>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10</Pages>
  <Words>3454</Words>
  <Characters>19690</Characters>
  <Application>Microsoft Office Word</Application>
  <DocSecurity>0</DocSecurity>
  <Lines>0</Lines>
  <Paragraphs>0</Paragraphs>
  <ScaleCrop>false</ScaleCrop>
  <Company>Kancelaria NR SR</Company>
  <LinksUpToDate>false</LinksUpToDate>
  <CharactersWithSpaces>23098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4</cp:revision>
  <cp:lastPrinted>2013-10-23T14:52:00Z</cp:lastPrinted>
  <dcterms:created xsi:type="dcterms:W3CDTF">2013-10-23T11:57:00Z</dcterms:created>
  <dcterms:modified xsi:type="dcterms:W3CDTF">2013-10-23T14:53:00Z</dcterms:modified>
</cp:coreProperties>
</file>