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Príloha č. 5</w:t>
      </w:r>
    </w:p>
    <w:p w:rsidR="00445CD4" w:rsidP="00445C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445CD4" w:rsidP="00445CD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Implicitné záväzky</w:t>
      </w: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445CD4" w:rsidP="00445CD4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A8025E" w:rsidRPr="00445CD4" w:rsidP="00445CD4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45CD4" w:rsidR="00627A2A">
        <w:rPr>
          <w:rFonts w:ascii="Times New Roman" w:hAnsi="Times New Roman"/>
          <w:b/>
          <w:sz w:val="24"/>
          <w:szCs w:val="24"/>
        </w:rPr>
        <w:t>Implicitné záväzky</w:t>
      </w:r>
    </w:p>
    <w:p w:rsidR="00627A2A" w:rsidRPr="00445CD4" w:rsidP="00627A2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3E0E" w:rsidRPr="007D5D50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CD4">
        <w:rPr>
          <w:rFonts w:ascii="Times New Roman" w:hAnsi="Times New Roman"/>
          <w:sz w:val="24"/>
          <w:szCs w:val="24"/>
        </w:rPr>
        <w:t>Implicitné záväzky sú podľa ústavného zákona č. 493/2011 Z.</w:t>
      </w:r>
      <w:r w:rsidR="007D5D50">
        <w:rPr>
          <w:rFonts w:ascii="Times New Roman" w:hAnsi="Times New Roman"/>
          <w:sz w:val="24"/>
          <w:szCs w:val="24"/>
        </w:rPr>
        <w:t xml:space="preserve"> </w:t>
      </w:r>
      <w:r w:rsidRPr="00445CD4">
        <w:rPr>
          <w:rFonts w:ascii="Times New Roman" w:hAnsi="Times New Roman"/>
          <w:sz w:val="24"/>
          <w:szCs w:val="24"/>
        </w:rPr>
        <w:t xml:space="preserve">z. o rozpočtovej zodpovednosti definované ako „rozdiel medzi očakávanými budúcimi výdavkami subjektov verejnej správy a očakávanými budúcimi príjmami subjektov verejnej správy, ktoré vyplývajú z finančných dôsledkov spôsobených budúcim uplatňovaním práv a povinností ustanovených právnym poriadkom </w:t>
      </w:r>
      <w:r w:rsidRPr="007D5D50">
        <w:rPr>
          <w:rFonts w:ascii="Times New Roman" w:hAnsi="Times New Roman"/>
          <w:sz w:val="24"/>
          <w:szCs w:val="24"/>
        </w:rPr>
        <w:t xml:space="preserve">Slovenskej republiky, ak tieto nie sú súčasťou dlhu verejnej správy“. </w:t>
      </w:r>
      <w:r w:rsidRPr="007D5D50" w:rsidR="007110B3">
        <w:rPr>
          <w:rFonts w:ascii="Times New Roman" w:hAnsi="Times New Roman"/>
          <w:sz w:val="24"/>
          <w:szCs w:val="24"/>
        </w:rPr>
        <w:t>Ide o</w:t>
      </w:r>
      <w:r w:rsidRPr="007D5D50">
        <w:rPr>
          <w:rFonts w:ascii="Times New Roman" w:hAnsi="Times New Roman"/>
          <w:sz w:val="24"/>
          <w:szCs w:val="24"/>
        </w:rPr>
        <w:t xml:space="preserve"> čisté záväzky v sektore sociálnych vecí, zdravotníctva a školstva spojené so st</w:t>
      </w:r>
      <w:r w:rsidRPr="007D5D50" w:rsidR="00F979FA">
        <w:rPr>
          <w:rFonts w:ascii="Times New Roman" w:hAnsi="Times New Roman"/>
          <w:sz w:val="24"/>
          <w:szCs w:val="24"/>
        </w:rPr>
        <w:t xml:space="preserve">arnutím populácie a </w:t>
      </w:r>
      <w:r w:rsidRPr="007D5D50" w:rsidR="003D49CE">
        <w:rPr>
          <w:rFonts w:ascii="Times New Roman" w:hAnsi="Times New Roman"/>
          <w:sz w:val="24"/>
          <w:szCs w:val="24"/>
        </w:rPr>
        <w:t>ďalšie</w:t>
      </w:r>
      <w:r w:rsidRPr="007D5D50" w:rsidR="00F979FA">
        <w:rPr>
          <w:rFonts w:ascii="Times New Roman" w:hAnsi="Times New Roman"/>
          <w:sz w:val="24"/>
          <w:szCs w:val="24"/>
        </w:rPr>
        <w:t xml:space="preserve"> typy záväzkov</w:t>
      </w:r>
      <w:r w:rsidRPr="007D5D50" w:rsidR="003D49CE">
        <w:rPr>
          <w:rFonts w:ascii="Times New Roman" w:hAnsi="Times New Roman"/>
          <w:sz w:val="24"/>
          <w:szCs w:val="24"/>
        </w:rPr>
        <w:t xml:space="preserve">, ako </w:t>
      </w:r>
      <w:r w:rsidRPr="007D5D50" w:rsidR="00F979FA">
        <w:rPr>
          <w:rFonts w:ascii="Times New Roman" w:hAnsi="Times New Roman"/>
          <w:sz w:val="24"/>
          <w:szCs w:val="24"/>
        </w:rPr>
        <w:t xml:space="preserve">napríklad </w:t>
      </w:r>
      <w:r w:rsidRPr="007D5D50" w:rsidR="003D49CE">
        <w:rPr>
          <w:rFonts w:ascii="Times New Roman" w:hAnsi="Times New Roman"/>
          <w:sz w:val="24"/>
          <w:szCs w:val="24"/>
        </w:rPr>
        <w:t xml:space="preserve">v súvislosti s </w:t>
      </w:r>
      <w:r w:rsidRPr="007D5D50" w:rsidR="00F979FA">
        <w:rPr>
          <w:rFonts w:ascii="Times New Roman" w:hAnsi="Times New Roman"/>
          <w:sz w:val="24"/>
          <w:szCs w:val="24"/>
        </w:rPr>
        <w:t>PPP projekt</w:t>
      </w:r>
      <w:r w:rsidRPr="007D5D50" w:rsidR="003D49CE">
        <w:rPr>
          <w:rFonts w:ascii="Times New Roman" w:hAnsi="Times New Roman"/>
          <w:sz w:val="24"/>
          <w:szCs w:val="24"/>
        </w:rPr>
        <w:t>mi</w:t>
      </w:r>
      <w:r w:rsidRPr="007D5D50" w:rsidR="00F979FA">
        <w:rPr>
          <w:rFonts w:ascii="Times New Roman" w:hAnsi="Times New Roman"/>
          <w:sz w:val="24"/>
          <w:szCs w:val="24"/>
        </w:rPr>
        <w:t xml:space="preserve"> a náklad</w:t>
      </w:r>
      <w:r w:rsidRPr="007D5D50" w:rsidR="003D49CE">
        <w:rPr>
          <w:rFonts w:ascii="Times New Roman" w:hAnsi="Times New Roman"/>
          <w:sz w:val="24"/>
          <w:szCs w:val="24"/>
        </w:rPr>
        <w:t>mi</w:t>
      </w:r>
      <w:r w:rsidRPr="007D5D50" w:rsidR="00F979FA">
        <w:rPr>
          <w:rFonts w:ascii="Times New Roman" w:hAnsi="Times New Roman"/>
          <w:sz w:val="24"/>
          <w:szCs w:val="24"/>
        </w:rPr>
        <w:t xml:space="preserve"> na odstavenie jadrových elektrární.</w:t>
      </w:r>
    </w:p>
    <w:p w:rsidR="00C53E0E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7C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CD4">
        <w:rPr>
          <w:rFonts w:ascii="Times New Roman" w:hAnsi="Times New Roman"/>
          <w:sz w:val="24"/>
          <w:szCs w:val="24"/>
        </w:rPr>
        <w:t xml:space="preserve">Z uvedeného vyplýva, že nejde o záväzky vykázané v súvahe účtovných závierok subjektov verejnej správy, keďže ich ocenenie môže byť problematické. Napriek tomu však možno </w:t>
      </w:r>
      <w:r w:rsidRPr="00445CD4" w:rsidR="003D49CE">
        <w:rPr>
          <w:rFonts w:ascii="Times New Roman" w:hAnsi="Times New Roman"/>
          <w:sz w:val="24"/>
          <w:szCs w:val="24"/>
        </w:rPr>
        <w:t xml:space="preserve">pri zohľadnení aktuálneho legislatívneho stavu </w:t>
      </w:r>
      <w:r w:rsidRPr="00445CD4">
        <w:rPr>
          <w:rFonts w:ascii="Times New Roman" w:hAnsi="Times New Roman"/>
          <w:sz w:val="24"/>
          <w:szCs w:val="24"/>
        </w:rPr>
        <w:t>odhadnúť ich výšku</w:t>
      </w:r>
      <w:r w:rsidRPr="00445CD4" w:rsidR="00F979FA">
        <w:rPr>
          <w:rFonts w:ascii="Times New Roman" w:hAnsi="Times New Roman"/>
          <w:sz w:val="24"/>
          <w:szCs w:val="24"/>
        </w:rPr>
        <w:t xml:space="preserve">. </w:t>
      </w:r>
      <w:r w:rsidRPr="00445CD4">
        <w:rPr>
          <w:rFonts w:ascii="Times New Roman" w:hAnsi="Times New Roman"/>
          <w:sz w:val="24"/>
          <w:szCs w:val="24"/>
        </w:rPr>
        <w:t xml:space="preserve"> </w:t>
      </w:r>
    </w:p>
    <w:p w:rsidR="00373B7C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7715" w:rsidRPr="00445CD4" w:rsidP="00DC771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5CD4" w:rsidR="007F6022">
        <w:rPr>
          <w:rFonts w:ascii="Times New Roman" w:hAnsi="Times New Roman"/>
          <w:b/>
          <w:sz w:val="24"/>
          <w:szCs w:val="24"/>
        </w:rPr>
        <w:t xml:space="preserve">1.  </w:t>
      </w:r>
      <w:r w:rsidRPr="00445CD4" w:rsidR="00F979FA">
        <w:rPr>
          <w:rFonts w:ascii="Times New Roman" w:hAnsi="Times New Roman"/>
          <w:b/>
          <w:sz w:val="24"/>
          <w:szCs w:val="24"/>
        </w:rPr>
        <w:t>Záväzky spojené so starnutím populácie</w:t>
      </w:r>
      <w:r w:rsidRPr="00445CD4">
        <w:rPr>
          <w:rFonts w:ascii="Times New Roman" w:hAnsi="Times New Roman"/>
          <w:b/>
          <w:sz w:val="24"/>
          <w:szCs w:val="24"/>
        </w:rPr>
        <w:t xml:space="preserve"> </w:t>
      </w:r>
    </w:p>
    <w:p w:rsidR="00DC7715" w:rsidRPr="00445CD4" w:rsidP="00DC771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79FA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5D50" w:rsidR="00DC7715">
        <w:rPr>
          <w:rFonts w:ascii="Times New Roman" w:hAnsi="Times New Roman"/>
          <w:sz w:val="24"/>
          <w:szCs w:val="24"/>
        </w:rPr>
        <w:t>Základom kvantifikácie sú predpoklady a projekcie pracovnej skupiny AWG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7D5D50" w:rsidR="00DC7715">
        <w:rPr>
          <w:rFonts w:ascii="Times New Roman" w:hAnsi="Times New Roman"/>
          <w:sz w:val="24"/>
          <w:szCs w:val="24"/>
        </w:rPr>
        <w:t xml:space="preserve"> zaoberajúcej sa vplyvmi starnutia populácie na verejné financie členských krajín</w:t>
      </w:r>
      <w:r w:rsidRPr="007D5D50" w:rsidR="003D49CE">
        <w:rPr>
          <w:rFonts w:ascii="Times New Roman" w:hAnsi="Times New Roman"/>
          <w:sz w:val="24"/>
          <w:szCs w:val="24"/>
        </w:rPr>
        <w:t xml:space="preserve"> EÚ</w:t>
      </w:r>
      <w:r w:rsidRPr="007D5D50" w:rsidR="00DC7715">
        <w:rPr>
          <w:rFonts w:ascii="Times New Roman" w:hAnsi="Times New Roman"/>
          <w:sz w:val="24"/>
          <w:szCs w:val="24"/>
        </w:rPr>
        <w:t>. Táto pracovná skupina</w:t>
      </w:r>
      <w:r w:rsidRPr="00445CD4" w:rsidR="00DC7715">
        <w:rPr>
          <w:rFonts w:ascii="Times New Roman" w:hAnsi="Times New Roman"/>
          <w:sz w:val="24"/>
          <w:szCs w:val="24"/>
        </w:rPr>
        <w:t xml:space="preserve"> publikuje každé tri roky (naposledy v roku 2012) </w:t>
      </w:r>
      <w:r w:rsidRPr="00445CD4" w:rsidR="00DC7715">
        <w:rPr>
          <w:rFonts w:ascii="Times New Roman" w:hAnsi="Times New Roman"/>
          <w:color w:val="000000"/>
          <w:sz w:val="24"/>
          <w:szCs w:val="24"/>
        </w:rPr>
        <w:t>dlhodobé projekcie príjmov a výdavkov citlivých na starnutie populácie do roku 2060 na základe projekcií demografického vývoja Eurostatu a dlhodobých makroekonomických projekcií Európskej komisie (EK)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3"/>
      </w:r>
      <w:r w:rsidRPr="00445CD4" w:rsidR="00DC771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79FA" w:rsidRPr="00445CD4" w:rsidP="00DC771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9FA" w:rsidRPr="007D5D50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45CD4">
        <w:rPr>
          <w:rFonts w:ascii="Times New Roman" w:hAnsi="Times New Roman"/>
          <w:sz w:val="24"/>
          <w:szCs w:val="24"/>
        </w:rPr>
        <w:t xml:space="preserve">Vzhľadom </w:t>
      </w:r>
      <w:r w:rsidRPr="00445CD4" w:rsidR="007110B3">
        <w:rPr>
          <w:rFonts w:ascii="Times New Roman" w:hAnsi="Times New Roman"/>
          <w:sz w:val="24"/>
          <w:szCs w:val="24"/>
        </w:rPr>
        <w:t>na to</w:t>
      </w:r>
      <w:r w:rsidRPr="00445CD4">
        <w:rPr>
          <w:rFonts w:ascii="Times New Roman" w:hAnsi="Times New Roman"/>
          <w:sz w:val="24"/>
          <w:szCs w:val="24"/>
        </w:rPr>
        <w:t xml:space="preserve">, že Slovensko v roku 2012 pripravilo významnú dôchodkovú reformu, ktorá bola prijatá až po zverejnení týchto projekcií, </w:t>
      </w:r>
      <w:r w:rsidR="007D5D50">
        <w:rPr>
          <w:rFonts w:ascii="Times New Roman" w:hAnsi="Times New Roman"/>
          <w:sz w:val="24"/>
          <w:szCs w:val="24"/>
        </w:rPr>
        <w:t>Ministerstvo financií</w:t>
      </w:r>
      <w:r w:rsidRPr="00445CD4">
        <w:rPr>
          <w:rFonts w:ascii="Times New Roman" w:hAnsi="Times New Roman"/>
          <w:sz w:val="24"/>
          <w:szCs w:val="24"/>
        </w:rPr>
        <w:t xml:space="preserve"> SR ako člen AWG pripravilo nové dôchodkové projekcie a požiadalo o ich posúdenie a schválenie zo strany AWG a EK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445CD4">
        <w:rPr>
          <w:rFonts w:ascii="Times New Roman" w:hAnsi="Times New Roman"/>
          <w:sz w:val="24"/>
          <w:szCs w:val="24"/>
        </w:rPr>
        <w:t xml:space="preserve">. Aktualizované projekcie boli </w:t>
      </w:r>
      <w:r w:rsidRPr="007D5D50">
        <w:rPr>
          <w:rFonts w:ascii="Times New Roman" w:hAnsi="Times New Roman"/>
          <w:sz w:val="24"/>
          <w:szCs w:val="24"/>
        </w:rPr>
        <w:t>definitívne schválené v apríli 2013.</w:t>
      </w:r>
      <w:r w:rsidRPr="007D5D50" w:rsidR="00D11B80">
        <w:rPr>
          <w:rFonts w:ascii="Times New Roman" w:hAnsi="Times New Roman"/>
          <w:sz w:val="24"/>
          <w:szCs w:val="24"/>
        </w:rPr>
        <w:t xml:space="preserve"> Odhad implicitných záväzkov spojených so starnutím populácie</w:t>
      </w:r>
      <w:r w:rsidRPr="007D5D50" w:rsidR="004C1B5F">
        <w:rPr>
          <w:rFonts w:ascii="Times New Roman" w:hAnsi="Times New Roman"/>
          <w:sz w:val="24"/>
          <w:szCs w:val="24"/>
        </w:rPr>
        <w:t xml:space="preserve"> v scenári nezmenených politík</w:t>
      </w:r>
      <w:r w:rsidRPr="007D5D50" w:rsidR="00D11B80">
        <w:rPr>
          <w:rFonts w:ascii="Times New Roman" w:hAnsi="Times New Roman"/>
          <w:sz w:val="24"/>
          <w:szCs w:val="24"/>
        </w:rPr>
        <w:t xml:space="preserve"> je založený </w:t>
      </w:r>
      <w:r w:rsidRPr="007D5D50" w:rsidR="003D49CE">
        <w:rPr>
          <w:rFonts w:ascii="Times New Roman" w:hAnsi="Times New Roman"/>
          <w:sz w:val="24"/>
          <w:szCs w:val="24"/>
        </w:rPr>
        <w:t xml:space="preserve">práve </w:t>
      </w:r>
      <w:r w:rsidRPr="007D5D50" w:rsidR="00D11B80">
        <w:rPr>
          <w:rFonts w:ascii="Times New Roman" w:hAnsi="Times New Roman"/>
          <w:sz w:val="24"/>
          <w:szCs w:val="24"/>
        </w:rPr>
        <w:t>na týchto aktualizovaných projekciách.</w:t>
      </w:r>
    </w:p>
    <w:p w:rsidR="00DC7715" w:rsidRPr="00445CD4" w:rsidP="00353746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373B7C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45CD4">
        <w:rPr>
          <w:rFonts w:ascii="Times New Roman" w:hAnsi="Times New Roman"/>
          <w:b/>
          <w:sz w:val="24"/>
          <w:szCs w:val="24"/>
        </w:rPr>
        <w:t>Postup výpočtu možno rozdeliť do dvoch krokov:</w:t>
      </w:r>
    </w:p>
    <w:p w:rsidR="00373B7C" w:rsidRPr="00445CD4" w:rsidP="00373B7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B7C" w:rsidP="00353746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D5D50">
        <w:rPr>
          <w:rFonts w:ascii="Times New Roman" w:hAnsi="Times New Roman" w:cs="Times New Roman"/>
          <w:sz w:val="24"/>
          <w:szCs w:val="24"/>
        </w:rPr>
        <w:t xml:space="preserve">Prvým krokom výpočtu je zostavenie bilancie príjmov a výdavkov spojených so starnutím populácie, pričom východiskovým rokom je </w:t>
      </w:r>
      <w:r w:rsidRPr="007D5D50" w:rsidR="00C53E0E">
        <w:rPr>
          <w:rFonts w:ascii="Times New Roman" w:hAnsi="Times New Roman" w:cs="Times New Roman"/>
          <w:sz w:val="24"/>
          <w:szCs w:val="24"/>
        </w:rPr>
        <w:t>2013</w:t>
      </w:r>
      <w:r w:rsidRPr="007D5D50">
        <w:rPr>
          <w:rFonts w:ascii="Times New Roman" w:hAnsi="Times New Roman" w:cs="Times New Roman"/>
          <w:sz w:val="24"/>
          <w:szCs w:val="24"/>
        </w:rPr>
        <w:t xml:space="preserve">, </w:t>
      </w:r>
      <w:r w:rsidRPr="007D5D50" w:rsidR="00353746">
        <w:rPr>
          <w:rFonts w:ascii="Times New Roman" w:hAnsi="Times New Roman" w:cs="Times New Roman"/>
          <w:sz w:val="24"/>
          <w:szCs w:val="24"/>
        </w:rPr>
        <w:t>t.</w:t>
      </w:r>
      <w:r w:rsidR="007D5D50">
        <w:rPr>
          <w:rFonts w:ascii="Times New Roman" w:hAnsi="Times New Roman" w:cs="Times New Roman"/>
          <w:sz w:val="24"/>
          <w:szCs w:val="24"/>
        </w:rPr>
        <w:t xml:space="preserve"> </w:t>
      </w:r>
      <w:r w:rsidRPr="007D5D50" w:rsidR="00353746">
        <w:rPr>
          <w:rFonts w:ascii="Times New Roman" w:hAnsi="Times New Roman" w:cs="Times New Roman"/>
          <w:sz w:val="24"/>
          <w:szCs w:val="24"/>
        </w:rPr>
        <w:t xml:space="preserve">j. rok, z ktorého sa vychádza pri zostavovaní rozpočtu verejnej správy na roky 2014 až 2016. </w:t>
      </w:r>
      <w:r w:rsidRPr="007D5D50" w:rsidR="003D49CE">
        <w:rPr>
          <w:rFonts w:ascii="Times New Roman" w:hAnsi="Times New Roman" w:cs="Times New Roman"/>
          <w:sz w:val="24"/>
          <w:szCs w:val="24"/>
        </w:rPr>
        <w:t>Zostavuje sa do roku 2060 (posledný rok projekcií AWG). Po tomto roku sa vo výpočtoch uvažuje s konštantnými podielmi jednotlivých príjmov a výdavkov na HDP.</w:t>
      </w:r>
    </w:p>
    <w:p w:rsidR="007D5D50" w:rsidRPr="007D5D50" w:rsidP="007D5D50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373B7C" w:rsidRPr="00445CD4" w:rsidP="00373B7C">
      <w:pPr>
        <w:pStyle w:val="ListParagraph"/>
        <w:numPr>
          <w:numId w:val="4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7D5D50">
        <w:rPr>
          <w:rFonts w:ascii="Times New Roman" w:hAnsi="Times New Roman" w:cs="Times New Roman"/>
          <w:sz w:val="24"/>
          <w:szCs w:val="24"/>
        </w:rPr>
        <w:t>V druhom kroku sa</w:t>
      </w:r>
      <w:r w:rsidRPr="00445CD4">
        <w:rPr>
          <w:rFonts w:ascii="Times New Roman" w:hAnsi="Times New Roman" w:cs="Times New Roman"/>
          <w:sz w:val="24"/>
          <w:szCs w:val="24"/>
        </w:rPr>
        <w:t xml:space="preserve"> vyčísli suma súčasnej </w:t>
      </w:r>
      <w:r w:rsidRPr="00445CD4" w:rsidR="00353746">
        <w:rPr>
          <w:rFonts w:ascii="Times New Roman" w:hAnsi="Times New Roman" w:cs="Times New Roman"/>
          <w:sz w:val="24"/>
          <w:szCs w:val="24"/>
        </w:rPr>
        <w:t xml:space="preserve">(diskontovanej) </w:t>
      </w:r>
      <w:r w:rsidRPr="00445CD4">
        <w:rPr>
          <w:rFonts w:ascii="Times New Roman" w:hAnsi="Times New Roman" w:cs="Times New Roman"/>
          <w:sz w:val="24"/>
          <w:szCs w:val="24"/>
        </w:rPr>
        <w:t>hodnoty tejto bilancie v </w:t>
      </w:r>
      <w:r w:rsidRPr="00445CD4" w:rsidR="003D49CE">
        <w:rPr>
          <w:rFonts w:ascii="Times New Roman" w:hAnsi="Times New Roman" w:cs="Times New Roman"/>
          <w:sz w:val="24"/>
          <w:szCs w:val="24"/>
        </w:rPr>
        <w:t>nekonečnom</w:t>
      </w:r>
      <w:r w:rsidRPr="00445CD4">
        <w:rPr>
          <w:rFonts w:ascii="Times New Roman" w:hAnsi="Times New Roman" w:cs="Times New Roman"/>
          <w:sz w:val="24"/>
          <w:szCs w:val="24"/>
        </w:rPr>
        <w:t xml:space="preserve"> horizonte. Táto suma predstavuje samotnú výšku implicitných záväzkov.</w:t>
      </w:r>
    </w:p>
    <w:p w:rsidR="00C5744E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A4A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D50">
        <w:rPr>
          <w:rFonts w:ascii="Times New Roman" w:hAnsi="Times New Roman"/>
          <w:sz w:val="24"/>
          <w:szCs w:val="24"/>
        </w:rPr>
        <w:t>Na strane príjmov ide</w:t>
      </w:r>
      <w:r w:rsidRPr="00445CD4">
        <w:rPr>
          <w:rFonts w:ascii="Times New Roman" w:hAnsi="Times New Roman"/>
          <w:sz w:val="24"/>
          <w:szCs w:val="24"/>
        </w:rPr>
        <w:t xml:space="preserve"> konkrétne o príjmy Sociálnej poisťovne plynúce z dôchodkového poistenia a poistenia v nezamestnanosti a zdravotných poisťovní zo zdravotného poistenia. Ide o príjmy od ekonomicky aktívneho obyvateľstva a dlžné poistné. Časť výdavkov citlivých na starnutie populácie je financovaná aj z daní a iných príjmov. Vo výpočtoch sa uvažuje aj s nimi tak, aby vo východiskovom roku vykryli rozdiel príjmov a výdavkov spojených so starnutím populácie (prostredníctvom bilancujúcej položky - ostatné príjmy)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445CD4" w:rsidR="00AD6879">
        <w:rPr>
          <w:rFonts w:ascii="Times New Roman" w:hAnsi="Times New Roman"/>
          <w:sz w:val="24"/>
          <w:szCs w:val="24"/>
        </w:rPr>
        <w:t>.</w:t>
      </w:r>
      <w:r w:rsidRPr="00445CD4">
        <w:rPr>
          <w:rFonts w:ascii="Times New Roman" w:hAnsi="Times New Roman"/>
          <w:sz w:val="24"/>
          <w:szCs w:val="24"/>
        </w:rPr>
        <w:t xml:space="preserve"> </w:t>
      </w:r>
    </w:p>
    <w:p w:rsidR="00431A4A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1A4A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CD4">
        <w:rPr>
          <w:rFonts w:ascii="Times New Roman" w:hAnsi="Times New Roman"/>
          <w:sz w:val="24"/>
          <w:szCs w:val="24"/>
        </w:rPr>
        <w:t>Vo všeobecnosti sa v prognózovanom období uvažuje s nezmeneným podielom uvedených príjmov na HDP, čo zodpovedá teoretickému predpokladu o tom, že daňové príjmy a odvody by mali v dlhodobom horizonte rásť v súlade s rastom nominálneho HDP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445CD4">
        <w:rPr>
          <w:rFonts w:ascii="Times New Roman" w:hAnsi="Times New Roman"/>
          <w:sz w:val="24"/>
          <w:szCs w:val="24"/>
        </w:rPr>
        <w:t>. Prípadná zmena podielu príjmov z dôchodkového poistenia na HDP v čase by súvisela s tým, že časť odvodov je presmerovaná do II. piliera dôchodkového systému (t.</w:t>
      </w:r>
      <w:r w:rsidR="007D5D50">
        <w:rPr>
          <w:rFonts w:ascii="Times New Roman" w:hAnsi="Times New Roman"/>
          <w:sz w:val="24"/>
          <w:szCs w:val="24"/>
        </w:rPr>
        <w:t xml:space="preserve"> </w:t>
      </w:r>
      <w:r w:rsidRPr="00445CD4">
        <w:rPr>
          <w:rFonts w:ascii="Times New Roman" w:hAnsi="Times New Roman"/>
          <w:sz w:val="24"/>
          <w:szCs w:val="24"/>
        </w:rPr>
        <w:t>j. mimo sektor verejnej správy), pričom táto časť sa v čase môže meniť v dôsledku zmeny podielu sporiteľov na celkovom počte poistencov.</w:t>
      </w:r>
    </w:p>
    <w:p w:rsidR="00746170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1A4A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5D50" w:rsidR="005D02DB">
        <w:rPr>
          <w:rFonts w:ascii="Times New Roman" w:hAnsi="Times New Roman"/>
          <w:sz w:val="24"/>
          <w:szCs w:val="24"/>
        </w:rPr>
        <w:t>Na strane výdavkov ide o</w:t>
      </w:r>
      <w:r w:rsidRPr="00445CD4" w:rsidR="005D02DB">
        <w:rPr>
          <w:rFonts w:ascii="Times New Roman" w:hAnsi="Times New Roman"/>
          <w:sz w:val="24"/>
          <w:szCs w:val="24"/>
        </w:rPr>
        <w:t> výdavky na dôchodkové dávky, zdravotnú a dlhodobú starostlivosť, školstvo a dávky v nezamestnanosti.</w:t>
      </w:r>
      <w:r w:rsidRPr="00445CD4" w:rsidR="00E51A0A">
        <w:rPr>
          <w:rFonts w:ascii="Times New Roman" w:hAnsi="Times New Roman"/>
          <w:sz w:val="24"/>
          <w:szCs w:val="24"/>
        </w:rPr>
        <w:t xml:space="preserve"> </w:t>
      </w:r>
      <w:r w:rsidRPr="00445CD4" w:rsidR="003C5779">
        <w:rPr>
          <w:rFonts w:ascii="Times New Roman" w:hAnsi="Times New Roman"/>
          <w:sz w:val="24"/>
          <w:szCs w:val="24"/>
        </w:rPr>
        <w:t>Neuvažuje</w:t>
      </w:r>
      <w:r w:rsidRPr="00445CD4" w:rsidR="001B57C8">
        <w:rPr>
          <w:rFonts w:ascii="Times New Roman" w:hAnsi="Times New Roman"/>
          <w:sz w:val="24"/>
          <w:szCs w:val="24"/>
        </w:rPr>
        <w:t xml:space="preserve"> sa tu so zmenou úrokových nákladov vyvolaných zmenou primárneho salda verejnej správy v dôsledku starnutia populácie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445CD4" w:rsidR="001B57C8">
        <w:rPr>
          <w:rFonts w:ascii="Times New Roman" w:hAnsi="Times New Roman"/>
          <w:sz w:val="24"/>
          <w:szCs w:val="24"/>
        </w:rPr>
        <w:t xml:space="preserve">. </w:t>
      </w:r>
      <w:r w:rsidRPr="00445CD4">
        <w:rPr>
          <w:rFonts w:ascii="Times New Roman" w:hAnsi="Times New Roman"/>
          <w:sz w:val="24"/>
          <w:szCs w:val="24"/>
        </w:rPr>
        <w:t xml:space="preserve">V prípade výdavkov na dôchodkové dávky ide o projekcie </w:t>
      </w:r>
      <w:r w:rsidR="007D5D50">
        <w:rPr>
          <w:rFonts w:ascii="Times New Roman" w:hAnsi="Times New Roman"/>
          <w:sz w:val="24"/>
          <w:szCs w:val="24"/>
        </w:rPr>
        <w:t>Ministerstva financií</w:t>
      </w:r>
      <w:r w:rsidRPr="00445CD4">
        <w:rPr>
          <w:rFonts w:ascii="Times New Roman" w:hAnsi="Times New Roman"/>
          <w:sz w:val="24"/>
          <w:szCs w:val="24"/>
        </w:rPr>
        <w:t xml:space="preserve"> SR konzultované a schvaľované v rámci AWG. Projekcie ostatných výdavkov sú prevzaté priamo z AWG.</w:t>
      </w:r>
    </w:p>
    <w:p w:rsidR="00431A4A" w:rsidRPr="00445CD4" w:rsidP="0088390C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728"/>
        <w:gridCol w:w="675"/>
        <w:gridCol w:w="729"/>
        <w:gridCol w:w="729"/>
        <w:gridCol w:w="729"/>
        <w:gridCol w:w="729"/>
        <w:gridCol w:w="729"/>
      </w:tblGrid>
      <w:tr>
        <w:tblPrEx>
          <w:tblW w:w="9157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Vplyv demografických zmien na príjmy a výdavky verejnej správy (% HDP, scenár nezmenených politík)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431A4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</w:t>
            </w:r>
            <w:r w:rsidRPr="00445CD4" w:rsidR="00431A4A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431A4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201</w:t>
            </w:r>
            <w:r w:rsidRPr="00445CD4" w:rsidR="00431A4A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DE07B0" w:rsidRPr="00445CD4" w:rsidP="00DE07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  <w:lang w:eastAsia="sk-SK"/>
              </w:rPr>
              <w:t>2060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18,1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dôchodkové poistenie (EAO + dlžné)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5,9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poistenie v nezamestnanosti (EAO + dlžné)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zdravotné poistenie (EAO + dlžné)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17,8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18,7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19,8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21,6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23,3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dôchodkové dávky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10,6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6,8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9,2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445CD4">
            <w:pPr>
              <w:bidi w:val="0"/>
              <w:spacing w:after="0" w:line="240" w:lineRule="auto"/>
              <w:ind w:firstLine="160" w:firstLineChars="100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-1,0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-1,9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-3,5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EA3DF2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-5,2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374999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Primárne saldo diskontované k roku 2013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AA06C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3749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3749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-1,0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3749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-1,6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3749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-2,5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374999" w:rsidRPr="00445CD4" w:rsidP="003749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-3,0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p.m. nominálny rast HDP (v %)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6F0A12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2,1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6F0A12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3,8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</w:rPr>
              <w:t>3,9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</w:rPr>
              <w:t>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</w:rPr>
              <w:t>3,0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177AA2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</w:rPr>
              <w:t>3,1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p.m. nominálna úroková miera (v </w:t>
            </w:r>
            <w:r w:rsidRPr="00445CD4" w:rsidR="00AA06CE">
              <w:rPr>
                <w:rFonts w:ascii="Times New Roman" w:hAnsi="Times New Roman"/>
                <w:i/>
                <w:iCs/>
                <w:sz w:val="16"/>
                <w:szCs w:val="16"/>
              </w:rPr>
              <w:t>%</w:t>
            </w: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374999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 w:rsidR="003931F1">
              <w:rPr>
                <w:rFonts w:ascii="Times New Roman" w:hAnsi="Times New Roman"/>
                <w:i/>
                <w:sz w:val="16"/>
                <w:szCs w:val="16"/>
              </w:rPr>
              <w:t>3,</w:t>
            </w:r>
            <w:r w:rsidRPr="00445CD4" w:rsidR="00374999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374999">
            <w:pPr>
              <w:bidi w:val="0"/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45CD4" w:rsidR="003931F1">
              <w:rPr>
                <w:rFonts w:ascii="Times New Roman" w:hAnsi="Times New Roman"/>
                <w:i/>
                <w:sz w:val="16"/>
                <w:szCs w:val="16"/>
              </w:rPr>
              <w:t>3,</w:t>
            </w:r>
            <w:r w:rsidRPr="00445CD4" w:rsidR="00374999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5,</w:t>
            </w:r>
            <w:r w:rsidRPr="00445CD4" w:rsidR="003931F1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extDirection w:val="lrTb"/>
            <w:vAlign w:val="center"/>
            <w:hideMark/>
          </w:tcPr>
          <w:p w:rsidR="00D031ED" w:rsidRPr="00445CD4" w:rsidP="00AA06CE">
            <w:pPr>
              <w:bidi w:val="0"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i/>
                <w:iCs/>
                <w:sz w:val="16"/>
                <w:szCs w:val="16"/>
              </w:rPr>
              <w:t>5,1</w:t>
            </w:r>
          </w:p>
        </w:tc>
      </w:tr>
      <w:tr>
        <w:tblPrEx>
          <w:tblW w:w="9157" w:type="dxa"/>
          <w:tblInd w:w="5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4684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4684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4684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FE4684" w:rsidRPr="00445CD4" w:rsidP="00DE07B0">
            <w:pPr>
              <w:bidi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E4684" w:rsidRPr="00445CD4" w:rsidP="00DE07B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  <w:lang w:eastAsia="sk-SK"/>
              </w:rPr>
            </w:pPr>
            <w:r w:rsidRPr="00445CD4">
              <w:rPr>
                <w:rFonts w:ascii="Times New Roman" w:hAnsi="Times New Roman"/>
                <w:i/>
                <w:sz w:val="16"/>
                <w:szCs w:val="16"/>
                <w:lang w:eastAsia="sk-SK"/>
              </w:rPr>
              <w:t>Zdroj: MF SR, EK</w:t>
            </w:r>
          </w:p>
        </w:tc>
      </w:tr>
    </w:tbl>
    <w:p w:rsidR="009530C6" w:rsidRPr="00445CD4" w:rsidP="0088390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1B57C8" w:rsidRPr="007D5D50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45CD4" w:rsidR="00397E9A">
        <w:rPr>
          <w:rFonts w:ascii="Times New Roman" w:hAnsi="Times New Roman"/>
          <w:sz w:val="24"/>
        </w:rPr>
        <w:t>Výsledky v tabuľke možno interpretovať tak, že v roku 2060 dôjde v porovnaní s rokom 201</w:t>
      </w:r>
      <w:r w:rsidRPr="00445CD4" w:rsidR="007279E6">
        <w:rPr>
          <w:rFonts w:ascii="Times New Roman" w:hAnsi="Times New Roman"/>
          <w:sz w:val="24"/>
        </w:rPr>
        <w:t>3</w:t>
      </w:r>
      <w:r w:rsidRPr="00445CD4" w:rsidR="00FB1DC7">
        <w:rPr>
          <w:rFonts w:ascii="Times New Roman" w:hAnsi="Times New Roman"/>
          <w:sz w:val="24"/>
        </w:rPr>
        <w:t xml:space="preserve"> k zhoršeniu </w:t>
      </w:r>
      <w:r w:rsidRPr="00445CD4" w:rsidR="00EA3DF2">
        <w:rPr>
          <w:rFonts w:ascii="Times New Roman" w:hAnsi="Times New Roman"/>
          <w:sz w:val="24"/>
        </w:rPr>
        <w:t xml:space="preserve">diskontovaného </w:t>
      </w:r>
      <w:r w:rsidRPr="00445CD4" w:rsidR="00FB1DC7">
        <w:rPr>
          <w:rFonts w:ascii="Times New Roman" w:hAnsi="Times New Roman"/>
          <w:sz w:val="24"/>
        </w:rPr>
        <w:t xml:space="preserve">primárneho salda </w:t>
      </w:r>
      <w:r w:rsidRPr="00445CD4" w:rsidR="003D49CE">
        <w:rPr>
          <w:rFonts w:ascii="Times New Roman" w:hAnsi="Times New Roman"/>
          <w:sz w:val="24"/>
        </w:rPr>
        <w:t>v dôsledku</w:t>
      </w:r>
      <w:r w:rsidRPr="00445CD4" w:rsidR="00FB1DC7">
        <w:rPr>
          <w:rFonts w:ascii="Times New Roman" w:hAnsi="Times New Roman"/>
          <w:sz w:val="24"/>
        </w:rPr>
        <w:t xml:space="preserve"> starnuti</w:t>
      </w:r>
      <w:r w:rsidRPr="00445CD4" w:rsidR="003D49CE">
        <w:rPr>
          <w:rFonts w:ascii="Times New Roman" w:hAnsi="Times New Roman"/>
          <w:sz w:val="24"/>
        </w:rPr>
        <w:t>a</w:t>
      </w:r>
      <w:r w:rsidRPr="00445CD4" w:rsidR="00397E9A">
        <w:rPr>
          <w:rFonts w:ascii="Times New Roman" w:hAnsi="Times New Roman"/>
          <w:sz w:val="24"/>
        </w:rPr>
        <w:t xml:space="preserve"> populácie o</w:t>
      </w:r>
      <w:r w:rsidRPr="00445CD4" w:rsidR="00374999">
        <w:rPr>
          <w:rFonts w:ascii="Times New Roman" w:hAnsi="Times New Roman"/>
          <w:sz w:val="24"/>
        </w:rPr>
        <w:t> 3,0</w:t>
      </w:r>
      <w:r w:rsidRPr="00445CD4" w:rsidR="00397E9A">
        <w:rPr>
          <w:rFonts w:ascii="Times New Roman" w:hAnsi="Times New Roman"/>
          <w:sz w:val="24"/>
        </w:rPr>
        <w:t xml:space="preserve"> p. b. </w:t>
      </w:r>
      <w:r w:rsidRPr="007D5D50" w:rsidR="00D031ED">
        <w:rPr>
          <w:rFonts w:ascii="Times New Roman" w:hAnsi="Times New Roman"/>
          <w:sz w:val="24"/>
        </w:rPr>
        <w:t xml:space="preserve">Scenár obsahuje opatrenia zapracované v rámci </w:t>
      </w:r>
      <w:r w:rsidRPr="007D5D50" w:rsidR="00EA3DF2">
        <w:rPr>
          <w:rFonts w:ascii="Times New Roman" w:hAnsi="Times New Roman"/>
          <w:sz w:val="24"/>
        </w:rPr>
        <w:t xml:space="preserve">dôchodkovej </w:t>
      </w:r>
      <w:r w:rsidRPr="007D5D50" w:rsidR="00D031ED">
        <w:rPr>
          <w:rFonts w:ascii="Times New Roman" w:hAnsi="Times New Roman"/>
          <w:sz w:val="24"/>
        </w:rPr>
        <w:t xml:space="preserve">reformy </w:t>
      </w:r>
      <w:r w:rsidRPr="007D5D50" w:rsidR="00EA3DF2">
        <w:rPr>
          <w:rFonts w:ascii="Times New Roman" w:hAnsi="Times New Roman"/>
          <w:sz w:val="24"/>
        </w:rPr>
        <w:t xml:space="preserve">prijatej v roku </w:t>
      </w:r>
      <w:r w:rsidRPr="007D5D50" w:rsidR="00D031ED">
        <w:rPr>
          <w:rFonts w:ascii="Times New Roman" w:hAnsi="Times New Roman"/>
          <w:sz w:val="24"/>
        </w:rPr>
        <w:t>2012 (podrobnosti reformy sú v </w:t>
      </w:r>
      <w:r w:rsidR="007D5D50">
        <w:rPr>
          <w:rFonts w:ascii="Times New Roman" w:hAnsi="Times New Roman"/>
          <w:sz w:val="24"/>
        </w:rPr>
        <w:t>b</w:t>
      </w:r>
      <w:r w:rsidRPr="007D5D50" w:rsidR="00D031ED">
        <w:rPr>
          <w:rFonts w:ascii="Times New Roman" w:hAnsi="Times New Roman"/>
          <w:sz w:val="24"/>
        </w:rPr>
        <w:t xml:space="preserve">oxe </w:t>
      </w:r>
      <w:r w:rsidRPr="007D5D50" w:rsidR="00D73235">
        <w:rPr>
          <w:rFonts w:ascii="Times New Roman" w:hAnsi="Times New Roman"/>
          <w:sz w:val="24"/>
        </w:rPr>
        <w:t xml:space="preserve">č. </w:t>
      </w:r>
      <w:r w:rsidRPr="007D5D50" w:rsidR="00D031ED">
        <w:rPr>
          <w:rFonts w:ascii="Times New Roman" w:hAnsi="Times New Roman"/>
          <w:sz w:val="24"/>
        </w:rPr>
        <w:t>1).</w:t>
      </w:r>
      <w:r w:rsidRPr="007D5D50" w:rsidR="00EA3DF2">
        <w:rPr>
          <w:rFonts w:ascii="Times New Roman" w:hAnsi="Times New Roman"/>
          <w:sz w:val="24"/>
        </w:rPr>
        <w:t xml:space="preserve"> </w:t>
      </w:r>
      <w:r w:rsidRPr="007D5D50" w:rsidR="00BD67B0">
        <w:rPr>
          <w:rFonts w:ascii="Times New Roman" w:hAnsi="Times New Roman"/>
          <w:sz w:val="24"/>
        </w:rPr>
        <w:t>Návrh rozpočtu verejnej správy na roky 2014 až 2016 neobsahuje žiadne dodatočné zmeny v tejto oblasti.</w:t>
      </w:r>
    </w:p>
    <w:p w:rsidR="00696808" w:rsidRPr="00445CD4" w:rsidP="0088390C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9212"/>
      </w:tblGrid>
      <w:tr>
        <w:tblPrEx>
          <w:tblW w:w="91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6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DA3424" w:rsidRPr="00445CD4" w:rsidP="00127CA4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Toc323117600"/>
          </w:p>
          <w:p w:rsidR="00391B6F" w:rsidRPr="00445CD4" w:rsidP="00127CA4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BOX 1 </w:t>
            </w:r>
            <w:r w:rsidRPr="00445C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End w:id="0"/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Reforma </w:t>
            </w:r>
            <w:r w:rsidRPr="00445CD4" w:rsidR="00DA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dôchodkového </w:t>
            </w: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systému 2012 </w:t>
            </w: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 w:rsidR="00DA3424">
              <w:rPr>
                <w:rFonts w:ascii="Times New Roman" w:hAnsi="Times New Roman"/>
                <w:sz w:val="20"/>
                <w:szCs w:val="20"/>
              </w:rPr>
              <w:t xml:space="preserve">Reforma dôchodkového systému </w:t>
            </w:r>
            <w:r w:rsidRPr="00445CD4" w:rsidR="0090062F">
              <w:rPr>
                <w:rFonts w:ascii="Times New Roman" w:hAnsi="Times New Roman"/>
                <w:sz w:val="20"/>
                <w:szCs w:val="20"/>
              </w:rPr>
              <w:t xml:space="preserve">schválená </w:t>
            </w:r>
            <w:r w:rsidRPr="00445CD4" w:rsidR="00DA3424">
              <w:rPr>
                <w:rFonts w:ascii="Times New Roman" w:hAnsi="Times New Roman"/>
                <w:sz w:val="20"/>
                <w:szCs w:val="20"/>
              </w:rPr>
              <w:t>v</w:t>
            </w:r>
            <w:r w:rsidRPr="00445CD4" w:rsidR="0090062F">
              <w:rPr>
                <w:rFonts w:ascii="Times New Roman" w:hAnsi="Times New Roman"/>
                <w:sz w:val="20"/>
                <w:szCs w:val="20"/>
              </w:rPr>
              <w:t> </w:t>
            </w:r>
            <w:r w:rsidRPr="00445CD4" w:rsidR="00DA3424">
              <w:rPr>
                <w:rFonts w:ascii="Times New Roman" w:hAnsi="Times New Roman"/>
                <w:sz w:val="20"/>
                <w:szCs w:val="20"/>
              </w:rPr>
              <w:t>roku</w:t>
            </w:r>
            <w:r w:rsidRPr="00445CD4" w:rsidR="0090062F">
              <w:rPr>
                <w:rFonts w:ascii="Times New Roman" w:hAnsi="Times New Roman"/>
                <w:sz w:val="20"/>
                <w:szCs w:val="20"/>
              </w:rPr>
              <w:t xml:space="preserve"> 2012 obsahovala</w:t>
            </w:r>
            <w:r w:rsidRPr="00445CD4" w:rsidR="00DA34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nasledovné opatrenia v dôchodkovom systéme a systéme zdravotného poistenia, ktoré vplývajú na dlhodobú udržateľnosť verejných financií:</w:t>
            </w: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>Zmeny v II. pilieri dôchodkového systému</w:t>
            </w:r>
          </w:p>
          <w:p w:rsidR="00391B6F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D5D50">
              <w:rPr>
                <w:rFonts w:ascii="Times New Roman" w:hAnsi="Times New Roman"/>
                <w:sz w:val="20"/>
                <w:szCs w:val="20"/>
              </w:rPr>
              <w:t>Národná rada SR schválila zníženie príspevkovej sadzby do druhého piliera (kapitalizačný pilier) dôchodkového systému z</w:t>
            </w:r>
            <w:r w:rsidRPr="007D5D50" w:rsidR="00900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 na 4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 od 1.</w:t>
            </w:r>
            <w:r w:rsidRPr="007D5D50" w:rsidR="00AA06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septembra 2012. Od roku 2017 sa príspevková sadzba bude zvyšovať ročne o 0,25 p.b. až do roku 2024, kedy dosiahne konečnú úroveň 6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>. Zároveň sa od toho istého dátumu do konca januára 2013 umožnil výstup</w:t>
            </w:r>
            <w:r w:rsidR="007D5D50">
              <w:rPr>
                <w:rFonts w:ascii="Times New Roman" w:hAnsi="Times New Roman"/>
                <w:sz w:val="20"/>
                <w:szCs w:val="20"/>
              </w:rPr>
              <w:t>,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 resp. vstup do tohto piliera. Výraznou zmenou je zároveň zmena pravidiel pre vstup nových účastníkov na trhu práce, kedy sa automaticky nestávajú účastníkmi II. piliera, ale o vstup musia sami žiadať (rozhodnúť sa môžu do veku 35 rokov). </w:t>
            </w:r>
          </w:p>
          <w:p w:rsidR="00CB6339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Naviazanie valorizačného mechanizmu dôchodkov na dôchodcovskú infláciu </w:t>
            </w:r>
          </w:p>
          <w:p w:rsidR="00391B6F" w:rsidRPr="007D5D50" w:rsidP="00127CA4">
            <w:pPr>
              <w:bidi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 w:rsidR="00C5011D">
              <w:rPr>
                <w:rFonts w:ascii="Times New Roman" w:hAnsi="Times New Roman"/>
                <w:sz w:val="20"/>
                <w:szCs w:val="20"/>
              </w:rPr>
              <w:t xml:space="preserve">Švajčiarsky 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spôsob zvyšovania dôchodkov</w:t>
            </w:r>
            <w:r w:rsidRPr="00445CD4" w:rsidR="00C5011D">
              <w:rPr>
                <w:rFonts w:ascii="Times New Roman" w:hAnsi="Times New Roman"/>
                <w:sz w:val="20"/>
                <w:szCs w:val="20"/>
              </w:rPr>
              <w:t>,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D4" w:rsidR="00C5011D">
              <w:rPr>
                <w:rFonts w:ascii="Times New Roman" w:hAnsi="Times New Roman"/>
                <w:sz w:val="20"/>
                <w:szCs w:val="20"/>
              </w:rPr>
              <w:t xml:space="preserve">ktorý sa uplatňoval do roku 2013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(50%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inflácia a</w:t>
            </w:r>
            <w:r w:rsidR="007D5D50">
              <w:rPr>
                <w:rFonts w:ascii="Times New Roman" w:hAnsi="Times New Roman"/>
                <w:sz w:val="20"/>
                <w:szCs w:val="20"/>
              </w:rPr>
              <w:t> 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50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rast priemernej nominálnej mzdy v ekonomike) v sebe kombinuje jednoduchosť administrácie a dôchodcom </w:t>
            </w:r>
            <w:r w:rsidRPr="00445CD4" w:rsidR="00A83BDC">
              <w:rPr>
                <w:rFonts w:ascii="Times New Roman" w:hAnsi="Times New Roman"/>
                <w:sz w:val="20"/>
                <w:szCs w:val="20"/>
              </w:rPr>
              <w:t>s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časti umožňuje benefitovať z rastu reálnych príjmov v ekonomike. Jeho hlavnou nevýhodou v porovnaní s inflačnou indexáciou sú rozpočtové náklady, ktoré majú významný vplyv z pohľadu dlhodobej udržateľnosti systému. </w:t>
            </w:r>
            <w:r w:rsidRPr="00445CD4" w:rsidR="00CE6764">
              <w:rPr>
                <w:rFonts w:ascii="Times New Roman" w:hAnsi="Times New Roman"/>
                <w:sz w:val="20"/>
                <w:szCs w:val="20"/>
              </w:rPr>
              <w:t xml:space="preserve">Od roku 2018 dôjde k 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zmen</w:t>
            </w:r>
            <w:r w:rsidRPr="00445CD4" w:rsidR="00CE6764">
              <w:rPr>
                <w:rFonts w:ascii="Times New Roman" w:hAnsi="Times New Roman"/>
                <w:sz w:val="20"/>
                <w:szCs w:val="20"/>
              </w:rPr>
              <w:t>e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valorizačného mechanizmu dôchodkov s cieľom </w:t>
            </w:r>
            <w:r w:rsidRPr="007D5D50">
              <w:rPr>
                <w:rFonts w:ascii="Times New Roman" w:hAnsi="Times New Roman"/>
                <w:sz w:val="20"/>
                <w:szCs w:val="20"/>
              </w:rPr>
              <w:t xml:space="preserve">zvyšovať dôchodky percentuálne v závislosti len od inflácie za domácnosti dôchodcov (dôchodcovská inflácia). </w:t>
            </w:r>
          </w:p>
          <w:p w:rsidR="00391B6F" w:rsidRPr="00445CD4" w:rsidP="00127CA4">
            <w:p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bidi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>
              <w:rPr>
                <w:rFonts w:ascii="Times New Roman" w:hAnsi="Times New Roman"/>
                <w:sz w:val="20"/>
                <w:szCs w:val="20"/>
              </w:rPr>
              <w:t>V  roko</w:t>
            </w:r>
            <w:r w:rsidRPr="00445CD4" w:rsidR="00894E41">
              <w:rPr>
                <w:rFonts w:ascii="Times New Roman" w:hAnsi="Times New Roman"/>
                <w:sz w:val="20"/>
                <w:szCs w:val="20"/>
              </w:rPr>
              <w:t>ch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2013 až 2017 sa dôchodky budú dočasne zvyšovať o fixnú sumu vypočítanú ako percento valorizácie pre priemernú výšku daného typu dôchodkovej dávky (je stanovených viacero skupín, pre ktoré sa fixná suma počíta preto, aby nedochádzalo k neželaným redistribúciám napr. medzi nízkymi pozostalostnými dôchodkami a klasickými starobnými dôchodkami). V priebehu rokov 2014 až 2017 sa postupne bude zvyšovať váha inflácie zo súčasných 50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na 90 </w:t>
            </w:r>
            <w:r w:rsidR="007D5D50">
              <w:rPr>
                <w:rFonts w:ascii="Times New Roman" w:hAnsi="Times New Roman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91B6F" w:rsidRPr="00445CD4" w:rsidP="00127CA4">
            <w:p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>Zvýšenie maximálnych vymeriavacích základov</w:t>
            </w:r>
          </w:p>
          <w:p w:rsidR="00391B6F" w:rsidRPr="007D5D50" w:rsidP="00127CA4">
            <w:pPr>
              <w:pStyle w:val="ListParagraph"/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>Od roku 2013 sa zvýši</w:t>
            </w:r>
            <w:r w:rsidRPr="007D5D50" w:rsidR="00A83BDC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 xml:space="preserve"> maximálne vymeriavacie základy pre platenie sociálneho a zdravotného poistenia na 5-násobok priemernej mzdy v ekonomike, čo znamená zvýšenie príjmov tohto systému aj v dlhodobom horizonte. Toto opatrenie nem</w:t>
            </w:r>
            <w:r w:rsidRPr="007D5D50" w:rsidR="00A83BDC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 xml:space="preserve"> vplyv na výdavky, keďže toto zvýšenie nebude znamenať zvýšenie dôchodkových nárokov poistenca. </w:t>
            </w:r>
          </w:p>
          <w:p w:rsidR="00391B6F" w:rsidRPr="00445CD4" w:rsidP="00127CA4">
            <w:pPr>
              <w:pStyle w:val="ListParagraph"/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B6F" w:rsidRPr="00445CD4" w:rsidP="00127CA4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>Naviazanie dôchodkového veku na vývoj strednej dĺžky života</w:t>
            </w: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>
              <w:rPr>
                <w:rFonts w:ascii="Times New Roman" w:hAnsi="Times New Roman"/>
                <w:sz w:val="20"/>
                <w:szCs w:val="20"/>
              </w:rPr>
              <w:t>Vzhľadom na stále prebiehajúci proces zvyšovania dôchodkového veku pre ženy sa väzba medzi úpravou dôchodkového veku a strednou dĺžkou života zavedie až po tom, ako bezdetné ženy dosiahnu rovnaký dôchodkový vek ako muži (od roku 2017). Aby boli zmeny hladké a rovnomerné, bude sa zohľadňovať päťročný kĺzavý priemer strednej dĺžky života. Pri súčasných demografických projekciách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by to znamenalo ročný nárast dôchodkového veku o približne 50 dní</w:t>
            </w:r>
            <w:r w:rsidRPr="00445CD4" w:rsidR="009F6DBF">
              <w:rPr>
                <w:rFonts w:ascii="Times New Roman" w:hAnsi="Times New Roman"/>
                <w:sz w:val="20"/>
                <w:szCs w:val="20"/>
              </w:rPr>
              <w:t xml:space="preserve"> ročne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pStyle w:val="ListParagraph"/>
              <w:numPr>
                <w:numId w:val="1"/>
              </w:numPr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>Posilnenie solidarity pri priznávaní dôchodkových dávok z priebežného piliera</w:t>
            </w:r>
          </w:p>
          <w:p w:rsidR="00391B6F" w:rsidRPr="007D5D50" w:rsidP="00127CA4">
            <w:pPr>
              <w:pStyle w:val="ListParagraph"/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 xml:space="preserve">Tento cieľ sa </w:t>
            </w:r>
            <w:r w:rsidRPr="007D5D50" w:rsidR="00C5011D">
              <w:rPr>
                <w:rFonts w:ascii="Times New Roman" w:hAnsi="Times New Roman" w:cs="Times New Roman"/>
                <w:sz w:val="20"/>
                <w:szCs w:val="20"/>
              </w:rPr>
              <w:t xml:space="preserve">realizoval </w:t>
            </w: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 xml:space="preserve">úpravou koeficientov solidarity, kde sa nízke dôchodky mierne zvyšujú a vyššie dôchodky naopak mierne redukujú. Toto opatrenie </w:t>
            </w:r>
            <w:r w:rsidRPr="007D5D50" w:rsidR="00C5011D">
              <w:rPr>
                <w:rFonts w:ascii="Times New Roman" w:hAnsi="Times New Roman" w:cs="Times New Roman"/>
                <w:sz w:val="20"/>
                <w:szCs w:val="20"/>
              </w:rPr>
              <w:t xml:space="preserve">má </w:t>
            </w:r>
            <w:r w:rsidRPr="007D5D50">
              <w:rPr>
                <w:rFonts w:ascii="Times New Roman" w:hAnsi="Times New Roman" w:cs="Times New Roman"/>
                <w:sz w:val="20"/>
                <w:szCs w:val="20"/>
              </w:rPr>
              <w:t xml:space="preserve">postupný nábeh od roku 2013 do roku 2018 tak, aby nedochádzalo k vytváraniu veľkých rozdielov vo výškach dôchodkov ľudí s identickými parametrami (odpracované roky, kariérny príjem). Toto opatrenie je navrhnuté tak, aby v krátkodobom, ale aj dlhodobom horizonte malo neutrálny vplyv na výšku výdavkov na dôchodky. </w:t>
            </w:r>
          </w:p>
          <w:p w:rsidR="00391B6F" w:rsidRPr="00445CD4" w:rsidP="00127CA4">
            <w:pPr>
              <w:pStyle w:val="ListParagraph"/>
              <w:autoSpaceDE w:val="0"/>
              <w:autoSpaceDN w:val="0"/>
              <w:bidi w:val="0"/>
              <w:adjustRightInd w:val="0"/>
              <w:spacing w:after="0" w:line="240" w:lineRule="auto"/>
              <w:ind w:left="426"/>
              <w:suppressOverlap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B6F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Nasledujúce grafy znázorňujú vplyv dôchodkovej reformy na verejné financie, vrátane príspevkov jednotlivých opatrení. Dôchodková reforma ako celok znížila výdavky na dôchodkové dávky v roku 2060 o 2,6 </w:t>
            </w:r>
            <w:r w:rsidRPr="00445CD4" w:rsidR="004137E6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HDP (v porovnaní so scenárom pred reformou).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B6339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1B6F" w:rsidRPr="00445CD4" w:rsidP="00127CA4">
            <w:pPr>
              <w:autoSpaceDE w:val="0"/>
              <w:autoSpaceDN w:val="0"/>
              <w:bidi w:val="0"/>
              <w:adjustRightInd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eNormal"/>
              <w:tblW w:w="9072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1E0"/>
            </w:tblPr>
            <w:tblGrid>
              <w:gridCol w:w="4415"/>
              <w:gridCol w:w="257"/>
              <w:gridCol w:w="4400"/>
            </w:tblGrid>
            <w:tr>
              <w:tblPrEx>
                <w:tblW w:w="9072" w:type="dxa"/>
                <w:jc w:val="center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6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>Výdavky na dôchodkové dávky (</w:t>
                  </w:r>
                  <w:r w:rsidRPr="00445CD4" w:rsidR="004137E6">
                    <w:rPr>
                      <w:rFonts w:ascii="Times New Roman" w:hAnsi="Times New Roman"/>
                      <w:b/>
                      <w:sz w:val="20"/>
                    </w:rPr>
                    <w:t>%</w:t>
                  </w: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 xml:space="preserve"> HDP)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60" w:after="60"/>
                    <w:suppressOverlap/>
                    <w:rPr>
                      <w:rFonts w:ascii="Times New Roman" w:hAnsi="Times New Roman"/>
                      <w:b/>
                      <w:color w:val="FFFFFF"/>
                      <w:sz w:val="20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>Príspevky jednotlivých opatrení k zmene výdavkov (</w:t>
                  </w:r>
                  <w:r w:rsidRPr="00445CD4" w:rsidR="004137E6">
                    <w:rPr>
                      <w:rFonts w:ascii="Times New Roman" w:hAnsi="Times New Roman"/>
                      <w:b/>
                      <w:sz w:val="20"/>
                    </w:rPr>
                    <w:t>%</w:t>
                  </w: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 xml:space="preserve"> HDP)</w: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53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ok 25" o:spid="_x0000_i1025" type="#_x0000_t75" style="width:213.7pt;height:149.04pt;visibility:visible" filled="f" stroked="f">
                        <v:fill o:detectmouseclick="f"/>
                        <v:imagedata r:id="rId6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lang w:eastAsia="sk-SK"/>
                    </w:rPr>
                    <w:pict>
                      <v:shape id="Obrázok 15" o:spid="_x0000_i1026" type="#_x0000_t75" style="width:213.03pt;height:146.29pt;visibility:visible" filled="f" stroked="f">
                        <v:fill o:detectmouseclick="f"/>
                        <v:imagedata r:id="rId7" o:title=""/>
                        <o:lock v:ext="edit" aspectratio="t"/>
                      </v:shape>
                    </w:pic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  <w:r w:rsidRPr="00445CD4">
                    <w:rPr>
                      <w:rFonts w:ascii="Times New Roman" w:hAnsi="Times New Roman"/>
                      <w:sz w:val="16"/>
                    </w:rPr>
                    <w:t>Zdroj: MF SR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  <w:r w:rsidRPr="00445CD4">
                    <w:rPr>
                      <w:rFonts w:ascii="Times New Roman" w:hAnsi="Times New Roman"/>
                      <w:sz w:val="16"/>
                    </w:rPr>
                    <w:t>Zdroj: MF SR</w:t>
                  </w:r>
                </w:p>
              </w:tc>
            </w:tr>
          </w:tbl>
          <w:p w:rsidR="00391B6F" w:rsidRPr="00445CD4" w:rsidP="00127CA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445CD4">
              <w:rPr>
                <w:rFonts w:ascii="Times New Roman" w:hAnsi="Times New Roman"/>
                <w:sz w:val="20"/>
                <w:szCs w:val="20"/>
              </w:rPr>
              <w:t>Najväčší pozitívny vplyv na penzijné výdavky má predlžovanie dôchodkového veku, ako aj zmena indexácie dôchodkových dávok. Zmena solidarity m</w:t>
            </w:r>
            <w:r w:rsidR="007D5D50">
              <w:rPr>
                <w:rFonts w:ascii="Times New Roman" w:hAnsi="Times New Roman"/>
                <w:sz w:val="20"/>
                <w:szCs w:val="20"/>
              </w:rPr>
              <w:t>á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iba mierne pozitívny vplyv, kým zmeny uskutočnené v</w:t>
            </w:r>
            <w:r w:rsidR="007D5D50">
              <w:rPr>
                <w:rFonts w:ascii="Times New Roman" w:hAnsi="Times New Roman"/>
                <w:sz w:val="20"/>
                <w:szCs w:val="20"/>
              </w:rPr>
              <w:t> II.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pilieri majú naopak negatívny vplyv na výdavky.</w:t>
            </w:r>
          </w:p>
          <w:p w:rsidR="00391B6F" w:rsidRPr="00445CD4" w:rsidP="00127CA4">
            <w:pPr>
              <w:bidi w:val="0"/>
              <w:spacing w:after="0" w:line="240" w:lineRule="auto"/>
              <w:suppressOverlap/>
              <w:rPr>
                <w:rFonts w:ascii="Times New Roman" w:hAnsi="Times New Roman"/>
                <w:lang w:eastAsia="sk-SK"/>
              </w:rPr>
            </w:pPr>
          </w:p>
          <w:tbl>
            <w:tblPr>
              <w:tblStyle w:val="TableNormal"/>
              <w:tblW w:w="9072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CellMar>
                <w:left w:w="70" w:type="dxa"/>
                <w:right w:w="70" w:type="dxa"/>
              </w:tblCellMar>
              <w:tblLook w:val="01E0"/>
            </w:tblPr>
            <w:tblGrid>
              <w:gridCol w:w="4400"/>
              <w:gridCol w:w="272"/>
              <w:gridCol w:w="4400"/>
            </w:tblGrid>
            <w:tr>
              <w:tblPrEx>
                <w:tblW w:w="9072" w:type="dxa"/>
                <w:jc w:val="center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6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>Saldo dôchodkového systému (</w:t>
                  </w:r>
                  <w:r w:rsidRPr="00445CD4" w:rsidR="004137E6">
                    <w:rPr>
                      <w:rFonts w:ascii="Times New Roman" w:hAnsi="Times New Roman"/>
                      <w:b/>
                      <w:sz w:val="20"/>
                    </w:rPr>
                    <w:t>%</w:t>
                  </w: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 xml:space="preserve"> HDP)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textDirection w:val="lrTb"/>
                  <w:vAlign w:val="center"/>
                </w:tcPr>
                <w:p w:rsidR="00391B6F" w:rsidRPr="00445CD4" w:rsidP="007043AF">
                  <w:pPr>
                    <w:bidi w:val="0"/>
                    <w:spacing w:before="60" w:after="60"/>
                    <w:suppressOverlap/>
                    <w:rPr>
                      <w:rFonts w:ascii="Times New Roman" w:hAnsi="Times New Roman"/>
                      <w:b/>
                      <w:color w:val="FFFFFF"/>
                      <w:sz w:val="20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textDirection w:val="lrTb"/>
                  <w:vAlign w:val="center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20"/>
                    </w:rPr>
                  </w:pP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>Príspevky jednotlivých opatrení k zmene salda dôchodkového systému (</w:t>
                  </w:r>
                  <w:r w:rsidRPr="00445CD4" w:rsidR="004137E6">
                    <w:rPr>
                      <w:rFonts w:ascii="Times New Roman" w:hAnsi="Times New Roman"/>
                      <w:b/>
                      <w:sz w:val="20"/>
                    </w:rPr>
                    <w:t>%</w:t>
                  </w:r>
                  <w:r w:rsidRPr="00445CD4">
                    <w:rPr>
                      <w:rFonts w:ascii="Times New Roman" w:hAnsi="Times New Roman"/>
                      <w:b/>
                      <w:sz w:val="20"/>
                    </w:rPr>
                    <w:t xml:space="preserve"> HDP)</w: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1531"/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 id="Obrázok 9" o:spid="_x0000_i1027" type="#_x0000_t75" style="width:212.68pt;height:149.76pt;visibility:visible" filled="f" stroked="f">
                        <v:fill o:detectmouseclick="f"/>
                        <v:imagedata r:id="rId8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auto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16"/>
                      <w:rtl w:val="0"/>
                      <w:lang w:eastAsia="sk-SK"/>
                    </w:rPr>
                    <w:pict>
                      <v:shape id="Obrázok 10" o:spid="_x0000_i1028" type="#_x0000_t75" style="width:213.17pt;height:149.76pt;visibility:visible" filled="f" stroked="f">
                        <v:fill o:detectmouseclick="f"/>
                        <v:imagedata r:id="rId9" o:title=""/>
                        <o:lock v:ext="edit" aspectratio="t"/>
                      </v:shape>
                    </w:pict>
                  </w:r>
                </w:p>
              </w:tc>
            </w:tr>
            <w:tr>
              <w:tblPrEx>
                <w:tblW w:w="9072" w:type="dxa"/>
                <w:jc w:val="center"/>
                <w:tblCellMar>
                  <w:left w:w="70" w:type="dxa"/>
                  <w:right w:w="70" w:type="dxa"/>
                </w:tblCellMar>
                <w:tblLook w:val="01E0"/>
              </w:tblPrEx>
              <w:trPr>
                <w:jc w:val="center"/>
              </w:trPr>
              <w:tc>
                <w:tcPr>
                  <w:tcW w:w="4390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  <w:r w:rsidRPr="00445CD4">
                    <w:rPr>
                      <w:rFonts w:ascii="Times New Roman" w:hAnsi="Times New Roman"/>
                      <w:sz w:val="16"/>
                    </w:rPr>
                    <w:t>Zdroj: MF SR</w:t>
                  </w:r>
                </w:p>
              </w:tc>
              <w:tc>
                <w:tcPr>
                  <w:tcW w:w="293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</w:p>
              </w:tc>
              <w:tc>
                <w:tcPr>
                  <w:tcW w:w="4389" w:type="dxa"/>
                  <w:tcBorders>
                    <w:top w:val="single" w:sz="4" w:space="0" w:color="auto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textDirection w:val="lrTb"/>
                  <w:vAlign w:val="top"/>
                </w:tcPr>
                <w:p w:rsidR="00391B6F" w:rsidRPr="00445CD4" w:rsidP="007043AF">
                  <w:pPr>
                    <w:bidi w:val="0"/>
                    <w:spacing w:before="40" w:after="40"/>
                    <w:suppressOverlap/>
                    <w:jc w:val="right"/>
                    <w:rPr>
                      <w:rFonts w:ascii="Times New Roman" w:hAnsi="Times New Roman"/>
                      <w:sz w:val="16"/>
                    </w:rPr>
                  </w:pPr>
                  <w:r w:rsidRPr="00445CD4">
                    <w:rPr>
                      <w:rFonts w:ascii="Times New Roman" w:hAnsi="Times New Roman"/>
                      <w:sz w:val="16"/>
                    </w:rPr>
                    <w:t>Zdroj: MF SR</w:t>
                  </w:r>
                </w:p>
              </w:tc>
            </w:tr>
          </w:tbl>
          <w:p w:rsidR="00391B6F" w:rsidRPr="00445CD4" w:rsidP="0059693F">
            <w:p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5CD4">
              <w:rPr>
                <w:rFonts w:ascii="Times New Roman" w:hAnsi="Times New Roman"/>
                <w:sz w:val="20"/>
                <w:szCs w:val="20"/>
              </w:rPr>
              <w:t xml:space="preserve">Vzhľadom </w:t>
            </w:r>
            <w:r w:rsidRPr="00445CD4" w:rsidR="009F6DBF">
              <w:rPr>
                <w:rFonts w:ascii="Times New Roman" w:hAnsi="Times New Roman"/>
                <w:sz w:val="20"/>
                <w:szCs w:val="20"/>
              </w:rPr>
              <w:t> na to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, že zmeny v</w:t>
            </w:r>
            <w:r w:rsidR="007D5D50">
              <w:rPr>
                <w:rFonts w:ascii="Times New Roman" w:hAnsi="Times New Roman"/>
                <w:sz w:val="20"/>
                <w:szCs w:val="20"/>
              </w:rPr>
              <w:t> II.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pilieri sa netýkajú iba strany výdavkov,</w:t>
            </w:r>
            <w:r w:rsidR="007D5D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je potrebné pozrieť sa na saldo príjmov a výdavkov dôchodkového systému. Z grafu je možné vidieť, že uvedená zmena má do roku 2050 pozitívny vplyv na bilanciu dôchodkového systému. Po roku 2050 prevážia negatívne efekty vyplývajúce jednak zo zníženia príspevkovej sadzby (z 9</w:t>
            </w:r>
            <w:r w:rsidRPr="00445CD4" w:rsidR="004C1B5F">
              <w:rPr>
                <w:rFonts w:ascii="Times New Roman" w:hAnsi="Times New Roman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 xml:space="preserve">  na 6</w:t>
            </w:r>
            <w:r w:rsidRPr="00445CD4" w:rsidR="004C1B5F">
              <w:rPr>
                <w:rFonts w:ascii="Times New Roman" w:hAnsi="Times New Roman"/>
                <w:sz w:val="20"/>
                <w:szCs w:val="20"/>
              </w:rPr>
              <w:t>%</w:t>
            </w:r>
            <w:r w:rsidRPr="00445CD4">
              <w:rPr>
                <w:rFonts w:ascii="Times New Roman" w:hAnsi="Times New Roman"/>
                <w:sz w:val="20"/>
                <w:szCs w:val="20"/>
              </w:rPr>
              <w:t>), najmä však fakt, že systém sa stal dobrovoľným. Pre plnohodnotné posúdenie vplyvov je však horizont do roku 2060 príliš krátky.</w:t>
            </w:r>
          </w:p>
          <w:p w:rsidR="00C5011D" w:rsidRPr="00445CD4" w:rsidP="0059693F">
            <w:p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1B6F" w:rsidRPr="00445CD4" w:rsidP="0088390C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F979FA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45CD4" w:rsidR="007F6022">
        <w:rPr>
          <w:rFonts w:ascii="Times New Roman" w:hAnsi="Times New Roman"/>
          <w:b/>
          <w:sz w:val="24"/>
        </w:rPr>
        <w:t xml:space="preserve">2.  </w:t>
      </w:r>
      <w:r w:rsidRPr="00445CD4">
        <w:rPr>
          <w:rFonts w:ascii="Times New Roman" w:hAnsi="Times New Roman"/>
          <w:b/>
          <w:sz w:val="24"/>
        </w:rPr>
        <w:t>Iné záväzky</w:t>
      </w:r>
    </w:p>
    <w:p w:rsidR="00F979FA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4137E6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45CD4" w:rsidR="00696808">
        <w:rPr>
          <w:rFonts w:ascii="Times New Roman" w:hAnsi="Times New Roman"/>
          <w:sz w:val="24"/>
        </w:rPr>
        <w:t xml:space="preserve">Nad rámec vplyvu položiek citlivých na starnutie </w:t>
      </w:r>
      <w:r w:rsidRPr="00445CD4" w:rsidR="0008369B">
        <w:rPr>
          <w:rFonts w:ascii="Times New Roman" w:hAnsi="Times New Roman"/>
          <w:sz w:val="24"/>
        </w:rPr>
        <w:t>bol do celkovej kvantifikácie</w:t>
      </w:r>
      <w:r w:rsidRPr="00445CD4" w:rsidR="00CE6764">
        <w:rPr>
          <w:rFonts w:ascii="Times New Roman" w:hAnsi="Times New Roman"/>
          <w:sz w:val="24"/>
        </w:rPr>
        <w:t xml:space="preserve"> implicitných záväzkov </w:t>
      </w:r>
      <w:r w:rsidRPr="007D5D50" w:rsidR="0008369B">
        <w:rPr>
          <w:rFonts w:ascii="Times New Roman" w:hAnsi="Times New Roman"/>
          <w:sz w:val="24"/>
        </w:rPr>
        <w:t>zahrn</w:t>
      </w:r>
      <w:r w:rsidRPr="007D5D50">
        <w:rPr>
          <w:rFonts w:ascii="Times New Roman" w:hAnsi="Times New Roman"/>
          <w:sz w:val="24"/>
        </w:rPr>
        <w:t>u</w:t>
      </w:r>
      <w:r w:rsidRPr="007D5D50" w:rsidR="0008369B">
        <w:rPr>
          <w:rFonts w:ascii="Times New Roman" w:hAnsi="Times New Roman"/>
          <w:sz w:val="24"/>
        </w:rPr>
        <w:t>t</w:t>
      </w:r>
      <w:r w:rsidRPr="007D5D50" w:rsidR="00CE6764">
        <w:rPr>
          <w:rFonts w:ascii="Times New Roman" w:hAnsi="Times New Roman"/>
          <w:sz w:val="24"/>
        </w:rPr>
        <w:t>ý</w:t>
      </w:r>
      <w:r w:rsidRPr="007D5D50" w:rsidR="0008369B">
        <w:rPr>
          <w:rFonts w:ascii="Times New Roman" w:hAnsi="Times New Roman"/>
          <w:sz w:val="24"/>
        </w:rPr>
        <w:t xml:space="preserve"> aj </w:t>
      </w:r>
      <w:r w:rsidRPr="007D5D50" w:rsidR="00CE6764">
        <w:rPr>
          <w:rFonts w:ascii="Times New Roman" w:hAnsi="Times New Roman"/>
          <w:sz w:val="24"/>
        </w:rPr>
        <w:t>vpl</w:t>
      </w:r>
      <w:r w:rsidRPr="007D5D50" w:rsidR="00D73235">
        <w:rPr>
          <w:rFonts w:ascii="Times New Roman" w:hAnsi="Times New Roman"/>
          <w:sz w:val="24"/>
        </w:rPr>
        <w:t>y</w:t>
      </w:r>
      <w:r w:rsidRPr="007D5D50" w:rsidR="00CE6764">
        <w:rPr>
          <w:rFonts w:ascii="Times New Roman" w:hAnsi="Times New Roman"/>
          <w:sz w:val="24"/>
        </w:rPr>
        <w:t xml:space="preserve">v </w:t>
      </w:r>
      <w:r w:rsidRPr="007D5D50" w:rsidR="0008369B">
        <w:rPr>
          <w:rFonts w:ascii="Times New Roman" w:hAnsi="Times New Roman"/>
          <w:sz w:val="24"/>
        </w:rPr>
        <w:t>splácani</w:t>
      </w:r>
      <w:r w:rsidRPr="007D5D50" w:rsidR="00CE6764">
        <w:rPr>
          <w:rFonts w:ascii="Times New Roman" w:hAnsi="Times New Roman"/>
          <w:sz w:val="24"/>
        </w:rPr>
        <w:t>a</w:t>
      </w:r>
      <w:r w:rsidRPr="007D5D50" w:rsidR="0008369B">
        <w:rPr>
          <w:rFonts w:ascii="Times New Roman" w:hAnsi="Times New Roman"/>
          <w:sz w:val="24"/>
        </w:rPr>
        <w:t xml:space="preserve"> PPP projektu </w:t>
      </w:r>
      <w:r w:rsidRPr="007D5D50" w:rsidR="00CE6764">
        <w:rPr>
          <w:rFonts w:ascii="Times New Roman" w:hAnsi="Times New Roman"/>
          <w:sz w:val="24"/>
        </w:rPr>
        <w:t xml:space="preserve">– rýchlostná cesta </w:t>
      </w:r>
      <w:r w:rsidRPr="007D5D50" w:rsidR="0008369B">
        <w:rPr>
          <w:rFonts w:ascii="Times New Roman" w:hAnsi="Times New Roman"/>
          <w:sz w:val="24"/>
        </w:rPr>
        <w:t>R1</w:t>
      </w:r>
      <w:r w:rsidRPr="00445CD4" w:rsidR="00696808">
        <w:rPr>
          <w:rFonts w:ascii="Times New Roman" w:hAnsi="Times New Roman"/>
          <w:sz w:val="24"/>
        </w:rPr>
        <w:t xml:space="preserve">. </w:t>
      </w:r>
      <w:r w:rsidRPr="00445CD4">
        <w:rPr>
          <w:rFonts w:ascii="Times New Roman" w:hAnsi="Times New Roman"/>
          <w:sz w:val="24"/>
        </w:rPr>
        <w:t xml:space="preserve">Východiskom boli predpokladané platby štátu za dostupnosť počas celej doby </w:t>
      </w:r>
      <w:r w:rsidRPr="00445CD4" w:rsidR="00E92121">
        <w:rPr>
          <w:rFonts w:ascii="Times New Roman" w:hAnsi="Times New Roman"/>
          <w:sz w:val="24"/>
        </w:rPr>
        <w:t>trvania koncesie</w:t>
      </w:r>
      <w:r w:rsidRPr="00445CD4">
        <w:rPr>
          <w:rFonts w:ascii="Times New Roman" w:hAnsi="Times New Roman"/>
          <w:sz w:val="24"/>
        </w:rPr>
        <w:t>, t.</w:t>
      </w:r>
      <w:r w:rsidR="007D5D50">
        <w:rPr>
          <w:rFonts w:ascii="Times New Roman" w:hAnsi="Times New Roman"/>
          <w:sz w:val="24"/>
        </w:rPr>
        <w:t xml:space="preserve"> </w:t>
      </w:r>
      <w:r w:rsidRPr="00445CD4">
        <w:rPr>
          <w:rFonts w:ascii="Times New Roman" w:hAnsi="Times New Roman"/>
          <w:sz w:val="24"/>
        </w:rPr>
        <w:t>j. do roku 2041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8"/>
      </w:r>
      <w:r w:rsidRPr="00445CD4">
        <w:rPr>
          <w:rFonts w:ascii="Times New Roman" w:hAnsi="Times New Roman"/>
          <w:sz w:val="24"/>
        </w:rPr>
        <w:t>. Platby za dostupnosť boli znížené o platbu DPH za služby, keďže táto je z pohľadu vplyvu na saldo a dlh neutrálna. Súčasne sa tu neuvažuje ani s</w:t>
      </w:r>
      <w:r w:rsidRPr="00445CD4" w:rsidR="00E92121">
        <w:rPr>
          <w:rFonts w:ascii="Times New Roman" w:hAnsi="Times New Roman"/>
          <w:sz w:val="24"/>
        </w:rPr>
        <w:t> </w:t>
      </w:r>
      <w:r w:rsidRPr="00445CD4" w:rsidR="007D5D50">
        <w:rPr>
          <w:rFonts w:ascii="Times New Roman" w:hAnsi="Times New Roman"/>
          <w:sz w:val="24"/>
        </w:rPr>
        <w:t>alikvotnou</w:t>
      </w:r>
      <w:r w:rsidRPr="00445CD4" w:rsidR="00E92121">
        <w:rPr>
          <w:rFonts w:ascii="Times New Roman" w:hAnsi="Times New Roman"/>
          <w:sz w:val="24"/>
        </w:rPr>
        <w:t xml:space="preserve"> časťou zo zaplatenej DPH pri odovzdaní úsekov v roku 2011, keďže nemá vplyv na dlh (iba na saldo</w:t>
      </w:r>
      <w:r w:rsidRPr="00445CD4" w:rsidR="00D73235">
        <w:rPr>
          <w:rFonts w:ascii="Times New Roman" w:hAnsi="Times New Roman"/>
          <w:sz w:val="24"/>
        </w:rPr>
        <w:t xml:space="preserve"> v jednotlivých rokoch</w:t>
      </w:r>
      <w:r>
        <w:rPr>
          <w:rStyle w:val="FootnoteReference"/>
          <w:rFonts w:ascii="Times New Roman" w:hAnsi="Times New Roman"/>
          <w:sz w:val="24"/>
          <w:rtl w:val="0"/>
        </w:rPr>
        <w:footnoteReference w:id="9"/>
      </w:r>
      <w:r w:rsidRPr="00445CD4" w:rsidR="00E92121">
        <w:rPr>
          <w:rFonts w:ascii="Times New Roman" w:hAnsi="Times New Roman"/>
          <w:sz w:val="24"/>
        </w:rPr>
        <w:t>).</w:t>
      </w:r>
    </w:p>
    <w:p w:rsidR="004137E6" w:rsidRPr="00445CD4" w:rsidP="0088390C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989"/>
        <w:gridCol w:w="1136"/>
        <w:gridCol w:w="992"/>
        <w:gridCol w:w="992"/>
        <w:gridCol w:w="1049"/>
        <w:gridCol w:w="1074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3931F1" w:rsidRPr="00445CD4" w:rsidP="007F602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Vplyv PPP projektu (v </w:t>
            </w:r>
            <w:r w:rsidRPr="00445CD4" w:rsidR="004137E6">
              <w:rPr>
                <w:rFonts w:ascii="Times New Roman" w:hAnsi="Times New Roman"/>
                <w:b/>
                <w:bCs/>
                <w:sz w:val="16"/>
                <w:szCs w:val="16"/>
              </w:rPr>
              <w:t>%</w:t>
            </w: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HDP)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textDirection w:val="lrTb"/>
            <w:vAlign w:val="bottom"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2041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0E21DF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Spolu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Platba za dostupnosť R1*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0E21D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- diskontovaná hodnota k roku 2013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7F6022" w:rsidRPr="00445CD4" w:rsidP="002C008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3,0</w:t>
            </w:r>
          </w:p>
        </w:tc>
      </w:tr>
      <w:tr>
        <w:tblPrEx>
          <w:tblW w:w="9072" w:type="dxa"/>
          <w:jc w:val="center"/>
          <w:tblLayout w:type="fixed"/>
          <w:tblLook w:val="04A0"/>
        </w:tblPrEx>
        <w:trPr>
          <w:trHeight w:val="227"/>
          <w:jc w:val="center"/>
        </w:trPr>
        <w:tc>
          <w:tcPr>
            <w:tcW w:w="15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3931F1" w:rsidRPr="00445CD4" w:rsidP="00E9212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* </w:t>
            </w:r>
            <w:r w:rsidRPr="00445CD4" w:rsidR="00E9212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znížená o </w:t>
            </w: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DPH za služby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3931F1" w:rsidRPr="00445CD4" w:rsidP="000E21DF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3931F1" w:rsidRPr="00445CD4" w:rsidP="003931F1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445CD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445CD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Zdroj: MF SR, MDVRR SR</w:t>
            </w:r>
          </w:p>
        </w:tc>
      </w:tr>
    </w:tbl>
    <w:p w:rsidR="000E21DF" w:rsidRPr="00445CD4" w:rsidP="0088390C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6022" w:rsidRPr="00445CD4" w:rsidP="00F22AD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445CD4">
        <w:rPr>
          <w:rFonts w:ascii="Times New Roman" w:hAnsi="Times New Roman"/>
          <w:b/>
          <w:sz w:val="24"/>
          <w:szCs w:val="20"/>
        </w:rPr>
        <w:t>3.  Celkové implicitné záväzky</w:t>
      </w:r>
    </w:p>
    <w:p w:rsidR="007F6022" w:rsidRPr="00445CD4" w:rsidP="00F22AD3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F22AD3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45CD4">
        <w:rPr>
          <w:rFonts w:ascii="Times New Roman" w:hAnsi="Times New Roman"/>
          <w:sz w:val="24"/>
          <w:szCs w:val="20"/>
        </w:rPr>
        <w:t xml:space="preserve">Implicitné záväzky sú odhadnuté ako súčasná hodnota budúcich záväzkov vyplývajúcich zo starnutia populácie </w:t>
      </w:r>
      <w:r w:rsidRPr="00445CD4" w:rsidR="007F6022">
        <w:rPr>
          <w:rFonts w:ascii="Times New Roman" w:hAnsi="Times New Roman"/>
          <w:sz w:val="24"/>
          <w:szCs w:val="20"/>
        </w:rPr>
        <w:t>a záväzkov z PPP projektu</w:t>
      </w:r>
      <w:r w:rsidRPr="00445CD4">
        <w:rPr>
          <w:rFonts w:ascii="Times New Roman" w:hAnsi="Times New Roman"/>
          <w:sz w:val="24"/>
          <w:szCs w:val="20"/>
        </w:rPr>
        <w:t xml:space="preserve"> </w:t>
      </w:r>
      <w:r w:rsidRPr="00445CD4" w:rsidR="00D73235">
        <w:rPr>
          <w:rFonts w:ascii="Times New Roman" w:hAnsi="Times New Roman"/>
          <w:sz w:val="24"/>
          <w:szCs w:val="20"/>
        </w:rPr>
        <w:t xml:space="preserve">v nekonečnom horizonte </w:t>
      </w:r>
      <w:r w:rsidRPr="00445CD4">
        <w:rPr>
          <w:rFonts w:ascii="Times New Roman" w:hAnsi="Times New Roman"/>
          <w:sz w:val="24"/>
          <w:szCs w:val="20"/>
        </w:rPr>
        <w:t>vyjadren</w:t>
      </w:r>
      <w:r w:rsidRPr="00445CD4" w:rsidR="007F6022">
        <w:rPr>
          <w:rFonts w:ascii="Times New Roman" w:hAnsi="Times New Roman"/>
          <w:sz w:val="24"/>
          <w:szCs w:val="20"/>
        </w:rPr>
        <w:t>é</w:t>
      </w:r>
      <w:r w:rsidRPr="00445CD4">
        <w:rPr>
          <w:rFonts w:ascii="Times New Roman" w:hAnsi="Times New Roman"/>
          <w:sz w:val="24"/>
          <w:szCs w:val="20"/>
        </w:rPr>
        <w:t xml:space="preserve"> ako percento aktuálneho HDP roku 2013.</w:t>
      </w:r>
      <w:r w:rsidRPr="00445CD4">
        <w:rPr>
          <w:rFonts w:ascii="Times New Roman" w:hAnsi="Times New Roman"/>
          <w:sz w:val="24"/>
        </w:rPr>
        <w:t xml:space="preserve"> </w:t>
      </w:r>
    </w:p>
    <w:p w:rsidR="00F4255F" w:rsidRPr="00445CD4" w:rsidP="004C4D57">
      <w:pPr>
        <w:bidi w:val="0"/>
        <w:spacing w:after="0" w:line="240" w:lineRule="auto"/>
        <w:jc w:val="both"/>
        <w:rPr>
          <w:rFonts w:ascii="Times New Roman" w:hAnsi="Times New Roman"/>
          <w:highlight w:val="yellow"/>
        </w:rPr>
      </w:pPr>
    </w:p>
    <w:tbl>
      <w:tblPr>
        <w:tblStyle w:val="TableNormal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8"/>
        <w:gridCol w:w="2014"/>
      </w:tblGrid>
      <w:tr>
        <w:tblPrEx>
          <w:tblW w:w="90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F4255F" w:rsidRPr="00445CD4" w:rsidP="00BD13E5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445CD4" w:rsidR="005E6060">
              <w:rPr>
                <w:rFonts w:ascii="Times New Roman" w:hAnsi="Times New Roman"/>
                <w:b/>
                <w:bCs/>
                <w:sz w:val="16"/>
                <w:szCs w:val="16"/>
              </w:rPr>
              <w:t>Implicitné záväzky (hodnota k roku 2013, v % HDP)</w:t>
            </w:r>
          </w:p>
        </w:tc>
      </w:tr>
      <w:tr>
        <w:tblPrEx>
          <w:tblW w:w="9072" w:type="dxa"/>
          <w:jc w:val="center"/>
          <w:tblLook w:val="04A0"/>
        </w:tblPrEx>
        <w:trPr>
          <w:trHeight w:val="227"/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4255F" w:rsidRPr="00445CD4" w:rsidP="007F6022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445CD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1. </w:t>
            </w:r>
            <w:r w:rsidRPr="00445CD4" w:rsidR="007F60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Vplyv starnutia populácie</w:t>
            </w:r>
            <w:r w:rsidRPr="00445CD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255F" w:rsidRPr="00445CD4" w:rsidP="00177A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445CD4" w:rsidR="00177AA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226</w:t>
            </w:r>
          </w:p>
        </w:tc>
      </w:tr>
      <w:tr>
        <w:tblPrEx>
          <w:tblW w:w="9072" w:type="dxa"/>
          <w:jc w:val="center"/>
          <w:tblLook w:val="04A0"/>
        </w:tblPrEx>
        <w:trPr>
          <w:trHeight w:val="227"/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4255F" w:rsidRPr="00445CD4" w:rsidP="00F4255F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445CD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2. Vplyv PPP projektu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255F" w:rsidRPr="00445CD4" w:rsidP="00F4255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445CD4" w:rsidR="00F22AD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</w:tr>
      <w:tr>
        <w:tblPrEx>
          <w:tblW w:w="9072" w:type="dxa"/>
          <w:jc w:val="center"/>
          <w:tblLook w:val="04A0"/>
        </w:tblPrEx>
        <w:trPr>
          <w:trHeight w:val="227"/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4255F" w:rsidRPr="00445CD4" w:rsidP="00F4255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45CD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 Celková výška implicitných záväzkov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4255F" w:rsidRPr="00445CD4" w:rsidP="00177AA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445CD4" w:rsidR="00177AA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229</w:t>
            </w:r>
          </w:p>
        </w:tc>
      </w:tr>
      <w:tr>
        <w:tblPrEx>
          <w:tblW w:w="9072" w:type="dxa"/>
          <w:jc w:val="center"/>
          <w:tblLook w:val="04A0"/>
        </w:tblPrEx>
        <w:trPr>
          <w:trHeight w:val="227"/>
          <w:jc w:val="center"/>
        </w:trPr>
        <w:tc>
          <w:tcPr>
            <w:tcW w:w="389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4255F" w:rsidRPr="00445CD4" w:rsidP="00F4255F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F4255F" w:rsidRPr="00445CD4" w:rsidP="00F4255F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445CD4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Zdroj: MF SR</w:t>
            </w:r>
          </w:p>
        </w:tc>
      </w:tr>
    </w:tbl>
    <w:p w:rsidR="00F4255F" w:rsidRPr="00445CD4" w:rsidP="004C4D57">
      <w:pPr>
        <w:bidi w:val="0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F3E30" w:rsidRPr="00445CD4" w:rsidP="00445CD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445CD4" w:rsidR="0083649B">
        <w:rPr>
          <w:rFonts w:ascii="Times New Roman" w:hAnsi="Times New Roman"/>
          <w:sz w:val="24"/>
        </w:rPr>
        <w:t>Celkové i</w:t>
      </w:r>
      <w:r w:rsidRPr="00445CD4" w:rsidR="007F4A3D">
        <w:rPr>
          <w:rFonts w:ascii="Times New Roman" w:hAnsi="Times New Roman"/>
          <w:sz w:val="24"/>
        </w:rPr>
        <w:t>mplicitné záväzky</w:t>
      </w:r>
      <w:r w:rsidRPr="00445CD4" w:rsidR="00AE5547">
        <w:rPr>
          <w:rFonts w:ascii="Times New Roman" w:hAnsi="Times New Roman"/>
          <w:sz w:val="24"/>
        </w:rPr>
        <w:t xml:space="preserve"> </w:t>
      </w:r>
      <w:r w:rsidRPr="00445CD4" w:rsidR="007F4A3D">
        <w:rPr>
          <w:rFonts w:ascii="Times New Roman" w:hAnsi="Times New Roman"/>
          <w:sz w:val="24"/>
        </w:rPr>
        <w:t>dosah</w:t>
      </w:r>
      <w:r w:rsidRPr="00445CD4" w:rsidR="00D73235">
        <w:rPr>
          <w:rFonts w:ascii="Times New Roman" w:hAnsi="Times New Roman"/>
          <w:sz w:val="24"/>
        </w:rPr>
        <w:t>ujú</w:t>
      </w:r>
      <w:r w:rsidRPr="00445CD4" w:rsidR="007F4A3D">
        <w:rPr>
          <w:rFonts w:ascii="Times New Roman" w:hAnsi="Times New Roman"/>
          <w:sz w:val="24"/>
        </w:rPr>
        <w:t xml:space="preserve"> </w:t>
      </w:r>
      <w:r w:rsidRPr="00445CD4" w:rsidR="00177AA2">
        <w:rPr>
          <w:rFonts w:ascii="Times New Roman" w:hAnsi="Times New Roman"/>
          <w:sz w:val="24"/>
        </w:rPr>
        <w:t xml:space="preserve">229 </w:t>
      </w:r>
      <w:r w:rsidRPr="00445CD4" w:rsidR="00D73235">
        <w:rPr>
          <w:rFonts w:ascii="Times New Roman" w:hAnsi="Times New Roman"/>
          <w:sz w:val="24"/>
        </w:rPr>
        <w:t xml:space="preserve">% </w:t>
      </w:r>
      <w:r w:rsidRPr="00445CD4" w:rsidR="007F4A3D">
        <w:rPr>
          <w:rFonts w:ascii="Times New Roman" w:hAnsi="Times New Roman"/>
          <w:sz w:val="24"/>
        </w:rPr>
        <w:t xml:space="preserve">HDP. </w:t>
      </w:r>
      <w:r w:rsidRPr="00445CD4" w:rsidR="000F00ED">
        <w:rPr>
          <w:rFonts w:ascii="Times New Roman" w:hAnsi="Times New Roman"/>
          <w:sz w:val="24"/>
        </w:rPr>
        <w:t>V porovnaní s</w:t>
      </w:r>
      <w:r w:rsidRPr="00445CD4" w:rsidR="0083649B">
        <w:rPr>
          <w:rFonts w:ascii="Times New Roman" w:hAnsi="Times New Roman"/>
          <w:sz w:val="24"/>
        </w:rPr>
        <w:t xml:space="preserve"> údajmi prezentovanými v </w:t>
      </w:r>
      <w:r w:rsidRPr="00445CD4" w:rsidR="000F00ED">
        <w:rPr>
          <w:rFonts w:ascii="Times New Roman" w:hAnsi="Times New Roman"/>
          <w:sz w:val="24"/>
        </w:rPr>
        <w:t>rozpočt</w:t>
      </w:r>
      <w:r w:rsidRPr="00445CD4" w:rsidR="0083649B">
        <w:rPr>
          <w:rFonts w:ascii="Times New Roman" w:hAnsi="Times New Roman"/>
          <w:sz w:val="24"/>
        </w:rPr>
        <w:t>e</w:t>
      </w:r>
      <w:r w:rsidRPr="00445CD4" w:rsidR="000F00ED">
        <w:rPr>
          <w:rFonts w:ascii="Times New Roman" w:hAnsi="Times New Roman"/>
          <w:sz w:val="24"/>
        </w:rPr>
        <w:t xml:space="preserve"> verejnej správy</w:t>
      </w:r>
      <w:r w:rsidRPr="00445CD4" w:rsidR="00035500">
        <w:rPr>
          <w:rFonts w:ascii="Times New Roman" w:hAnsi="Times New Roman"/>
          <w:sz w:val="24"/>
        </w:rPr>
        <w:t xml:space="preserve"> na roky 2013 až 2015</w:t>
      </w:r>
      <w:r w:rsidRPr="00445CD4" w:rsidR="00D73235">
        <w:rPr>
          <w:rFonts w:ascii="Times New Roman" w:hAnsi="Times New Roman"/>
          <w:sz w:val="24"/>
        </w:rPr>
        <w:t xml:space="preserve"> (implicitné záväzky vo výške 164 % HDP)</w:t>
      </w:r>
      <w:r w:rsidRPr="00445CD4" w:rsidR="00035500">
        <w:rPr>
          <w:rFonts w:ascii="Times New Roman" w:hAnsi="Times New Roman"/>
          <w:sz w:val="24"/>
        </w:rPr>
        <w:t xml:space="preserve"> </w:t>
      </w:r>
      <w:r w:rsidRPr="00445CD4" w:rsidR="000F00ED">
        <w:rPr>
          <w:rFonts w:ascii="Times New Roman" w:hAnsi="Times New Roman"/>
          <w:sz w:val="24"/>
        </w:rPr>
        <w:t>došlo k</w:t>
      </w:r>
      <w:r w:rsidRPr="00445CD4" w:rsidR="0083649B">
        <w:rPr>
          <w:rFonts w:ascii="Times New Roman" w:hAnsi="Times New Roman"/>
          <w:sz w:val="24"/>
        </w:rPr>
        <w:t xml:space="preserve"> výraznejším </w:t>
      </w:r>
      <w:r w:rsidRPr="00445CD4" w:rsidR="000F00ED">
        <w:rPr>
          <w:rFonts w:ascii="Times New Roman" w:hAnsi="Times New Roman"/>
          <w:sz w:val="24"/>
        </w:rPr>
        <w:t>zmenám</w:t>
      </w:r>
      <w:r w:rsidRPr="00445CD4" w:rsidR="00035500">
        <w:rPr>
          <w:rFonts w:ascii="Times New Roman" w:hAnsi="Times New Roman"/>
          <w:sz w:val="24"/>
        </w:rPr>
        <w:t>,</w:t>
      </w:r>
      <w:r w:rsidRPr="00445CD4" w:rsidR="00A32DA1">
        <w:rPr>
          <w:rFonts w:ascii="Times New Roman" w:hAnsi="Times New Roman"/>
          <w:sz w:val="24"/>
        </w:rPr>
        <w:t xml:space="preserve"> ktoré ovplyvnili </w:t>
      </w:r>
      <w:r w:rsidRPr="00445CD4" w:rsidR="00D73235">
        <w:rPr>
          <w:rFonts w:ascii="Times New Roman" w:hAnsi="Times New Roman"/>
          <w:sz w:val="24"/>
        </w:rPr>
        <w:t>výslednú hodnotu</w:t>
      </w:r>
      <w:r w:rsidRPr="00445CD4" w:rsidR="00A32DA1">
        <w:rPr>
          <w:rFonts w:ascii="Times New Roman" w:hAnsi="Times New Roman"/>
          <w:sz w:val="24"/>
        </w:rPr>
        <w:t xml:space="preserve"> implicitných záväzkov</w:t>
      </w:r>
      <w:r w:rsidRPr="00445CD4" w:rsidR="000F00ED">
        <w:rPr>
          <w:rFonts w:ascii="Times New Roman" w:hAnsi="Times New Roman"/>
          <w:sz w:val="24"/>
        </w:rPr>
        <w:t>.</w:t>
      </w:r>
      <w:r w:rsidRPr="00445CD4" w:rsidR="00A32DA1">
        <w:rPr>
          <w:rFonts w:ascii="Times New Roman" w:hAnsi="Times New Roman"/>
          <w:sz w:val="24"/>
        </w:rPr>
        <w:t xml:space="preserve"> </w:t>
      </w:r>
      <w:r w:rsidRPr="00445CD4" w:rsidR="00D73235">
        <w:rPr>
          <w:rFonts w:ascii="Times New Roman" w:hAnsi="Times New Roman"/>
          <w:sz w:val="24"/>
        </w:rPr>
        <w:t>Kľúčovou zmenou bolo</w:t>
      </w:r>
      <w:r w:rsidRPr="00445CD4" w:rsidR="00A32DA1">
        <w:rPr>
          <w:rFonts w:ascii="Times New Roman" w:hAnsi="Times New Roman"/>
          <w:sz w:val="24"/>
        </w:rPr>
        <w:t xml:space="preserve"> </w:t>
      </w:r>
      <w:r w:rsidRPr="00445CD4" w:rsidR="00F22AD3">
        <w:rPr>
          <w:rFonts w:ascii="Times New Roman" w:hAnsi="Times New Roman"/>
          <w:sz w:val="24"/>
        </w:rPr>
        <w:t>zahrnut</w:t>
      </w:r>
      <w:r w:rsidRPr="00445CD4" w:rsidR="00D73235">
        <w:rPr>
          <w:rFonts w:ascii="Times New Roman" w:hAnsi="Times New Roman"/>
          <w:sz w:val="24"/>
        </w:rPr>
        <w:t>ie</w:t>
      </w:r>
      <w:r w:rsidRPr="00445CD4" w:rsidR="00F22AD3">
        <w:rPr>
          <w:rFonts w:ascii="Times New Roman" w:hAnsi="Times New Roman"/>
          <w:sz w:val="24"/>
        </w:rPr>
        <w:t xml:space="preserve"> </w:t>
      </w:r>
      <w:r w:rsidRPr="00445CD4" w:rsidR="0083649B">
        <w:rPr>
          <w:rFonts w:ascii="Times New Roman" w:hAnsi="Times New Roman"/>
          <w:sz w:val="24"/>
        </w:rPr>
        <w:t>aktualizovan</w:t>
      </w:r>
      <w:r w:rsidRPr="00445CD4" w:rsidR="00D73235">
        <w:rPr>
          <w:rFonts w:ascii="Times New Roman" w:hAnsi="Times New Roman"/>
          <w:sz w:val="24"/>
        </w:rPr>
        <w:t>ých</w:t>
      </w:r>
      <w:r w:rsidRPr="00445CD4" w:rsidR="00391B6F">
        <w:rPr>
          <w:rFonts w:ascii="Times New Roman" w:hAnsi="Times New Roman"/>
          <w:sz w:val="24"/>
        </w:rPr>
        <w:t xml:space="preserve"> predpoklad</w:t>
      </w:r>
      <w:r w:rsidRPr="00445CD4" w:rsidR="00D73235">
        <w:rPr>
          <w:rFonts w:ascii="Times New Roman" w:hAnsi="Times New Roman"/>
          <w:sz w:val="24"/>
        </w:rPr>
        <w:t>ov</w:t>
      </w:r>
      <w:r w:rsidRPr="00445CD4" w:rsidR="00391B6F">
        <w:rPr>
          <w:rFonts w:ascii="Times New Roman" w:hAnsi="Times New Roman"/>
          <w:sz w:val="24"/>
        </w:rPr>
        <w:t xml:space="preserve"> AWG</w:t>
      </w:r>
      <w:r w:rsidRPr="00445CD4" w:rsidR="0083649B">
        <w:rPr>
          <w:rFonts w:ascii="Times New Roman" w:hAnsi="Times New Roman"/>
          <w:sz w:val="24"/>
        </w:rPr>
        <w:t xml:space="preserve"> (detailne popísané v boxe č. 2)</w:t>
      </w:r>
      <w:r w:rsidRPr="00445CD4" w:rsidR="00391B6F">
        <w:rPr>
          <w:rFonts w:ascii="Times New Roman" w:hAnsi="Times New Roman"/>
          <w:sz w:val="24"/>
        </w:rPr>
        <w:t>. Z</w:t>
      </w:r>
      <w:r w:rsidRPr="00445CD4" w:rsidR="00F22AD3">
        <w:rPr>
          <w:rFonts w:ascii="Times New Roman" w:hAnsi="Times New Roman"/>
          <w:sz w:val="24"/>
        </w:rPr>
        <w:t>ároveň pribudla kvantifikácia</w:t>
      </w:r>
      <w:r w:rsidRPr="00445CD4" w:rsidR="0083649B">
        <w:rPr>
          <w:rFonts w:ascii="Times New Roman" w:hAnsi="Times New Roman"/>
          <w:sz w:val="24"/>
        </w:rPr>
        <w:t xml:space="preserve"> budúcich záväzkov z</w:t>
      </w:r>
      <w:r w:rsidRPr="00445CD4" w:rsidR="00F22AD3">
        <w:rPr>
          <w:rFonts w:ascii="Times New Roman" w:hAnsi="Times New Roman"/>
          <w:sz w:val="24"/>
        </w:rPr>
        <w:t xml:space="preserve"> PPP projektov. </w:t>
      </w:r>
    </w:p>
    <w:p w:rsidR="007A3598" w:rsidRPr="00445CD4" w:rsidP="004C4D57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9141"/>
      </w:tblGrid>
      <w:tr>
        <w:tblPrEx>
          <w:tblW w:w="91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696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91B6F" w:rsidRPr="00445CD4" w:rsidP="00127CA4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BOX 2 </w:t>
            </w:r>
            <w:r w:rsidRPr="00445C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45C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Aktualizácia scenára nezmenených politík</w:t>
            </w:r>
          </w:p>
          <w:p w:rsidR="00391B6F" w:rsidRPr="00445CD4" w:rsidP="00127CA4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B6F" w:rsidRPr="007D5D50" w:rsidP="00127CA4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 w:rsidRPr="00445CD4" w:rsidR="00970BD1">
              <w:rPr>
                <w:rFonts w:ascii="Times New Roman" w:hAnsi="Times New Roman" w:cs="Times New Roman"/>
                <w:sz w:val="20"/>
                <w:szCs w:val="20"/>
              </w:rPr>
              <w:t>V rozpočte verejnej správy na roky 2013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 xml:space="preserve"> až </w:t>
            </w:r>
            <w:r w:rsidRPr="00445CD4" w:rsidR="00970BD1">
              <w:rPr>
                <w:rFonts w:ascii="Times New Roman" w:hAnsi="Times New Roman" w:cs="Times New Roman"/>
                <w:sz w:val="20"/>
                <w:szCs w:val="20"/>
              </w:rPr>
              <w:t xml:space="preserve">2015 bol uvedený odhad </w:t>
            </w:r>
            <w:r w:rsidRPr="00445CD4" w:rsidR="00902B2B">
              <w:rPr>
                <w:rFonts w:ascii="Times New Roman" w:hAnsi="Times New Roman" w:cs="Times New Roman"/>
                <w:sz w:val="20"/>
                <w:szCs w:val="20"/>
              </w:rPr>
              <w:t xml:space="preserve">poklesu </w:t>
            </w:r>
            <w:r w:rsidRPr="00445CD4" w:rsidR="00970BD1">
              <w:rPr>
                <w:rFonts w:ascii="Times New Roman" w:hAnsi="Times New Roman" w:cs="Times New Roman"/>
                <w:sz w:val="20"/>
                <w:szCs w:val="20"/>
              </w:rPr>
              <w:t>implicitných záväzkov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 xml:space="preserve"> spojených so starnutím populácie</w:t>
            </w:r>
            <w:r w:rsidRPr="00445CD4" w:rsidR="00970BD1">
              <w:rPr>
                <w:rFonts w:ascii="Times New Roman" w:hAnsi="Times New Roman" w:cs="Times New Roman"/>
                <w:sz w:val="20"/>
                <w:szCs w:val="20"/>
              </w:rPr>
              <w:t xml:space="preserve"> za predpokladu uskutočnenia dôchodkovej reformy </w:t>
            </w:r>
            <w:r w:rsidRPr="00445CD4" w:rsidR="00902B2B">
              <w:rPr>
                <w:rFonts w:ascii="Times New Roman" w:hAnsi="Times New Roman" w:cs="Times New Roman"/>
                <w:sz w:val="20"/>
                <w:szCs w:val="20"/>
              </w:rPr>
              <w:t xml:space="preserve">z úrovne </w:t>
            </w:r>
            <w:r w:rsidRPr="00445CD4" w:rsidR="00374999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Pr="00445CD4" w:rsidR="00902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445CD4" w:rsidR="00902B2B">
              <w:rPr>
                <w:rFonts w:ascii="Times New Roman" w:hAnsi="Times New Roman" w:cs="Times New Roman"/>
                <w:sz w:val="20"/>
                <w:szCs w:val="20"/>
              </w:rPr>
              <w:t xml:space="preserve"> HDP na úroveň</w:t>
            </w:r>
            <w:r w:rsidRPr="00445CD4" w:rsidR="00970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 xml:space="preserve">164 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 xml:space="preserve"> HDP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CD4" w:rsidR="0089092A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> roku 2012</w:t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>. Aktuáln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>e (po zapracovaní</w:t>
            </w:r>
            <w:r w:rsidRPr="00445CD4" w:rsidR="001366B1">
              <w:rPr>
                <w:rFonts w:ascii="Times New Roman" w:hAnsi="Times New Roman" w:cs="Times New Roman"/>
                <w:sz w:val="20"/>
                <w:szCs w:val="20"/>
              </w:rPr>
              <w:t xml:space="preserve"> schválenej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 xml:space="preserve"> dôchodkovej reformy) sa</w:t>
            </w:r>
            <w:r w:rsidRPr="00445CD4" w:rsidR="00F2259A">
              <w:rPr>
                <w:rFonts w:ascii="Times New Roman" w:hAnsi="Times New Roman" w:cs="Times New Roman"/>
                <w:sz w:val="20"/>
                <w:szCs w:val="20"/>
              </w:rPr>
              <w:t xml:space="preserve"> odhad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>ujú vo</w:t>
            </w:r>
            <w:r w:rsidRPr="00445CD4" w:rsidR="00DC7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CD4" w:rsidR="00F2259A">
              <w:rPr>
                <w:rFonts w:ascii="Times New Roman" w:hAnsi="Times New Roman" w:cs="Times New Roman"/>
                <w:sz w:val="20"/>
                <w:szCs w:val="20"/>
              </w:rPr>
              <w:t>výšk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CD4" w:rsidR="00696D79">
              <w:rPr>
                <w:rFonts w:ascii="Times New Roman" w:hAnsi="Times New Roman" w:cs="Times New Roman"/>
                <w:sz w:val="20"/>
                <w:szCs w:val="20"/>
              </w:rPr>
              <w:t xml:space="preserve">226 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445CD4" w:rsidR="00F2259A">
              <w:rPr>
                <w:rFonts w:ascii="Times New Roman" w:hAnsi="Times New Roman" w:cs="Times New Roman"/>
                <w:sz w:val="20"/>
                <w:szCs w:val="20"/>
              </w:rPr>
              <w:t xml:space="preserve"> HDP</w:t>
            </w:r>
            <w:r w:rsidRPr="00445CD4" w:rsidR="00026841">
              <w:rPr>
                <w:rFonts w:ascii="Times New Roman" w:hAnsi="Times New Roman" w:cs="Times New Roman"/>
                <w:sz w:val="20"/>
                <w:szCs w:val="20"/>
              </w:rPr>
              <w:t xml:space="preserve"> k roku 2013</w:t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 xml:space="preserve">, čo </w:t>
            </w:r>
            <w:r w:rsidRPr="00445CD4" w:rsidR="002C008A">
              <w:rPr>
                <w:rFonts w:ascii="Times New Roman" w:hAnsi="Times New Roman" w:cs="Times New Roman"/>
                <w:sz w:val="20"/>
                <w:szCs w:val="20"/>
              </w:rPr>
              <w:t xml:space="preserve">predstavuje </w:t>
            </w:r>
            <w:r w:rsidRPr="00445CD4" w:rsidR="00902B2B">
              <w:rPr>
                <w:rFonts w:ascii="Times New Roman" w:hAnsi="Times New Roman" w:cs="Times New Roman"/>
                <w:sz w:val="20"/>
                <w:szCs w:val="20"/>
              </w:rPr>
              <w:t xml:space="preserve">menší pokles </w:t>
            </w:r>
            <w:r w:rsidRPr="00445CD4" w:rsidR="002C008A">
              <w:rPr>
                <w:rFonts w:ascii="Times New Roman" w:hAnsi="Times New Roman" w:cs="Times New Roman"/>
                <w:sz w:val="20"/>
                <w:szCs w:val="20"/>
              </w:rPr>
              <w:t>záväzkov</w:t>
            </w:r>
            <w:r w:rsidRPr="00445CD4" w:rsidR="006D7642">
              <w:rPr>
                <w:rFonts w:ascii="Times New Roman" w:hAnsi="Times New Roman" w:cs="Times New Roman"/>
                <w:sz w:val="20"/>
                <w:szCs w:val="20"/>
              </w:rPr>
              <w:t xml:space="preserve"> o </w:t>
            </w:r>
            <w:r w:rsidRPr="00445CD4" w:rsidR="00696D79"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>p.b.</w:t>
            </w:r>
            <w:r w:rsidRPr="00445CD4" w:rsidR="00D665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D50" w:rsidR="008E4952">
              <w:rPr>
                <w:rFonts w:ascii="Times New Roman" w:hAnsi="Times New Roman" w:cs="Times New Roman"/>
                <w:sz w:val="20"/>
                <w:szCs w:val="20"/>
              </w:rPr>
              <w:t xml:space="preserve">Nad rámec </w:t>
            </w:r>
            <w:r w:rsidRPr="007D5D50" w:rsidR="002C008A">
              <w:rPr>
                <w:rFonts w:ascii="Times New Roman" w:hAnsi="Times New Roman" w:cs="Times New Roman"/>
                <w:sz w:val="20"/>
                <w:szCs w:val="20"/>
              </w:rPr>
              <w:t xml:space="preserve">vplyvu zmeny východiskového roka, ku ktorému sa záväzky diskontujú (negatívny vplyv vo výške </w:t>
            </w:r>
            <w:r w:rsidRPr="007D5D50" w:rsidR="00696D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5D50">
              <w:rPr>
                <w:rFonts w:ascii="Times New Roman" w:hAnsi="Times New Roman" w:cs="Times New Roman"/>
                <w:sz w:val="20"/>
                <w:szCs w:val="20"/>
              </w:rPr>
              <w:t xml:space="preserve"> p.b.</w:t>
            </w:r>
            <w:r w:rsidRPr="007D5D50" w:rsidR="002C008A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7D5D50" w:rsidR="00306ACD">
              <w:rPr>
                <w:rFonts w:ascii="Times New Roman" w:hAnsi="Times New Roman" w:cs="Times New Roman"/>
                <w:sz w:val="20"/>
                <w:szCs w:val="20"/>
              </w:rPr>
              <w:t>došlo k nasledovným z</w:t>
            </w:r>
            <w:r w:rsidRPr="007D5D50" w:rsidR="006D7642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Pr="007D5D50" w:rsidR="00306ACD">
              <w:rPr>
                <w:rFonts w:ascii="Times New Roman" w:hAnsi="Times New Roman" w:cs="Times New Roman"/>
                <w:sz w:val="20"/>
                <w:szCs w:val="20"/>
              </w:rPr>
              <w:t>ám</w:t>
            </w:r>
            <w:r w:rsidRPr="007D5D50" w:rsidR="00F2259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D7642" w:rsidRPr="00445CD4" w:rsidP="002C008A">
            <w:pPr>
              <w:pStyle w:val="Default"/>
              <w:bidi w:val="0"/>
              <w:spacing w:after="0" w:line="240" w:lineRule="auto"/>
              <w:suppressOverlap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3C67DE" w:rsidRPr="00445CD4" w:rsidP="00FF1AB3">
            <w:pPr>
              <w:pStyle w:val="Default"/>
              <w:numPr>
                <w:numId w:val="7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  <w:r w:rsidRPr="00445CD4" w:rsidR="00D665B4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Aktualizácia makroekonomického vývoja</w:t>
            </w:r>
            <w:r w:rsidRPr="00445CD4" w:rsidR="0036227D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a fiškálnych predpokladov</w:t>
            </w:r>
            <w:r w:rsidRPr="00445CD4" w:rsidR="006D7642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</w:t>
            </w:r>
            <w:r w:rsidRPr="00445CD4" w:rsidR="001366B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predstavuje najvýznamnejší faktor zmeny. </w:t>
            </w:r>
            <w:r w:rsidRPr="00445CD4" w:rsidR="002C008A">
              <w:rPr>
                <w:rFonts w:ascii="Times New Roman" w:hAnsi="Times New Roman"/>
                <w:sz w:val="20"/>
                <w:szCs w:val="20"/>
                <w:lang w:val="sk-SK"/>
              </w:rPr>
              <w:t>V horizonte prvých troch rokov i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de</w:t>
            </w:r>
            <w:r w:rsidRPr="00445CD4" w:rsidR="002C00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 aktualizáciu makroekonomických a daňových prognóz (s vplyvom najmä na príjmy zo zdravotného poistenia a poistenia v nezamestnanosti). V dlhodobom horizonte i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de</w:t>
            </w:r>
            <w:r w:rsidRPr="00445CD4" w:rsidR="002C00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 zohľadnenie makroekonomických vplyvov dôchodkovej reformy zo strany AWG v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ostatných</w:t>
            </w:r>
            <w:r w:rsidRPr="00445CD4" w:rsidR="002C00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výda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v</w:t>
            </w:r>
            <w:r w:rsidRPr="00445CD4" w:rsidR="002C00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koch citlivých na starnutie populácie. </w:t>
            </w:r>
          </w:p>
          <w:p w:rsidR="003C67DE" w:rsidRPr="00445CD4" w:rsidP="003C67DE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3C67DE" w:rsidRPr="00445CD4" w:rsidP="003C67DE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Najvýraznejši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>e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>zvýšenie</w:t>
            </w:r>
            <w:r w:rsidRPr="00445CD4" w:rsidR="0090062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implicitných záväzkov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7D5D50">
              <w:rPr>
                <w:rFonts w:ascii="Times New Roman" w:hAnsi="Times New Roman"/>
                <w:sz w:val="20"/>
                <w:szCs w:val="20"/>
                <w:lang w:val="sk-SK"/>
              </w:rPr>
              <w:t>nastal</w:t>
            </w:r>
            <w:r w:rsidRPr="007D5D50" w:rsidR="004378DA">
              <w:rPr>
                <w:rFonts w:ascii="Times New Roman" w:hAnsi="Times New Roman"/>
                <w:sz w:val="20"/>
                <w:szCs w:val="20"/>
                <w:lang w:val="sk-SK"/>
              </w:rPr>
              <w:t>o</w:t>
            </w:r>
            <w:r w:rsidRPr="007D5D50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v prípade výdavkov na zdravotnú starostlivosť</w:t>
            </w:r>
            <w:r w:rsidRPr="007D5D50" w:rsidR="00D1718A">
              <w:rPr>
                <w:rFonts w:ascii="Times New Roman" w:hAnsi="Times New Roman"/>
                <w:sz w:val="20"/>
                <w:szCs w:val="20"/>
                <w:lang w:val="sk-SK"/>
              </w:rPr>
              <w:t>.  Dôchodková reforma najmä prostredníctvom zv</w:t>
            </w:r>
            <w:r w:rsidRPr="00445CD4" w:rsidR="00D1718A">
              <w:rPr>
                <w:rFonts w:ascii="Times New Roman" w:hAnsi="Times New Roman"/>
                <w:sz w:val="20"/>
                <w:szCs w:val="20"/>
                <w:lang w:val="sk-SK"/>
              </w:rPr>
              <w:t>yšovania dôchodkového veku pozitívne ovplyvnila predpoklady participácie na trhu práce, čo AWG premietla aj do vyšších dlhodobých odhadov zamestnanosti a rastu HDP.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45CD4" w:rsidR="00D1718A">
              <w:rPr>
                <w:rFonts w:ascii="Times New Roman" w:hAnsi="Times New Roman"/>
                <w:sz w:val="20"/>
                <w:szCs w:val="20"/>
                <w:lang w:val="sk-SK"/>
              </w:rPr>
              <w:t>K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eďže </w:t>
            </w:r>
            <w:r w:rsidRPr="00445CD4" w:rsidR="00D171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služby zdravotnej starostlivosti považuje AWG za luxusný </w:t>
            </w:r>
            <w:r w:rsidRPr="00445CD4" w:rsidR="00A50ECB">
              <w:rPr>
                <w:rFonts w:ascii="Times New Roman" w:hAnsi="Times New Roman"/>
                <w:sz w:val="20"/>
                <w:szCs w:val="20"/>
                <w:lang w:val="sk-SK"/>
              </w:rPr>
              <w:t>statok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  <w:rtl w:val="0"/>
                <w:lang w:val="sk-SK"/>
              </w:rPr>
              <w:footnoteReference w:id="10"/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, došlo v dôsledku vyššieho dlhodobého rastu </w:t>
            </w:r>
            <w:r w:rsidRPr="00445CD4" w:rsidR="00D171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HDP 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aj k výraznému nárastu výdavkov</w:t>
            </w:r>
            <w:r w:rsidRPr="00445CD4" w:rsidR="00D1718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na zdravotnú starostlivosť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  <w:p w:rsidR="003C67DE" w:rsidRPr="00445CD4" w:rsidP="003C67DE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FF1AB3" w:rsidRPr="00445CD4" w:rsidP="00FF1AB3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Súčasne sa </w:t>
            </w:r>
            <w:r w:rsidRPr="00445CD4" w:rsidR="003C67DE">
              <w:rPr>
                <w:rFonts w:ascii="Times New Roman" w:hAnsi="Times New Roman"/>
                <w:sz w:val="20"/>
                <w:szCs w:val="20"/>
                <w:lang w:val="sk-SK"/>
              </w:rPr>
              <w:t>aktualizáciou predpokladov o ekonomickom raste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ovplyvnil aj rozdiel medzi ekonomickým rastom a úrokovou sadzbou, ktorý predstavuje základ pre diskontovanie </w:t>
            </w:r>
            <w:r w:rsidRPr="00445CD4" w:rsidR="003C67DE">
              <w:rPr>
                <w:rFonts w:ascii="Times New Roman" w:hAnsi="Times New Roman"/>
                <w:sz w:val="20"/>
                <w:szCs w:val="20"/>
                <w:lang w:val="sk-SK"/>
              </w:rPr>
              <w:t>všetkých položiek príjmov a výdavkov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  <w:p w:rsidR="001366B1" w:rsidRPr="00445CD4" w:rsidP="00FF1AB3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1366B1" w:rsidRPr="00445CD4" w:rsidP="00FF1AB3">
            <w:pPr>
              <w:pStyle w:val="Default"/>
              <w:numPr>
                <w:numId w:val="8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Došlo k </w:t>
            </w:r>
            <w:r w:rsidRPr="00445CD4" w:rsidR="00FF1AB3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s</w:t>
            </w:r>
            <w:r w:rsidRPr="00445CD4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presneni</w:t>
            </w:r>
            <w:r w:rsidRPr="00445CD4" w:rsidR="00FF1AB3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u</w:t>
            </w:r>
            <w:r w:rsidRPr="00445CD4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odhadu vplyvu dôchodkovej reformy na príjmy a výdavky dôchodkového systému</w:t>
            </w: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>. V rozpočte verejnej správy na roky 2013</w:t>
            </w:r>
            <w:r w:rsidR="002931A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až </w:t>
            </w: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>2015 boli predbežné odhady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="002931A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Ministerstva financií 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>SR, ktoré neboli predmetom diskusie a schvaľovania v</w:t>
            </w:r>
            <w:r w:rsidR="002931A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45CD4" w:rsidR="004378DA">
              <w:rPr>
                <w:rFonts w:ascii="Times New Roman" w:hAnsi="Times New Roman"/>
                <w:sz w:val="20"/>
                <w:szCs w:val="20"/>
                <w:lang w:val="sk-SK"/>
              </w:rPr>
              <w:t>rámci AWG a nevychádzali z aktualizovaných makroekonomických predpokladov</w:t>
            </w: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</w:p>
          <w:p w:rsidR="001366B1" w:rsidRPr="00445CD4" w:rsidP="00FF1AB3">
            <w:pPr>
              <w:pStyle w:val="Default"/>
              <w:bidi w:val="0"/>
              <w:spacing w:after="0" w:line="240" w:lineRule="auto"/>
              <w:ind w:left="720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BF7256" w:rsidRPr="00445CD4" w:rsidP="00FF1AB3">
            <w:pPr>
              <w:pStyle w:val="Default"/>
              <w:numPr>
                <w:numId w:val="8"/>
              </w:numPr>
              <w:bidi w:val="0"/>
              <w:spacing w:after="0" w:line="240" w:lineRule="auto"/>
              <w:suppressOverlap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 nadväznosti na uskutočnenú dôchodkovú reformu sa zmenila aj </w:t>
            </w:r>
            <w:r w:rsidRPr="00445CD4" w:rsidR="00FF1AB3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položka ostatné príjmy</w:t>
            </w: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>. Metodika výpočtu implicitných záväzkov predpokladá, že primárne saldo je v scenári nezmenených politík vo východiskovom roku vybilancované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rtl w:val="0"/>
                <w:lang w:val="sk-SK"/>
              </w:rPr>
              <w:footnoteReference w:id="11"/>
            </w:r>
            <w:r w:rsidRPr="00445CD4" w:rsidR="003C67DE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  <w:r w:rsidRPr="00445CD4" w:rsidR="00FF1AB3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Práve 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>zmeny v dôchodkovom systéme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okamžite 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>zvýšil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>i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príjmy dôchodkového poistenia, čo znamená, že v aktuálnej situácii sú potrebné nižšie ostatné príjmy na vyrovnanie bilancie.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Inými slovami zlepšila sa bilancia príjmov a výdavkov </w:t>
            </w:r>
            <w:r w:rsidRPr="00445CD4" w:rsidR="003C67DE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verejnej správy 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>nesúvisiacich so starnutím populácie, čo prispieva k pomalšiemu nárastu vykazovaného dlhu. Nárast implicitných záväzkov v tejto položke je teda kompenzovaný poklesom explic</w:t>
            </w:r>
            <w:r w:rsidRPr="00445CD4" w:rsidR="003C67DE">
              <w:rPr>
                <w:rFonts w:ascii="Times New Roman" w:hAnsi="Times New Roman"/>
                <w:sz w:val="20"/>
                <w:szCs w:val="20"/>
                <w:lang w:val="sk-SK"/>
              </w:rPr>
              <w:t>i</w:t>
            </w:r>
            <w:r w:rsidRPr="00445CD4" w:rsidR="0059693F">
              <w:rPr>
                <w:rFonts w:ascii="Times New Roman" w:hAnsi="Times New Roman"/>
                <w:sz w:val="20"/>
                <w:szCs w:val="20"/>
                <w:lang w:val="sk-SK"/>
              </w:rPr>
              <w:t>tných záväzkov.</w:t>
            </w:r>
            <w:r w:rsidRPr="00445CD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  <w:p w:rsidR="001856ED" w:rsidRPr="00445CD4" w:rsidP="001856ED">
            <w:pPr>
              <w:pStyle w:val="Default"/>
              <w:bidi w:val="0"/>
              <w:spacing w:after="0" w:line="240" w:lineRule="auto"/>
              <w:ind w:left="720"/>
              <w:suppressOverlap/>
              <w:rPr>
                <w:rFonts w:ascii="Times New Roman" w:hAnsi="Times New Roman"/>
                <w:sz w:val="20"/>
                <w:szCs w:val="20"/>
                <w:lang w:val="sk-SK" w:eastAsia="sk-SK"/>
              </w:rPr>
            </w:pPr>
          </w:p>
          <w:p w:rsidR="00137DEF" w:rsidRPr="00445CD4" w:rsidP="00137DEF">
            <w:pPr>
              <w:pStyle w:val="Heading2"/>
              <w:bidi w:val="0"/>
              <w:spacing w:before="0" w:after="0" w:line="240" w:lineRule="auto"/>
              <w:suppressOverlap/>
              <w:rPr>
                <w:rFonts w:ascii="Times New Roman" w:hAnsi="Times New Roman" w:cs="Times New Roman"/>
                <w:sz w:val="20"/>
                <w:szCs w:val="20"/>
              </w:rPr>
            </w:pPr>
            <w:r w:rsidRPr="00445CD4" w:rsidR="00FC2153">
              <w:rPr>
                <w:rFonts w:ascii="Times New Roman" w:hAnsi="Times New Roman" w:cs="Times New Roman"/>
                <w:sz w:val="20"/>
                <w:szCs w:val="20"/>
              </w:rPr>
              <w:t>Zmeny v jednotlivých položkách príjmov a výdavkov sú sumarizované v tabuľke</w:t>
            </w:r>
            <w:r w:rsidRPr="00445CD4" w:rsidR="006F7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C1B5F" w:rsidRPr="00445CD4" w:rsidP="002D364B">
            <w:pPr>
              <w:bidi w:val="0"/>
              <w:spacing w:after="0"/>
              <w:suppressOverlap/>
              <w:rPr>
                <w:rFonts w:ascii="Times New Roman" w:hAnsi="Times New Roman"/>
                <w:lang w:eastAsia="sk-SK"/>
              </w:rPr>
            </w:pPr>
          </w:p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06"/>
              <w:gridCol w:w="1225"/>
              <w:gridCol w:w="1275"/>
              <w:gridCol w:w="991"/>
              <w:gridCol w:w="1275"/>
              <w:gridCol w:w="919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noWrap/>
                  <w:textDirection w:val="lrTb"/>
                  <w:vAlign w:val="center"/>
                  <w:hideMark/>
                </w:tcPr>
                <w:p w:rsidR="0065412E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Porovnanie zmien v implicitných záväzkoch (v </w:t>
                  </w:r>
                  <w:r w:rsidRPr="00445CD4" w:rsidR="004137E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% </w:t>
                  </w:r>
                  <w:r w:rsidRPr="00445CD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HDP)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bottom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RVS 2013-15*</w:t>
                  </w:r>
                </w:p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RVS 2014-16*</w:t>
                  </w:r>
                </w:p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Rozdiely</w:t>
                  </w:r>
                </w:p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(2) - (1)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lrTb"/>
                  <w:vAlign w:val="top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z toho: východiskový rok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top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z toho: ostatné zmeny 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A. Príjmy VS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1 254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 </w:t>
                  </w:r>
                  <w:r w:rsidRPr="00445CD4" w:rsidR="00EE7BB0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284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EE7BB0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Dôchodkové poistenie (EAO + dlžné)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Zdravotné poistenie (EAO + dlžné)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253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1340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 xml:space="preserve">Poistenie v nezamestnanosti (EAO + </w:t>
                  </w:r>
                  <w:r w:rsidR="002931A1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    </w:t>
                  </w: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dlžné)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37499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1340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1340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Ostatné príjmy*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608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B. Výdavky citlivé na starnutie </w:t>
                  </w:r>
                  <w:r w:rsidR="001E10C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</w:t>
                    <w:br/>
                    <w:t xml:space="preserve">     </w:t>
                  </w:r>
                  <w:r w:rsidRPr="00445CD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populácie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1 419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1 </w:t>
                  </w: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510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EE7BB0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Dôchodkové dávky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664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EE7BB0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675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Zdravotná starostlivosť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518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599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C74F67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Dlhodobá starostlivosť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37499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1340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Školstvo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 w:rsidR="00C74F6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 w:rsidR="00696D7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-</w:t>
                  </w:r>
                  <w:r w:rsidRPr="00445CD4" w:rsidR="0013402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ind w:firstLine="180" w:firstLineChars="100"/>
                    <w:suppressOverlap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8"/>
                      <w:szCs w:val="18"/>
                    </w:rPr>
                    <w:t>Dávky v nezamestnanosti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83"/>
              </w:trPr>
              <w:tc>
                <w:tcPr>
                  <w:tcW w:w="18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C. Primárne saldo (A-B)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-164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5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45C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45CD4" w:rsidR="00696D79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</w:tr>
            <w:tr>
              <w:tblPrEx>
                <w:tblW w:w="5000" w:type="pct"/>
                <w:tblLayout w:type="fixed"/>
                <w:tblLook w:val="04A0"/>
              </w:tblPrEx>
              <w:trPr>
                <w:trHeight w:val="227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textDirection w:val="lrTb"/>
                  <w:vAlign w:val="center"/>
                  <w:hideMark/>
                </w:tcPr>
                <w:p w:rsidR="00BF7256" w:rsidRPr="00445CD4" w:rsidP="007043AF">
                  <w:pPr>
                    <w:bidi w:val="0"/>
                    <w:spacing w:after="0" w:line="240" w:lineRule="auto"/>
                    <w:suppressOverlap/>
                    <w:rPr>
                      <w:rFonts w:ascii="Times New Roman" w:hAnsi="Times New Roman"/>
                      <w:sz w:val="16"/>
                      <w:szCs w:val="18"/>
                    </w:rPr>
                  </w:pPr>
                  <w:r w:rsidRPr="00445CD4">
                    <w:rPr>
                      <w:rFonts w:ascii="Times New Roman" w:hAnsi="Times New Roman"/>
                      <w:sz w:val="16"/>
                      <w:szCs w:val="18"/>
                    </w:rPr>
                    <w:t>* Ide o sumy diskontovaných hodnôt k východiskovému roku.</w:t>
                  </w:r>
                </w:p>
              </w:tc>
            </w:tr>
          </w:tbl>
          <w:p w:rsidR="00391B6F" w:rsidRPr="00445CD4" w:rsidP="00FB6FEE">
            <w:pPr>
              <w:bidi w:val="0"/>
              <w:suppressOverlap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391B6F" w:rsidRPr="00445CD4" w:rsidP="004C4D57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BA123E" w:rsidRPr="00445CD4" w:rsidP="00666951">
      <w:pPr>
        <w:pStyle w:val="ListParagraph"/>
        <w:bidi w:val="0"/>
        <w:jc w:val="both"/>
        <w:rPr>
          <w:rFonts w:ascii="Times New Roman" w:hAnsi="Times New Roman" w:cs="Times New Roman"/>
        </w:rPr>
      </w:pPr>
    </w:p>
    <w:sectPr w:rsidSect="00A95CBD">
      <w:footerReference w:type="default" r:id="rId10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CBD" w:rsidRPr="00A95CBD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A95CBD">
      <w:rPr>
        <w:rFonts w:ascii="Times New Roman" w:hAnsi="Times New Roman"/>
        <w:sz w:val="24"/>
        <w:szCs w:val="24"/>
      </w:rPr>
      <w:fldChar w:fldCharType="begin"/>
    </w:r>
    <w:r w:rsidRPr="00A95CBD">
      <w:rPr>
        <w:rFonts w:ascii="Times New Roman" w:hAnsi="Times New Roman"/>
        <w:sz w:val="24"/>
        <w:szCs w:val="24"/>
      </w:rPr>
      <w:instrText>PAGE   \* MERGEFORMAT</w:instrText>
    </w:r>
    <w:r w:rsidRPr="00A95CB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A95CBD">
      <w:rPr>
        <w:rFonts w:ascii="Times New Roman" w:hAnsi="Times New Roman"/>
        <w:sz w:val="24"/>
        <w:szCs w:val="24"/>
      </w:rPr>
      <w:fldChar w:fldCharType="end"/>
    </w:r>
  </w:p>
  <w:p w:rsidR="00C56F46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74" w:rsidP="00FA25AD">
      <w:pPr>
        <w:bidi w:val="0"/>
        <w:spacing w:after="0" w:line="240" w:lineRule="auto"/>
      </w:pPr>
      <w:r>
        <w:separator/>
      </w:r>
    </w:p>
  </w:footnote>
  <w:footnote w:type="continuationSeparator" w:id="1">
    <w:p w:rsidR="00435874" w:rsidP="00FA25AD">
      <w:pPr>
        <w:bidi w:val="0"/>
        <w:spacing w:after="0" w:line="240" w:lineRule="auto"/>
      </w:pPr>
      <w:r>
        <w:continuationSeparator/>
      </w:r>
    </w:p>
  </w:footnote>
  <w:footnote w:id="2">
    <w:p w:rsidP="00DC7715">
      <w:pPr>
        <w:pStyle w:val="FootnoteText"/>
        <w:bidi w:val="0"/>
        <w:ind w:left="159" w:hanging="159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Ageing working group – pracovná skupina Európskej komisie zaoberajúca sa vplyvom starnutia obyvateľstva na verejné financie v dlhodobom horizonte.</w:t>
      </w:r>
    </w:p>
  </w:footnote>
  <w:footnote w:id="3">
    <w:p w:rsidP="00DC7715">
      <w:pPr>
        <w:pStyle w:val="FootnoteText"/>
        <w:bidi w:val="0"/>
        <w:ind w:left="159" w:hanging="159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Detailný popis výsledkov a predpokladov použitých pri kvantifikácii dlhodobých projekcií je uvedený v tzv. Country fiche, ktorý je sprievodným dokumentom k projekciám predkladaným EK (</w:t>
      </w:r>
      <w:hyperlink r:id="rId1" w:history="1">
        <w:r w:rsidRPr="00C07187" w:rsidR="00C56F46">
          <w:rPr>
            <w:rStyle w:val="Hyperlink"/>
            <w:rFonts w:ascii="Times New Roman" w:hAnsi="Times New Roman"/>
            <w:sz w:val="16"/>
            <w:szCs w:val="16"/>
          </w:rPr>
          <w:t>http://europa.eu/epc/pdf/latest_version_country_fiches.zip</w:t>
        </w:r>
      </w:hyperlink>
      <w:r w:rsidRPr="00C07187" w:rsidR="00C56F46">
        <w:rPr>
          <w:rFonts w:ascii="Times New Roman" w:hAnsi="Times New Roman"/>
          <w:sz w:val="16"/>
          <w:szCs w:val="16"/>
        </w:rPr>
        <w:t>).</w:t>
      </w:r>
    </w:p>
  </w:footnote>
  <w:footnote w:id="4">
    <w:p w:rsidP="00F979FA">
      <w:pPr>
        <w:autoSpaceDE w:val="0"/>
        <w:autoSpaceDN w:val="0"/>
        <w:bidi w:val="0"/>
        <w:adjustRightInd w:val="0"/>
        <w:spacing w:after="0" w:line="240" w:lineRule="auto"/>
        <w:ind w:left="181" w:hanging="181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</w:t>
      </w:r>
      <w:r w:rsidRPr="00C07187" w:rsidR="00C56F46">
        <w:rPr>
          <w:rFonts w:ascii="Times New Roman" w:hAnsi="Times New Roman"/>
          <w:iCs/>
          <w:sz w:val="16"/>
          <w:szCs w:val="16"/>
        </w:rPr>
        <w:t xml:space="preserve">Ide o štandardnú procedúru, tzv. peer review, kedy členská krajina môže požiadať pracovnú skupinu AWG a EK o posúdenie aktualizácie projekcií z dôvodu prijatia </w:t>
      </w:r>
      <w:r w:rsidRPr="00C07187" w:rsidR="00C56F46">
        <w:rPr>
          <w:rFonts w:ascii="Times New Roman" w:hAnsi="Times New Roman"/>
          <w:sz w:val="16"/>
          <w:szCs w:val="16"/>
        </w:rPr>
        <w:t>významnej</w:t>
      </w:r>
      <w:r w:rsidRPr="00C07187" w:rsidR="00C56F46">
        <w:rPr>
          <w:rFonts w:ascii="Times New Roman" w:hAnsi="Times New Roman"/>
          <w:iCs/>
          <w:sz w:val="16"/>
          <w:szCs w:val="16"/>
        </w:rPr>
        <w:t xml:space="preserve"> reformy.</w:t>
      </w:r>
    </w:p>
  </w:footnote>
  <w:footnote w:id="5">
    <w:p w:rsidP="00431A4A">
      <w:pPr>
        <w:pStyle w:val="FootnoteText"/>
        <w:bidi w:val="0"/>
        <w:ind w:left="142" w:hanging="142"/>
        <w:jc w:val="both"/>
      </w:pPr>
      <w:r w:rsidR="00C56F46">
        <w:rPr>
          <w:rStyle w:val="FootnoteReference"/>
          <w:sz w:val="18"/>
          <w:szCs w:val="18"/>
        </w:rPr>
        <w:footnoteRef/>
      </w:r>
      <w:r w:rsidRPr="008E4952" w:rsidR="00C56F46">
        <w:rPr>
          <w:sz w:val="18"/>
          <w:szCs w:val="18"/>
        </w:rPr>
        <w:t xml:space="preserve"> Keďže cieľom tejto časti je odhadnúť veľkosť implicitných záväzkov spojených so starnutím populácie, vychádza sa z predpokladu vyrovnanej bilancie príjmov a výdavkov vo východiskovom roku. Znamená to, že implicitné záväzky vznikajú len z odchýlok príjmov a výdavkov spojených so starnutím populácie od hodnôt vo východiskovom roku. </w:t>
      </w:r>
    </w:p>
  </w:footnote>
  <w:footnote w:id="6">
    <w:p w:rsidP="00431A4A">
      <w:pPr>
        <w:pStyle w:val="FootnoteText"/>
        <w:bidi w:val="0"/>
        <w:ind w:left="142" w:hanging="142"/>
        <w:jc w:val="both"/>
      </w:pPr>
      <w:r w:rsidRPr="008E4952" w:rsidR="00C56F46">
        <w:rPr>
          <w:rStyle w:val="FootnoteReference"/>
          <w:sz w:val="18"/>
          <w:szCs w:val="18"/>
        </w:rPr>
        <w:footnoteRef/>
      </w:r>
      <w:r w:rsidRPr="008E4952" w:rsidR="00C56F46">
        <w:rPr>
          <w:sz w:val="18"/>
          <w:szCs w:val="18"/>
        </w:rPr>
        <w:t xml:space="preserve">  </w:t>
      </w:r>
      <w:r w:rsidRPr="00DA3424" w:rsidR="00C56F46">
        <w:rPr>
          <w:sz w:val="18"/>
          <w:szCs w:val="18"/>
        </w:rPr>
        <w:t>Takýto prístup k projekcii príjmov sa používa aj v rámci pracovnej skupiny AWG</w:t>
      </w:r>
      <w:r w:rsidRPr="00431A4A" w:rsidR="00C56F46">
        <w:rPr>
          <w:sz w:val="18"/>
          <w:szCs w:val="18"/>
        </w:rPr>
        <w:t>.</w:t>
      </w:r>
    </w:p>
  </w:footnote>
  <w:footnote w:id="7">
    <w:p w:rsidP="001C40A3">
      <w:pPr>
        <w:pStyle w:val="FootnoteText"/>
        <w:bidi w:val="0"/>
        <w:ind w:left="142" w:hanging="142"/>
        <w:jc w:val="both"/>
      </w:pPr>
      <w:r w:rsidRPr="001C40A3" w:rsidR="00C56F46">
        <w:rPr>
          <w:rStyle w:val="FootnoteReference"/>
          <w:sz w:val="18"/>
          <w:szCs w:val="18"/>
        </w:rPr>
        <w:footnoteRef/>
      </w:r>
      <w:r w:rsidRPr="001C40A3" w:rsidR="00C56F46">
        <w:rPr>
          <w:sz w:val="18"/>
          <w:szCs w:val="18"/>
        </w:rPr>
        <w:t xml:space="preserve"> </w:t>
      </w:r>
      <w:r w:rsidR="00C56F46">
        <w:rPr>
          <w:sz w:val="18"/>
          <w:szCs w:val="18"/>
        </w:rPr>
        <w:t>Pri zmenách primárneho salda dochádza aj k zmenám v úrokových nákladoch resp. úrokových príjmoch (pokiaľ sa nekumuluje dlh, ale aktíva) verejnej správy. Ak vláda uskutoční opatrenia zlepšujúce primárne saldo, automaticky to povedie aj k poklesu úrokových nákladov resp. nárastu úrokových príjmov.</w:t>
      </w:r>
      <w:r w:rsidRPr="001C40A3" w:rsidR="00C56F46">
        <w:rPr>
          <w:sz w:val="18"/>
          <w:szCs w:val="18"/>
        </w:rPr>
        <w:t xml:space="preserve"> </w:t>
      </w:r>
    </w:p>
  </w:footnote>
  <w:footnote w:id="8">
    <w:p w:rsidP="0083649B">
      <w:pPr>
        <w:pStyle w:val="FootnoteText"/>
        <w:bidi w:val="0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Výpočet zahŕňa odhad celkovej výšky záväzkov z daného projektu. Nezohľadňuje sa v ňom skutočnosť, že týmto projektom sa zároveň zvýšili aktíva štátu (rýchlostná cesta), t.j. vplyv na čisté bohatstvo štátu by bol v porovnaní so samotným nárastom záväzkov miernejší. </w:t>
      </w:r>
    </w:p>
  </w:footnote>
  <w:footnote w:id="9">
    <w:p w:rsidP="00E92121">
      <w:pPr>
        <w:pStyle w:val="FootnoteText"/>
        <w:bidi w:val="0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V čase odovzdania jednotlivých úsekov rýchlostnej cesty v roku 2011 došlo k odvedeniu DPH zo strany investora v sume 174 mil. eur (po zaplatení zo strany štátu), čo sa prejavilo v daňových príjmoch a pozitívne ovplyvnilo saldo verejnej správy v uvedenej sume. Vzhľadom na to, že uvedený projekt je zaznamenaný mimo bilancie verejnej správy, zaplatená DPH zo strany štátu sa rovnomerne zaznamenáva počas celého obdobia trvania koncesie spolu s platbami štátu za dostupnosť, čo každý rok zhorší saldo o takmer 6 mil. eur. Z pohľadu vplyvu na dlh však ide o neutrálnu operáciu.</w:t>
      </w:r>
    </w:p>
  </w:footnote>
  <w:footnote w:id="10">
    <w:p w:rsidP="00374999">
      <w:pPr>
        <w:pStyle w:val="FootnoteText"/>
        <w:bidi w:val="0"/>
        <w:spacing w:after="0" w:line="240" w:lineRule="auto"/>
        <w:ind w:left="142" w:hanging="142"/>
        <w:jc w:val="both"/>
      </w:pPr>
      <w:r w:rsidRPr="00C07187" w:rsidR="00C56F4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C07187" w:rsidR="00C56F46">
        <w:rPr>
          <w:rFonts w:ascii="Times New Roman" w:hAnsi="Times New Roman"/>
          <w:sz w:val="16"/>
          <w:szCs w:val="16"/>
        </w:rPr>
        <w:t xml:space="preserve"> Spotreba luxusného statku stúpa rýchlejšie než úmerne k rastu príjmu. U výdavkov na zdravotnú starostlivosť sa predpokladá elasticita na rast HDP na úrovni 1,1.</w:t>
      </w:r>
    </w:p>
  </w:footnote>
  <w:footnote w:id="11">
    <w:p w:rsidR="00C56F46" w:rsidRPr="00C07187" w:rsidP="00374999">
      <w:pPr>
        <w:bidi w:val="0"/>
        <w:spacing w:after="0" w:line="240" w:lineRule="aut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C07187">
        <w:rPr>
          <w:rStyle w:val="FootnoteReference"/>
          <w:sz w:val="16"/>
          <w:szCs w:val="16"/>
        </w:rPr>
        <w:footnoteRef/>
      </w:r>
      <w:r w:rsidRPr="00C07187">
        <w:rPr>
          <w:rFonts w:ascii="Times New Roman" w:hAnsi="Times New Roman"/>
          <w:sz w:val="16"/>
          <w:szCs w:val="16"/>
        </w:rPr>
        <w:t xml:space="preserve"> Položky nesúvisiace so starnutím populácie rastú v súlade s tempom rastu HDP, akékoľvek rozdiely v primárnom salde možno pripísať vplyvu starnutia populácie na verejné financie. Bilancovanie vo východiskovom roku umožňuje vyhodnotiť vplyv prijatých opatrení.</w:t>
      </w:r>
    </w:p>
    <w:p w:rsidP="00374999">
      <w:pPr>
        <w:bidi w:val="0"/>
        <w:spacing w:after="0" w:line="240" w:lineRule="auto"/>
        <w:ind w:left="170" w:hanging="17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AE2"/>
    <w:multiLevelType w:val="hybridMultilevel"/>
    <w:tmpl w:val="FC7E1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323C5"/>
    <w:multiLevelType w:val="hybridMultilevel"/>
    <w:tmpl w:val="D37CF8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056E23"/>
    <w:multiLevelType w:val="hybridMultilevel"/>
    <w:tmpl w:val="0ADAA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B5B7D"/>
    <w:multiLevelType w:val="hybridMultilevel"/>
    <w:tmpl w:val="59021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2C2"/>
    <w:multiLevelType w:val="hybridMultilevel"/>
    <w:tmpl w:val="6882DE1A"/>
    <w:lvl w:ilvl="0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6" w:hanging="180"/>
      </w:pPr>
      <w:rPr>
        <w:rFonts w:cs="Times New Roman"/>
        <w:rtl w:val="0"/>
        <w:cs w:val="0"/>
      </w:rPr>
    </w:lvl>
  </w:abstractNum>
  <w:abstractNum w:abstractNumId="5">
    <w:nsid w:val="586C74A6"/>
    <w:multiLevelType w:val="hybridMultilevel"/>
    <w:tmpl w:val="7084ED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7B2223"/>
    <w:multiLevelType w:val="hybridMultilevel"/>
    <w:tmpl w:val="4AE81A4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4236F"/>
    <w:multiLevelType w:val="hybridMultilevel"/>
    <w:tmpl w:val="59021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20E14"/>
    <w:multiLevelType w:val="hybridMultilevel"/>
    <w:tmpl w:val="FB44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/>
  <w:rsids>
    <w:rsidRoot w:val="00627A2A"/>
    <w:rsid w:val="000037ED"/>
    <w:rsid w:val="00007A86"/>
    <w:rsid w:val="00012A9F"/>
    <w:rsid w:val="000241D8"/>
    <w:rsid w:val="00026841"/>
    <w:rsid w:val="00035500"/>
    <w:rsid w:val="00042615"/>
    <w:rsid w:val="00050159"/>
    <w:rsid w:val="00055AE7"/>
    <w:rsid w:val="000613B8"/>
    <w:rsid w:val="00064C0D"/>
    <w:rsid w:val="00073117"/>
    <w:rsid w:val="000779D6"/>
    <w:rsid w:val="0008369B"/>
    <w:rsid w:val="00085646"/>
    <w:rsid w:val="00090047"/>
    <w:rsid w:val="000945C7"/>
    <w:rsid w:val="000A1148"/>
    <w:rsid w:val="000A5BD0"/>
    <w:rsid w:val="000D08F6"/>
    <w:rsid w:val="000D6D87"/>
    <w:rsid w:val="000E21DF"/>
    <w:rsid w:val="000E3E92"/>
    <w:rsid w:val="000E7EEF"/>
    <w:rsid w:val="000F00ED"/>
    <w:rsid w:val="000F2F51"/>
    <w:rsid w:val="001051E1"/>
    <w:rsid w:val="00127CA4"/>
    <w:rsid w:val="00134024"/>
    <w:rsid w:val="001366B1"/>
    <w:rsid w:val="00137DEF"/>
    <w:rsid w:val="0015119F"/>
    <w:rsid w:val="00167410"/>
    <w:rsid w:val="001675D0"/>
    <w:rsid w:val="0017284D"/>
    <w:rsid w:val="00177AA2"/>
    <w:rsid w:val="00182E17"/>
    <w:rsid w:val="001856ED"/>
    <w:rsid w:val="001941E5"/>
    <w:rsid w:val="001A6B9A"/>
    <w:rsid w:val="001B57C8"/>
    <w:rsid w:val="001B68A6"/>
    <w:rsid w:val="001C210F"/>
    <w:rsid w:val="001C40A3"/>
    <w:rsid w:val="001D3BAF"/>
    <w:rsid w:val="001D661E"/>
    <w:rsid w:val="001E10CA"/>
    <w:rsid w:val="001E6853"/>
    <w:rsid w:val="001F7F6E"/>
    <w:rsid w:val="00200574"/>
    <w:rsid w:val="00204B3E"/>
    <w:rsid w:val="002056A0"/>
    <w:rsid w:val="00210ABF"/>
    <w:rsid w:val="00226CB4"/>
    <w:rsid w:val="00232024"/>
    <w:rsid w:val="00237F5B"/>
    <w:rsid w:val="00251360"/>
    <w:rsid w:val="00253119"/>
    <w:rsid w:val="00256A85"/>
    <w:rsid w:val="002931A1"/>
    <w:rsid w:val="002A48DC"/>
    <w:rsid w:val="002B3EA6"/>
    <w:rsid w:val="002C008A"/>
    <w:rsid w:val="002D364B"/>
    <w:rsid w:val="002E3222"/>
    <w:rsid w:val="002F7139"/>
    <w:rsid w:val="00306ACD"/>
    <w:rsid w:val="00310BC7"/>
    <w:rsid w:val="00320F75"/>
    <w:rsid w:val="00324CD5"/>
    <w:rsid w:val="003305EA"/>
    <w:rsid w:val="00340D77"/>
    <w:rsid w:val="0034423E"/>
    <w:rsid w:val="00345338"/>
    <w:rsid w:val="00353746"/>
    <w:rsid w:val="0036227D"/>
    <w:rsid w:val="00371ABB"/>
    <w:rsid w:val="00373B7C"/>
    <w:rsid w:val="00374999"/>
    <w:rsid w:val="00384414"/>
    <w:rsid w:val="00391B6F"/>
    <w:rsid w:val="003931F1"/>
    <w:rsid w:val="0039762B"/>
    <w:rsid w:val="00397E9A"/>
    <w:rsid w:val="003B0544"/>
    <w:rsid w:val="003B5D88"/>
    <w:rsid w:val="003C5779"/>
    <w:rsid w:val="003C67DE"/>
    <w:rsid w:val="003D49CE"/>
    <w:rsid w:val="003E6DE1"/>
    <w:rsid w:val="00401A00"/>
    <w:rsid w:val="004137E6"/>
    <w:rsid w:val="00431A4A"/>
    <w:rsid w:val="004347DE"/>
    <w:rsid w:val="00435874"/>
    <w:rsid w:val="0043648A"/>
    <w:rsid w:val="004378DA"/>
    <w:rsid w:val="0044008E"/>
    <w:rsid w:val="00445CD4"/>
    <w:rsid w:val="004535C5"/>
    <w:rsid w:val="00454D37"/>
    <w:rsid w:val="004740EA"/>
    <w:rsid w:val="00483119"/>
    <w:rsid w:val="004A3E24"/>
    <w:rsid w:val="004C1B5F"/>
    <w:rsid w:val="004C4D57"/>
    <w:rsid w:val="004D4C5F"/>
    <w:rsid w:val="004D68B4"/>
    <w:rsid w:val="004E503C"/>
    <w:rsid w:val="005133B2"/>
    <w:rsid w:val="00524A9C"/>
    <w:rsid w:val="0054624F"/>
    <w:rsid w:val="00553882"/>
    <w:rsid w:val="00553DD2"/>
    <w:rsid w:val="00554B6B"/>
    <w:rsid w:val="00565053"/>
    <w:rsid w:val="00583D06"/>
    <w:rsid w:val="005844E8"/>
    <w:rsid w:val="00585524"/>
    <w:rsid w:val="0059018F"/>
    <w:rsid w:val="00595577"/>
    <w:rsid w:val="0059693F"/>
    <w:rsid w:val="005C70C9"/>
    <w:rsid w:val="005D02DB"/>
    <w:rsid w:val="005D6E9E"/>
    <w:rsid w:val="005E3607"/>
    <w:rsid w:val="005E6060"/>
    <w:rsid w:val="005E72A5"/>
    <w:rsid w:val="005F26F8"/>
    <w:rsid w:val="005F3E30"/>
    <w:rsid w:val="006055A8"/>
    <w:rsid w:val="00614818"/>
    <w:rsid w:val="00617AF0"/>
    <w:rsid w:val="00622B79"/>
    <w:rsid w:val="006241FE"/>
    <w:rsid w:val="00627A2A"/>
    <w:rsid w:val="006303A3"/>
    <w:rsid w:val="006314B7"/>
    <w:rsid w:val="006325AE"/>
    <w:rsid w:val="0065412E"/>
    <w:rsid w:val="00666951"/>
    <w:rsid w:val="00693D75"/>
    <w:rsid w:val="00696199"/>
    <w:rsid w:val="00696808"/>
    <w:rsid w:val="00696D79"/>
    <w:rsid w:val="006A1E54"/>
    <w:rsid w:val="006A4E24"/>
    <w:rsid w:val="006C663A"/>
    <w:rsid w:val="006D7642"/>
    <w:rsid w:val="006D7CB3"/>
    <w:rsid w:val="006E6950"/>
    <w:rsid w:val="006F0A12"/>
    <w:rsid w:val="006F251B"/>
    <w:rsid w:val="006F385E"/>
    <w:rsid w:val="006F7E4E"/>
    <w:rsid w:val="007043AF"/>
    <w:rsid w:val="007110B3"/>
    <w:rsid w:val="00716865"/>
    <w:rsid w:val="00722962"/>
    <w:rsid w:val="00726358"/>
    <w:rsid w:val="007279E6"/>
    <w:rsid w:val="0073745A"/>
    <w:rsid w:val="00746170"/>
    <w:rsid w:val="00772EE8"/>
    <w:rsid w:val="00777453"/>
    <w:rsid w:val="007A2BD6"/>
    <w:rsid w:val="007A3598"/>
    <w:rsid w:val="007A43D0"/>
    <w:rsid w:val="007B46E1"/>
    <w:rsid w:val="007B4901"/>
    <w:rsid w:val="007B70A2"/>
    <w:rsid w:val="007D5D50"/>
    <w:rsid w:val="007F211C"/>
    <w:rsid w:val="007F4A3D"/>
    <w:rsid w:val="007F6022"/>
    <w:rsid w:val="0080034D"/>
    <w:rsid w:val="008141F5"/>
    <w:rsid w:val="0083649B"/>
    <w:rsid w:val="00852376"/>
    <w:rsid w:val="00867C88"/>
    <w:rsid w:val="00871F29"/>
    <w:rsid w:val="008757C1"/>
    <w:rsid w:val="00875835"/>
    <w:rsid w:val="0088390C"/>
    <w:rsid w:val="0089092A"/>
    <w:rsid w:val="00894E41"/>
    <w:rsid w:val="008963F0"/>
    <w:rsid w:val="008C10D5"/>
    <w:rsid w:val="008C738B"/>
    <w:rsid w:val="008D2D7D"/>
    <w:rsid w:val="008D4A49"/>
    <w:rsid w:val="008E19DA"/>
    <w:rsid w:val="008E27BC"/>
    <w:rsid w:val="008E4952"/>
    <w:rsid w:val="0090062F"/>
    <w:rsid w:val="00902B2B"/>
    <w:rsid w:val="00924645"/>
    <w:rsid w:val="0092626C"/>
    <w:rsid w:val="00926DE3"/>
    <w:rsid w:val="00934778"/>
    <w:rsid w:val="00945941"/>
    <w:rsid w:val="0094656C"/>
    <w:rsid w:val="009530C6"/>
    <w:rsid w:val="009605C5"/>
    <w:rsid w:val="00965759"/>
    <w:rsid w:val="00970BD1"/>
    <w:rsid w:val="00983223"/>
    <w:rsid w:val="0098784B"/>
    <w:rsid w:val="009B1E2F"/>
    <w:rsid w:val="009C0A3A"/>
    <w:rsid w:val="009E5F9D"/>
    <w:rsid w:val="009E6EB2"/>
    <w:rsid w:val="009F6DBF"/>
    <w:rsid w:val="00A01FC8"/>
    <w:rsid w:val="00A02F78"/>
    <w:rsid w:val="00A32DA1"/>
    <w:rsid w:val="00A50ECB"/>
    <w:rsid w:val="00A53342"/>
    <w:rsid w:val="00A6498C"/>
    <w:rsid w:val="00A8025E"/>
    <w:rsid w:val="00A83BDC"/>
    <w:rsid w:val="00A84A65"/>
    <w:rsid w:val="00A92872"/>
    <w:rsid w:val="00A95CBD"/>
    <w:rsid w:val="00A96113"/>
    <w:rsid w:val="00AA01F1"/>
    <w:rsid w:val="00AA06CE"/>
    <w:rsid w:val="00AA6F75"/>
    <w:rsid w:val="00AA758F"/>
    <w:rsid w:val="00AC19E7"/>
    <w:rsid w:val="00AC3F9A"/>
    <w:rsid w:val="00AD5687"/>
    <w:rsid w:val="00AD5D10"/>
    <w:rsid w:val="00AD6879"/>
    <w:rsid w:val="00AE5547"/>
    <w:rsid w:val="00AE6760"/>
    <w:rsid w:val="00AF3A4A"/>
    <w:rsid w:val="00AF7D84"/>
    <w:rsid w:val="00B07057"/>
    <w:rsid w:val="00B37C85"/>
    <w:rsid w:val="00B669F1"/>
    <w:rsid w:val="00B839B2"/>
    <w:rsid w:val="00BA123E"/>
    <w:rsid w:val="00BA39E3"/>
    <w:rsid w:val="00BA7ED3"/>
    <w:rsid w:val="00BB23E9"/>
    <w:rsid w:val="00BB4385"/>
    <w:rsid w:val="00BB6823"/>
    <w:rsid w:val="00BC2413"/>
    <w:rsid w:val="00BC3950"/>
    <w:rsid w:val="00BD13E5"/>
    <w:rsid w:val="00BD64C5"/>
    <w:rsid w:val="00BD67B0"/>
    <w:rsid w:val="00BE4E2F"/>
    <w:rsid w:val="00BF7256"/>
    <w:rsid w:val="00C07187"/>
    <w:rsid w:val="00C21229"/>
    <w:rsid w:val="00C22539"/>
    <w:rsid w:val="00C3437D"/>
    <w:rsid w:val="00C40D05"/>
    <w:rsid w:val="00C5011D"/>
    <w:rsid w:val="00C53E0E"/>
    <w:rsid w:val="00C56F46"/>
    <w:rsid w:val="00C5744E"/>
    <w:rsid w:val="00C74F67"/>
    <w:rsid w:val="00C827C1"/>
    <w:rsid w:val="00C956FA"/>
    <w:rsid w:val="00CB6339"/>
    <w:rsid w:val="00CC0F85"/>
    <w:rsid w:val="00CC1448"/>
    <w:rsid w:val="00CC2A7F"/>
    <w:rsid w:val="00CD07AE"/>
    <w:rsid w:val="00CE6764"/>
    <w:rsid w:val="00D031ED"/>
    <w:rsid w:val="00D064A5"/>
    <w:rsid w:val="00D11B80"/>
    <w:rsid w:val="00D1718A"/>
    <w:rsid w:val="00D22ABF"/>
    <w:rsid w:val="00D3362A"/>
    <w:rsid w:val="00D5493B"/>
    <w:rsid w:val="00D665B4"/>
    <w:rsid w:val="00D73235"/>
    <w:rsid w:val="00D90E07"/>
    <w:rsid w:val="00D96842"/>
    <w:rsid w:val="00DA3424"/>
    <w:rsid w:val="00DC7715"/>
    <w:rsid w:val="00DE07B0"/>
    <w:rsid w:val="00DE0D2A"/>
    <w:rsid w:val="00E040D9"/>
    <w:rsid w:val="00E04798"/>
    <w:rsid w:val="00E137E9"/>
    <w:rsid w:val="00E26D2B"/>
    <w:rsid w:val="00E412F5"/>
    <w:rsid w:val="00E51A0A"/>
    <w:rsid w:val="00E83E86"/>
    <w:rsid w:val="00E92121"/>
    <w:rsid w:val="00EA1856"/>
    <w:rsid w:val="00EA3DF2"/>
    <w:rsid w:val="00EB5146"/>
    <w:rsid w:val="00EC5BB3"/>
    <w:rsid w:val="00ED284C"/>
    <w:rsid w:val="00ED7F59"/>
    <w:rsid w:val="00EE51DE"/>
    <w:rsid w:val="00EE5249"/>
    <w:rsid w:val="00EE7BB0"/>
    <w:rsid w:val="00F2259A"/>
    <w:rsid w:val="00F22AD3"/>
    <w:rsid w:val="00F23CD4"/>
    <w:rsid w:val="00F25CA4"/>
    <w:rsid w:val="00F26535"/>
    <w:rsid w:val="00F300A0"/>
    <w:rsid w:val="00F308DA"/>
    <w:rsid w:val="00F34603"/>
    <w:rsid w:val="00F4255F"/>
    <w:rsid w:val="00F50A82"/>
    <w:rsid w:val="00F6396A"/>
    <w:rsid w:val="00F90C0A"/>
    <w:rsid w:val="00F930D6"/>
    <w:rsid w:val="00F979FA"/>
    <w:rsid w:val="00FA25AD"/>
    <w:rsid w:val="00FB08C9"/>
    <w:rsid w:val="00FB10C5"/>
    <w:rsid w:val="00FB1DC7"/>
    <w:rsid w:val="00FB2A5D"/>
    <w:rsid w:val="00FB4E47"/>
    <w:rsid w:val="00FB544B"/>
    <w:rsid w:val="00FB6FEE"/>
    <w:rsid w:val="00FC2153"/>
    <w:rsid w:val="00FE4684"/>
    <w:rsid w:val="00FF02CB"/>
    <w:rsid w:val="00FF1AB3"/>
    <w:rsid w:val="00FF3A31"/>
    <w:rsid w:val="00FF4C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5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4D57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24 Char Char,Char24 Char Char Char"/>
    <w:basedOn w:val="Heading1"/>
    <w:next w:val="Normal"/>
    <w:link w:val="Nadpis2Char"/>
    <w:uiPriority w:val="99"/>
    <w:qFormat/>
    <w:rsid w:val="004C4D57"/>
    <w:pPr>
      <w:keepLines w:val="0"/>
      <w:spacing w:before="120" w:after="120" w:line="240" w:lineRule="auto"/>
      <w:jc w:val="both"/>
      <w:outlineLvl w:val="1"/>
    </w:pPr>
    <w:rPr>
      <w:rFonts w:ascii="Arial Narrow" w:eastAsia="Times New Roman" w:hAnsi="Arial Narrow" w:cs="Book Antiqua"/>
      <w:b w:val="0"/>
      <w:bCs w:val="0"/>
      <w:color w:val="auto"/>
      <w:sz w:val="24"/>
      <w:szCs w:val="22"/>
      <w:lang w:eastAsia="sk-SK"/>
    </w:rPr>
  </w:style>
  <w:style w:type="paragraph" w:styleId="Heading3">
    <w:name w:val="heading 3"/>
    <w:aliases w:val="Tab"/>
    <w:basedOn w:val="Normal"/>
    <w:next w:val="Normal"/>
    <w:link w:val="Nadpis3Char"/>
    <w:uiPriority w:val="99"/>
    <w:qFormat/>
    <w:rsid w:val="004C4D57"/>
    <w:pPr>
      <w:keepNext/>
      <w:spacing w:after="0" w:line="240" w:lineRule="auto"/>
      <w:jc w:val="left"/>
      <w:outlineLvl w:val="2"/>
    </w:pPr>
    <w:rPr>
      <w:rFonts w:cs="Arial"/>
      <w:b/>
      <w:bCs/>
      <w:sz w:val="20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C4D5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aliases w:val="Char24 Char Char Char Char,Char24 Char Char Char1"/>
    <w:basedOn w:val="DefaultParagraphFont"/>
    <w:link w:val="Heading2"/>
    <w:uiPriority w:val="99"/>
    <w:locked/>
    <w:rsid w:val="004C4D57"/>
    <w:rPr>
      <w:rFonts w:eastAsia="Times New Roman" w:cs="Book Antiqua"/>
      <w:sz w:val="22"/>
      <w:szCs w:val="22"/>
      <w:rtl w:val="0"/>
      <w:cs w:val="0"/>
      <w:lang w:val="x-none" w:eastAsia="sk-SK"/>
    </w:rPr>
  </w:style>
  <w:style w:type="character" w:customStyle="1" w:styleId="Nadpis3Char">
    <w:name w:val="Nadpis 3 Char"/>
    <w:aliases w:val="Tab Char"/>
    <w:basedOn w:val="DefaultParagraphFont"/>
    <w:link w:val="Heading3"/>
    <w:uiPriority w:val="99"/>
    <w:locked/>
    <w:rsid w:val="004C4D57"/>
    <w:rPr>
      <w:rFonts w:eastAsia="Times New Roman" w:cs="Arial"/>
      <w:b/>
      <w:bCs/>
      <w:sz w:val="26"/>
      <w:szCs w:val="2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C4D57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C4D57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FF3A31"/>
    <w:pPr>
      <w:spacing w:after="0" w:line="240" w:lineRule="auto"/>
      <w:ind w:left="720"/>
      <w:contextualSpacing/>
      <w:jc w:val="left"/>
    </w:pPr>
    <w:rPr>
      <w:rFonts w:cs="Book Antiqua"/>
      <w:szCs w:val="22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25A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25AD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46170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46170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4617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AC3F9A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10AB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10ABF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10ABF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10ABF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10ABF"/>
    <w:rPr>
      <w:b/>
      <w:bCs/>
    </w:rPr>
  </w:style>
  <w:style w:type="paragraph" w:customStyle="1" w:styleId="Default">
    <w:name w:val="Default"/>
    <w:rsid w:val="00E040D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445CD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wmf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europa.eu/epc/pdf/latest_version_country_fiches.zip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BACC-163F-464C-A267-A908EFD8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7</Pages>
  <Words>2289</Words>
  <Characters>13052</Characters>
  <Application>Microsoft Office Word</Application>
  <DocSecurity>0</DocSecurity>
  <Lines>0</Lines>
  <Paragraphs>0</Paragraphs>
  <ScaleCrop>false</ScaleCrop>
  <Company>Ministerstvo financií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Havlat Michal</dc:creator>
  <cp:lastModifiedBy>mmichlo</cp:lastModifiedBy>
  <cp:revision>8</cp:revision>
  <cp:lastPrinted>2013-10-08T17:36:00Z</cp:lastPrinted>
  <dcterms:created xsi:type="dcterms:W3CDTF">2013-10-08T18:52:00Z</dcterms:created>
  <dcterms:modified xsi:type="dcterms:W3CDTF">2013-10-09T14:57:00Z</dcterms:modified>
</cp:coreProperties>
</file>