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00D0" w:rsidRPr="0024687B" w:rsidP="00B32E22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7A0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7A0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7A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44"/>
          <w:szCs w:val="44"/>
        </w:rPr>
      </w:pPr>
      <w:r w:rsidRPr="0024687B">
        <w:rPr>
          <w:rFonts w:ascii="Times New Roman" w:hAnsi="Times New Roman"/>
          <w:b/>
          <w:sz w:val="44"/>
          <w:szCs w:val="44"/>
        </w:rPr>
        <w:t>Príloha č. 4</w:t>
      </w: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44"/>
          <w:szCs w:val="44"/>
        </w:rPr>
      </w:pPr>
    </w:p>
    <w:p w:rsidR="001708DA" w:rsidRPr="0024687B" w:rsidP="003C00D0">
      <w:pPr>
        <w:bidi w:val="0"/>
        <w:jc w:val="center"/>
        <w:rPr>
          <w:rFonts w:ascii="Times New Roman" w:hAnsi="Times New Roman"/>
          <w:b/>
          <w:sz w:val="44"/>
          <w:szCs w:val="44"/>
        </w:rPr>
      </w:pPr>
      <w:r w:rsidRPr="0024687B" w:rsidR="003C00D0">
        <w:rPr>
          <w:rFonts w:ascii="Times New Roman" w:hAnsi="Times New Roman"/>
          <w:b/>
          <w:sz w:val="44"/>
          <w:szCs w:val="44"/>
        </w:rPr>
        <w:t xml:space="preserve">Informácia o podmienených záväzkoch subjektov </w:t>
      </w:r>
      <w:r w:rsidRPr="0024687B" w:rsidR="008069D2">
        <w:rPr>
          <w:rFonts w:ascii="Times New Roman" w:hAnsi="Times New Roman"/>
          <w:b/>
          <w:sz w:val="44"/>
          <w:szCs w:val="44"/>
        </w:rPr>
        <w:t>verejnej</w:t>
      </w:r>
      <w:r w:rsidRPr="0024687B" w:rsidR="003C00D0">
        <w:rPr>
          <w:rFonts w:ascii="Times New Roman" w:hAnsi="Times New Roman"/>
          <w:b/>
          <w:sz w:val="44"/>
          <w:szCs w:val="44"/>
        </w:rPr>
        <w:t xml:space="preserve"> správy</w:t>
      </w:r>
    </w:p>
    <w:p w:rsidR="008069D2" w:rsidRPr="0024687B" w:rsidP="001708DA">
      <w:pPr>
        <w:bidi w:val="0"/>
        <w:rPr>
          <w:rFonts w:ascii="Times New Roman" w:hAnsi="Times New Roman"/>
          <w:b/>
          <w:sz w:val="24"/>
          <w:szCs w:val="24"/>
        </w:rPr>
      </w:pPr>
      <w:r w:rsidRPr="0024687B" w:rsidR="001708DA">
        <w:rPr>
          <w:rFonts w:ascii="Times New Roman" w:hAnsi="Times New Roman"/>
          <w:b/>
          <w:sz w:val="44"/>
          <w:szCs w:val="44"/>
        </w:rPr>
        <w:br w:type="page"/>
      </w:r>
      <w:r w:rsidRPr="0024687B">
        <w:rPr>
          <w:rFonts w:ascii="Times New Roman" w:hAnsi="Times New Roman"/>
          <w:b/>
          <w:sz w:val="24"/>
          <w:szCs w:val="24"/>
        </w:rPr>
        <w:t>Informácia o podmienených záväzkoch subjektov verejnej správy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>V</w:t>
      </w:r>
      <w:r w:rsidRPr="0024687B" w:rsidR="00E721D6">
        <w:rPr>
          <w:rFonts w:ascii="Times New Roman" w:hAnsi="Times New Roman" w:cs="Times New Roman"/>
        </w:rPr>
        <w:t> </w:t>
      </w:r>
      <w:r w:rsidRPr="0024687B">
        <w:rPr>
          <w:rFonts w:ascii="Times New Roman" w:hAnsi="Times New Roman" w:cs="Times New Roman"/>
        </w:rPr>
        <w:t>zmysle</w:t>
      </w:r>
      <w:r w:rsidRPr="0024687B" w:rsidR="00E721D6">
        <w:rPr>
          <w:rFonts w:ascii="Times New Roman" w:hAnsi="Times New Roman" w:cs="Times New Roman"/>
        </w:rPr>
        <w:t xml:space="preserve"> článku 9 ods. 4</w:t>
      </w:r>
      <w:r w:rsidRPr="0024687B">
        <w:rPr>
          <w:rFonts w:ascii="Times New Roman" w:hAnsi="Times New Roman" w:cs="Times New Roman"/>
        </w:rPr>
        <w:t xml:space="preserve"> ústavného zákona č. 493/2011 Z. z. o rozpočtovej zodpovednosti návrh rozpočtu verejnej správy obsahuje informácie o podmienených záväzkoch subjektov verejnej správy.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 xml:space="preserve">Podmienené záväzky sú </w:t>
      </w:r>
      <w:r w:rsidRPr="0024687B" w:rsidR="00E721D6">
        <w:rPr>
          <w:rFonts w:ascii="Times New Roman" w:hAnsi="Times New Roman" w:cs="Times New Roman"/>
        </w:rPr>
        <w:t>definované v legislatíve</w:t>
      </w:r>
      <w:r>
        <w:rPr>
          <w:rFonts w:ascii="Times New Roman" w:hAnsi="Times New Roman" w:cs="Times New Roman"/>
          <w:vertAlign w:val="superscript"/>
          <w:rtl w:val="0"/>
        </w:rPr>
        <w:footnoteReference w:id="2"/>
      </w:r>
      <w:r w:rsidRPr="0024687B">
        <w:rPr>
          <w:rFonts w:ascii="Times New Roman" w:hAnsi="Times New Roman" w:cs="Times New Roman"/>
        </w:rPr>
        <w:t xml:space="preserve"> ako iné pasíva účtovnej jednotky, ktorá ich vykazuje v poznámkach ako súčasti individuálnej účtovnej závierky. Nejedná sa teda o záväzok, ktorý je vykázaný na súvahových položkách pasív, pretože nie je splnená podmienka na ich zaúčtovanie - výška záväzku sa nedá spoľahlivo oceniť, obdobie, ku ktorému sa povinnosť viaže nie je určené, úbytok ekonomických úžitkov v budúcnosti nie je istý.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>Ako iné pasíva sa vykazuje: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8069D2" w:rsidRPr="0024687B" w:rsidP="008069D2">
      <w:pPr>
        <w:pStyle w:val="Zarkazkladnhotextu1"/>
        <w:numPr>
          <w:numId w:val="4"/>
        </w:numPr>
        <w:bidi w:val="0"/>
        <w:spacing w:after="0"/>
        <w:jc w:val="both"/>
        <w:rPr>
          <w:rFonts w:ascii="Times New Roman" w:hAnsi="Times New Roman" w:cs="Times New Roman"/>
        </w:rPr>
      </w:pPr>
      <w:bookmarkStart w:id="0" w:name="_Ref331681245"/>
      <w:r w:rsidRPr="0024687B">
        <w:rPr>
          <w:rFonts w:ascii="Times New Roman" w:hAnsi="Times New Roman" w:cs="Times New Roman"/>
        </w:rPr>
        <w:t>možná povinnosť, ktorá vznikla ako dôsledok minulej udalosti a ktorej existencia závisí od toho, či nastane alebo nenastane jedna alebo viac neistých udalostí v budúcnosti, ktorých vznik nezávisí od účtovnej jednotky,</w:t>
      </w:r>
      <w:bookmarkEnd w:id="0"/>
      <w:r w:rsidRPr="0024687B">
        <w:rPr>
          <w:rFonts w:ascii="Times New Roman" w:hAnsi="Times New Roman" w:cs="Times New Roman"/>
        </w:rPr>
        <w:t xml:space="preserve"> alebo</w:t>
      </w:r>
    </w:p>
    <w:p w:rsidR="008069D2" w:rsidRPr="0024687B" w:rsidP="008069D2">
      <w:pPr>
        <w:pStyle w:val="Zarkazkladnhotextu1"/>
        <w:numPr>
          <w:numId w:val="4"/>
        </w:numPr>
        <w:bidi w:val="0"/>
        <w:spacing w:after="0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>povinnosť, ktorá vznikla ako dôsledok minulej udalosti, ale ktorá sa nevykazuje v súvahe, pretože nie je pravdepodobné, že na splnenie tejto povinnosti bude potrebný úbytok ekonomických úžitkov, alebo výška tejto povinnosti sa nedá spoľahlivo oceniť.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>Vzhľadom na uvedené sa vo verejnej správe vykazujú ako podmienené záväzky napríklad poskytnuté záruky, právne spory, záväzky zo všeobecne platných právnych predpisov a podobne.</w:t>
      </w:r>
      <w:r w:rsidRPr="0024687B" w:rsidR="00255FE8">
        <w:rPr>
          <w:rFonts w:ascii="Times New Roman" w:hAnsi="Times New Roman" w:cs="Times New Roman"/>
        </w:rPr>
        <w:t xml:space="preserve"> Za rok 2012 došlo k zvýšeniu hodnoty iných pasív verejnej správy, nakoľko bol prvýkrát automatizovane spracovaný sumár </w:t>
      </w:r>
      <w:r w:rsidRPr="0024687B" w:rsidR="003E031B">
        <w:rPr>
          <w:rFonts w:ascii="Times New Roman" w:hAnsi="Times New Roman" w:cs="Times New Roman"/>
        </w:rPr>
        <w:t xml:space="preserve">informácií z </w:t>
      </w:r>
      <w:r w:rsidRPr="0024687B" w:rsidR="00255FE8">
        <w:rPr>
          <w:rFonts w:ascii="Times New Roman" w:hAnsi="Times New Roman" w:cs="Times New Roman"/>
        </w:rPr>
        <w:t xml:space="preserve">poznámok ako súčasti individuálnych účtovných závierok subjektov ústrednej štátnej správy a územnej samosprávy. </w:t>
      </w:r>
    </w:p>
    <w:p w:rsidR="00255FE8" w:rsidP="008069D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87B" w:rsidR="00351D47">
        <w:rPr>
          <w:rFonts w:ascii="Times New Roman" w:hAnsi="Times New Roman"/>
          <w:sz w:val="24"/>
          <w:szCs w:val="24"/>
        </w:rPr>
        <w:t xml:space="preserve">Za rok 2011 nebolo možné tieto údaje sumarizovať. </w:t>
      </w:r>
      <w:r w:rsidRPr="0024687B">
        <w:rPr>
          <w:rFonts w:ascii="Times New Roman" w:hAnsi="Times New Roman"/>
          <w:sz w:val="24"/>
          <w:szCs w:val="24"/>
        </w:rPr>
        <w:t>Ďalší prírastok predstavuj</w:t>
      </w:r>
      <w:r w:rsidRPr="0024687B" w:rsidR="00351D47">
        <w:rPr>
          <w:rFonts w:ascii="Times New Roman" w:hAnsi="Times New Roman"/>
          <w:sz w:val="24"/>
          <w:szCs w:val="24"/>
        </w:rPr>
        <w:t>ú</w:t>
      </w:r>
      <w:r w:rsidRPr="0024687B">
        <w:rPr>
          <w:rFonts w:ascii="Times New Roman" w:hAnsi="Times New Roman"/>
          <w:sz w:val="24"/>
          <w:szCs w:val="24"/>
        </w:rPr>
        <w:t xml:space="preserve"> </w:t>
      </w:r>
      <w:r w:rsidRPr="0024687B" w:rsidR="00351D47">
        <w:rPr>
          <w:rFonts w:ascii="Times New Roman" w:hAnsi="Times New Roman"/>
          <w:sz w:val="24"/>
          <w:szCs w:val="24"/>
        </w:rPr>
        <w:t xml:space="preserve">iné pasíva </w:t>
      </w:r>
      <w:r w:rsidRPr="00512914">
        <w:rPr>
          <w:rFonts w:ascii="Times New Roman" w:hAnsi="Times New Roman"/>
          <w:sz w:val="24"/>
          <w:szCs w:val="24"/>
        </w:rPr>
        <w:t>Fond</w:t>
      </w:r>
      <w:r w:rsidRPr="00512914" w:rsidR="00351D47">
        <w:rPr>
          <w:rFonts w:ascii="Times New Roman" w:hAnsi="Times New Roman"/>
          <w:sz w:val="24"/>
          <w:szCs w:val="24"/>
        </w:rPr>
        <w:t>u</w:t>
      </w:r>
      <w:r w:rsidRPr="00512914">
        <w:rPr>
          <w:rFonts w:ascii="Times New Roman" w:hAnsi="Times New Roman"/>
          <w:sz w:val="24"/>
          <w:szCs w:val="24"/>
        </w:rPr>
        <w:t xml:space="preserve"> národného majetku</w:t>
      </w:r>
      <w:r w:rsidRPr="00512914" w:rsidR="003E031B">
        <w:rPr>
          <w:rFonts w:ascii="Times New Roman" w:hAnsi="Times New Roman"/>
          <w:sz w:val="24"/>
          <w:szCs w:val="24"/>
        </w:rPr>
        <w:t xml:space="preserve"> SR</w:t>
      </w:r>
      <w:r w:rsidRPr="00512914">
        <w:rPr>
          <w:rFonts w:ascii="Times New Roman" w:hAnsi="Times New Roman"/>
          <w:sz w:val="24"/>
          <w:szCs w:val="24"/>
        </w:rPr>
        <w:t xml:space="preserve">, ktorý vykázal vyššie </w:t>
      </w:r>
      <w:r w:rsidRPr="00512914" w:rsidR="003E031B">
        <w:rPr>
          <w:rFonts w:ascii="Times New Roman" w:hAnsi="Times New Roman"/>
          <w:sz w:val="24"/>
          <w:szCs w:val="24"/>
        </w:rPr>
        <w:t>právne spory.</w:t>
      </w:r>
      <w:r w:rsidRPr="00512914" w:rsidR="00351D47">
        <w:rPr>
          <w:rFonts w:ascii="Times New Roman" w:hAnsi="Times New Roman"/>
          <w:sz w:val="24"/>
          <w:szCs w:val="24"/>
        </w:rPr>
        <w:t xml:space="preserve"> </w:t>
      </w:r>
      <w:r w:rsidR="00512914">
        <w:rPr>
          <w:rFonts w:ascii="Times New Roman" w:hAnsi="Times New Roman"/>
          <w:sz w:val="24"/>
          <w:szCs w:val="24"/>
        </w:rPr>
        <w:t xml:space="preserve">Ministerstvo financií </w:t>
      </w:r>
      <w:r w:rsidR="00B826CB">
        <w:rPr>
          <w:rFonts w:ascii="Times New Roman" w:hAnsi="Times New Roman"/>
          <w:sz w:val="24"/>
          <w:szCs w:val="24"/>
        </w:rPr>
        <w:t xml:space="preserve">SR </w:t>
      </w:r>
      <w:r w:rsidR="00512914">
        <w:rPr>
          <w:rFonts w:ascii="Times New Roman" w:hAnsi="Times New Roman"/>
          <w:sz w:val="24"/>
          <w:szCs w:val="24"/>
        </w:rPr>
        <w:t>k </w:t>
        <w:br/>
        <w:t>31. decembru 2012 vykázalo nové podmienené pasíva z členstva v Medzinárodnej banke pre hospodársku spoluprácu (call capital) a z arbitráže, ktorú voči štátu vedú akcionári U.S. Steel Košice.</w:t>
      </w:r>
    </w:p>
    <w:p w:rsidR="00512914" w:rsidRPr="0024687B" w:rsidP="008069D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69D2" w:rsidRPr="0024687B" w:rsidP="008069D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4687B">
        <w:rPr>
          <w:rFonts w:ascii="Times New Roman" w:hAnsi="Times New Roman"/>
          <w:sz w:val="24"/>
          <w:szCs w:val="24"/>
        </w:rPr>
        <w:t>K 31.</w:t>
      </w:r>
      <w:r w:rsidRPr="0024687B" w:rsidR="00E721D6">
        <w:rPr>
          <w:rFonts w:ascii="Times New Roman" w:hAnsi="Times New Roman"/>
          <w:sz w:val="24"/>
          <w:szCs w:val="24"/>
        </w:rPr>
        <w:t xml:space="preserve"> decembru </w:t>
      </w:r>
      <w:r w:rsidRPr="0024687B">
        <w:rPr>
          <w:rFonts w:ascii="Times New Roman" w:hAnsi="Times New Roman"/>
          <w:sz w:val="24"/>
          <w:szCs w:val="24"/>
        </w:rPr>
        <w:t>201</w:t>
      </w:r>
      <w:r w:rsidRPr="0024687B" w:rsidR="009D4A81">
        <w:rPr>
          <w:rFonts w:ascii="Times New Roman" w:hAnsi="Times New Roman"/>
          <w:sz w:val="24"/>
          <w:szCs w:val="24"/>
        </w:rPr>
        <w:t>2</w:t>
      </w:r>
      <w:r w:rsidRPr="0024687B">
        <w:rPr>
          <w:rFonts w:ascii="Times New Roman" w:hAnsi="Times New Roman"/>
          <w:sz w:val="24"/>
          <w:szCs w:val="24"/>
        </w:rPr>
        <w:t xml:space="preserve"> boli </w:t>
      </w:r>
      <w:r w:rsidRPr="0024687B" w:rsidR="00436449">
        <w:rPr>
          <w:rFonts w:ascii="Times New Roman" w:hAnsi="Times New Roman"/>
          <w:sz w:val="24"/>
          <w:szCs w:val="24"/>
        </w:rPr>
        <w:t xml:space="preserve">vyčíslené podmienené záväzky podľa jednotlivých zložiek verejnej správy nasledovne: </w:t>
      </w:r>
    </w:p>
    <w:p w:rsidR="009D4A81" w:rsidRPr="00512914" w:rsidP="00512914">
      <w:pPr>
        <w:bidi w:val="0"/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512914" w:rsidR="00863D60">
        <w:rPr>
          <w:rFonts w:ascii="Times New Roman" w:hAnsi="Times New Roman"/>
          <w:sz w:val="16"/>
          <w:szCs w:val="20"/>
        </w:rPr>
        <w:t>Tab. 1</w:t>
      </w:r>
      <w:r w:rsidRPr="00512914" w:rsidR="00D62962">
        <w:rPr>
          <w:rFonts w:ascii="Times New Roman" w:hAnsi="Times New Roman"/>
          <w:sz w:val="16"/>
          <w:szCs w:val="20"/>
        </w:rPr>
        <w:tab/>
        <w:tab/>
        <w:tab/>
        <w:tab/>
        <w:t xml:space="preserve"> </w:t>
        <w:tab/>
      </w:r>
      <w:r w:rsidRPr="00512914">
        <w:rPr>
          <w:rFonts w:ascii="Times New Roman" w:hAnsi="Times New Roman"/>
          <w:sz w:val="16"/>
          <w:szCs w:val="20"/>
        </w:rPr>
        <w:tab/>
        <w:tab/>
      </w:r>
      <w:r w:rsidR="00512914">
        <w:rPr>
          <w:rFonts w:ascii="Times New Roman" w:hAnsi="Times New Roman"/>
          <w:sz w:val="16"/>
          <w:szCs w:val="20"/>
        </w:rPr>
        <w:t xml:space="preserve">     </w:t>
      </w:r>
      <w:r w:rsidRPr="00512914">
        <w:rPr>
          <w:rFonts w:ascii="Times New Roman" w:hAnsi="Times New Roman"/>
          <w:sz w:val="16"/>
          <w:szCs w:val="20"/>
        </w:rPr>
        <w:tab/>
      </w:r>
      <w:r w:rsidR="00512914">
        <w:rPr>
          <w:rFonts w:ascii="Times New Roman" w:hAnsi="Times New Roman"/>
          <w:sz w:val="16"/>
          <w:szCs w:val="20"/>
        </w:rPr>
        <w:t xml:space="preserve">                                                                  </w:t>
      </w:r>
      <w:r w:rsidRPr="00512914">
        <w:rPr>
          <w:rFonts w:ascii="Times New Roman" w:hAnsi="Times New Roman"/>
          <w:sz w:val="16"/>
          <w:szCs w:val="20"/>
        </w:rPr>
        <w:t>(v tis. eur)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7"/>
        <w:gridCol w:w="2751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5"/>
          <w:jc w:val="center"/>
        </w:trPr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9D4A81" w:rsidRPr="00512914" w:rsidP="00AA37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 w:rsidR="00D62962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Zložka verejnej správy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9D4A81" w:rsidRPr="00512914" w:rsidP="00AA37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Hodnota k 31.</w:t>
            </w:r>
            <w:r w:rsid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12.</w:t>
            </w:r>
            <w:r w:rsid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2012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D62962">
              <w:rPr>
                <w:rFonts w:ascii="Times New Roman" w:hAnsi="Times New Roman"/>
                <w:sz w:val="16"/>
                <w:szCs w:val="20"/>
                <w:lang w:eastAsia="sk-SK"/>
              </w:rPr>
              <w:t>Štátne rozpočtové a štátne príspevkové organizácie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406285">
              <w:rPr>
                <w:rFonts w:ascii="Times New Roman" w:hAnsi="Times New Roman"/>
                <w:sz w:val="16"/>
                <w:szCs w:val="20"/>
                <w:lang w:eastAsia="sk-SK"/>
              </w:rPr>
              <w:t>576 086,8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D62962">
              <w:rPr>
                <w:rFonts w:ascii="Times New Roman" w:hAnsi="Times New Roman"/>
                <w:sz w:val="16"/>
                <w:szCs w:val="20"/>
                <w:lang w:eastAsia="sk-SK"/>
              </w:rPr>
              <w:t>Vyššie územné celky a ich rozpočtové a príspevkové organizácie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D62962">
              <w:rPr>
                <w:rFonts w:ascii="Times New Roman" w:hAnsi="Times New Roman"/>
                <w:sz w:val="16"/>
                <w:szCs w:val="20"/>
                <w:lang w:eastAsia="sk-SK"/>
              </w:rPr>
              <w:t>1 855,4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D62962">
              <w:rPr>
                <w:rFonts w:ascii="Times New Roman" w:hAnsi="Times New Roman"/>
                <w:sz w:val="16"/>
                <w:szCs w:val="20"/>
                <w:lang w:eastAsia="sk-SK"/>
              </w:rPr>
              <w:t>Obce a ich rozpočtové a príspevkové organizácie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D62962">
              <w:rPr>
                <w:rFonts w:ascii="Times New Roman" w:hAnsi="Times New Roman"/>
                <w:sz w:val="16"/>
                <w:szCs w:val="20"/>
                <w:lang w:eastAsia="sk-SK"/>
              </w:rPr>
              <w:t>8 715,5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D62962">
              <w:rPr>
                <w:rFonts w:ascii="Times New Roman" w:hAnsi="Times New Roman"/>
                <w:sz w:val="16"/>
                <w:szCs w:val="20"/>
                <w:lang w:eastAsia="sk-SK"/>
              </w:rPr>
              <w:t>Ostatné subjekty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D4A81" w:rsidRPr="00512914" w:rsidP="005129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406285">
              <w:rPr>
                <w:rFonts w:ascii="Times New Roman" w:hAnsi="Times New Roman"/>
                <w:sz w:val="16"/>
                <w:szCs w:val="20"/>
                <w:lang w:eastAsia="sk-SK"/>
              </w:rPr>
              <w:t>1</w:t>
            </w:r>
            <w:r w:rsidRPr="00512914" w:rsidR="00F0336E">
              <w:rPr>
                <w:rFonts w:ascii="Times New Roman" w:hAnsi="Times New Roman"/>
                <w:sz w:val="16"/>
                <w:szCs w:val="20"/>
                <w:lang w:eastAsia="sk-SK"/>
              </w:rPr>
              <w:t> 473 023</w:t>
            </w:r>
            <w:r w:rsidRPr="00512914" w:rsidR="00406285">
              <w:rPr>
                <w:rFonts w:ascii="Times New Roman" w:hAnsi="Times New Roman"/>
                <w:sz w:val="16"/>
                <w:szCs w:val="20"/>
                <w:lang w:eastAsia="sk-SK"/>
              </w:rPr>
              <w:t>,</w:t>
            </w:r>
            <w:r w:rsidRPr="00512914" w:rsidR="00F0336E">
              <w:rPr>
                <w:rFonts w:ascii="Times New Roman" w:hAnsi="Times New Roman"/>
                <w:sz w:val="16"/>
                <w:szCs w:val="20"/>
                <w:lang w:eastAsia="sk-SK"/>
              </w:rPr>
              <w:t>7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24"/>
          <w:jc w:val="center"/>
        </w:trPr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9D4A81" w:rsidRPr="00512914" w:rsidP="005129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  <w:t xml:space="preserve">Spolu  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9D4A81" w:rsidRPr="00512914" w:rsidP="005129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</w:pPr>
            <w:r w:rsidRPr="00512914" w:rsidR="00F0336E"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  <w:t>2 059 681,4</w:t>
            </w:r>
          </w:p>
        </w:tc>
      </w:tr>
    </w:tbl>
    <w:p w:rsidR="00863D60" w:rsidRPr="00512914" w:rsidP="00512914">
      <w:pPr>
        <w:bidi w:val="0"/>
        <w:spacing w:after="0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512914" w:rsidR="00DD788A">
        <w:rPr>
          <w:rFonts w:ascii="Times New Roman" w:hAnsi="Times New Roman"/>
          <w:sz w:val="16"/>
          <w:szCs w:val="20"/>
        </w:rPr>
        <w:t>Zdroj: MF</w:t>
      </w:r>
      <w:r w:rsidR="00512914">
        <w:rPr>
          <w:rFonts w:ascii="Times New Roman" w:hAnsi="Times New Roman"/>
          <w:sz w:val="16"/>
          <w:szCs w:val="20"/>
        </w:rPr>
        <w:t xml:space="preserve"> </w:t>
      </w:r>
      <w:r w:rsidRPr="00512914" w:rsidR="00DD788A">
        <w:rPr>
          <w:rFonts w:ascii="Times New Roman" w:hAnsi="Times New Roman"/>
          <w:sz w:val="16"/>
          <w:szCs w:val="20"/>
        </w:rPr>
        <w:t>SR</w:t>
      </w:r>
    </w:p>
    <w:p w:rsidR="00273391" w:rsidP="00AD304A">
      <w:pPr>
        <w:bidi w:val="0"/>
        <w:spacing w:after="0"/>
        <w:ind w:left="709" w:hanging="709"/>
        <w:jc w:val="both"/>
        <w:rPr>
          <w:rFonts w:ascii="Times New Roman" w:hAnsi="Times New Roman"/>
          <w:sz w:val="16"/>
          <w:szCs w:val="20"/>
        </w:rPr>
      </w:pPr>
      <w:r w:rsidRPr="00512914">
        <w:rPr>
          <w:rFonts w:ascii="Times New Roman" w:hAnsi="Times New Roman"/>
          <w:sz w:val="16"/>
          <w:szCs w:val="20"/>
        </w:rPr>
        <w:t xml:space="preserve">Poznámka: Okrem uvedených podmienených záväzkov evidujú viaceré kapitoly </w:t>
      </w:r>
      <w:r w:rsidR="00AD304A">
        <w:rPr>
          <w:rFonts w:ascii="Times New Roman" w:hAnsi="Times New Roman"/>
          <w:sz w:val="16"/>
          <w:szCs w:val="20"/>
        </w:rPr>
        <w:t>štátneho rozpočtu</w:t>
      </w:r>
      <w:r w:rsidRPr="00512914">
        <w:rPr>
          <w:rFonts w:ascii="Times New Roman" w:hAnsi="Times New Roman"/>
          <w:sz w:val="16"/>
          <w:szCs w:val="20"/>
        </w:rPr>
        <w:t xml:space="preserve"> právne spory, ktorých výška zatiaľ nebola vyčíslená. </w:t>
      </w:r>
    </w:p>
    <w:p w:rsidR="00512914" w:rsidP="00512914">
      <w:pPr>
        <w:bidi w:val="0"/>
        <w:spacing w:after="0"/>
        <w:ind w:left="567" w:hanging="567"/>
        <w:jc w:val="both"/>
        <w:rPr>
          <w:rFonts w:ascii="Times New Roman" w:hAnsi="Times New Roman"/>
          <w:sz w:val="16"/>
          <w:szCs w:val="20"/>
        </w:rPr>
      </w:pPr>
    </w:p>
    <w:p w:rsidR="00936B7B" w:rsidRPr="00512914" w:rsidP="00512914">
      <w:pPr>
        <w:bidi w:val="0"/>
        <w:spacing w:after="0"/>
        <w:ind w:left="567" w:hanging="567"/>
        <w:jc w:val="both"/>
        <w:rPr>
          <w:rFonts w:ascii="Times New Roman" w:hAnsi="Times New Roman"/>
          <w:sz w:val="16"/>
          <w:szCs w:val="20"/>
        </w:rPr>
      </w:pPr>
    </w:p>
    <w:p w:rsidR="00863D60" w:rsidRPr="00512914" w:rsidP="00863D60">
      <w:pPr>
        <w:bidi w:val="0"/>
        <w:spacing w:after="0"/>
        <w:jc w:val="both"/>
        <w:rPr>
          <w:rFonts w:ascii="Times New Roman" w:hAnsi="Times New Roman"/>
          <w:sz w:val="16"/>
          <w:szCs w:val="20"/>
        </w:rPr>
      </w:pPr>
      <w:r w:rsidRPr="00512914">
        <w:rPr>
          <w:rFonts w:ascii="Times New Roman" w:hAnsi="Times New Roman"/>
          <w:sz w:val="16"/>
          <w:szCs w:val="20"/>
        </w:rPr>
        <w:t>Tab. 2</w:t>
        <w:tab/>
        <w:tab/>
        <w:tab/>
        <w:tab/>
        <w:tab/>
        <w:tab/>
        <w:tab/>
        <w:tab/>
      </w:r>
      <w:r w:rsidR="00936B7B">
        <w:rPr>
          <w:rFonts w:ascii="Times New Roman" w:hAnsi="Times New Roman"/>
          <w:sz w:val="16"/>
          <w:szCs w:val="20"/>
        </w:rPr>
        <w:t xml:space="preserve">   </w:t>
      </w:r>
      <w:r w:rsidRPr="00512914">
        <w:rPr>
          <w:rFonts w:ascii="Times New Roman" w:hAnsi="Times New Roman"/>
          <w:sz w:val="16"/>
          <w:szCs w:val="20"/>
        </w:rPr>
        <w:tab/>
        <w:tab/>
        <w:tab/>
      </w:r>
      <w:r w:rsidR="00936B7B">
        <w:rPr>
          <w:rFonts w:ascii="Times New Roman" w:hAnsi="Times New Roman"/>
          <w:sz w:val="16"/>
          <w:szCs w:val="20"/>
        </w:rPr>
        <w:t xml:space="preserve">             </w:t>
      </w:r>
      <w:r w:rsidRPr="00512914">
        <w:rPr>
          <w:rFonts w:ascii="Times New Roman" w:hAnsi="Times New Roman"/>
          <w:sz w:val="16"/>
          <w:szCs w:val="20"/>
        </w:rPr>
        <w:t>(v tis. eur)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29"/>
        <w:gridCol w:w="2094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4"/>
          <w:jc w:val="center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8069D2" w:rsidRPr="00512914" w:rsidP="00863D6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Subjekt verejnej správy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8069D2" w:rsidRPr="00512914" w:rsidP="00863D6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Podmienené záväzky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8069D2" w:rsidRPr="00512914" w:rsidP="00863D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 w:rsidR="00863D60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Hodnota k 31.</w:t>
            </w:r>
            <w:r w:rsid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 w:rsidR="00863D60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12.</w:t>
            </w:r>
            <w:r w:rsid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 w:rsidR="00863D60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2012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Ministerstvo financií SR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975658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Arbitráž s</w:t>
            </w:r>
            <w:r w:rsidRPr="00512914" w:rsidR="00975658">
              <w:rPr>
                <w:rFonts w:ascii="Times New Roman" w:hAnsi="Times New Roman"/>
                <w:sz w:val="16"/>
                <w:szCs w:val="20"/>
                <w:lang w:eastAsia="sk-SK"/>
              </w:rPr>
              <w:t> akcionármi ZP Union</w:t>
            </w: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B63A00">
              <w:rPr>
                <w:rFonts w:ascii="Times New Roman" w:hAnsi="Times New Roman"/>
                <w:sz w:val="16"/>
                <w:szCs w:val="20"/>
                <w:lang w:eastAsia="sk-SK"/>
              </w:rPr>
              <w:t>25 348,9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975658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Arbitráž s</w:t>
            </w:r>
            <w:r w:rsidRPr="00512914" w:rsidR="00975658">
              <w:rPr>
                <w:rFonts w:ascii="Times New Roman" w:hAnsi="Times New Roman"/>
                <w:sz w:val="16"/>
                <w:szCs w:val="20"/>
                <w:lang w:eastAsia="sk-SK"/>
              </w:rPr>
              <w:t> akcionármi bývalej ZP Apollo</w:t>
            </w: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131 400,0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267E1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267E1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Arbitráž s</w:t>
            </w:r>
            <w:r w:rsidRPr="00512914" w:rsidR="00975658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 akcionármi </w:t>
            </w: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U.S.</w:t>
            </w:r>
            <w:r w:rsidRPr="00512914" w:rsidR="00975658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Steel</w:t>
            </w:r>
            <w:r w:rsidRPr="00512914" w:rsidR="00975658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Košice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267E1" w:rsidRPr="00512914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257 439,0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Členstvo v EBOR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101 359,0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Členstvo v RB RE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16 853,0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B63A0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Členstvo v MBHS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2F6F" w:rsidRPr="00512914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15 401,7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420"/>
          <w:jc w:val="center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Fond národného majetku</w:t>
            </w:r>
            <w:r w:rsidR="00AD304A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SR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Ručenie vyplývajúce z § 15 ods.4 zákona č. 92/1991 Zb.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855 335,6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Právne spory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C316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56234A">
              <w:rPr>
                <w:rFonts w:ascii="Times New Roman" w:hAnsi="Times New Roman"/>
                <w:sz w:val="16"/>
                <w:szCs w:val="20"/>
                <w:lang w:eastAsia="sk-SK"/>
              </w:rPr>
              <w:t>505 974,7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Nevyrovnané reštitučné nároky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512914" w:rsidP="00C316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 w:rsidR="00C316A0">
              <w:rPr>
                <w:rFonts w:ascii="Times New Roman" w:hAnsi="Times New Roman"/>
                <w:sz w:val="16"/>
                <w:szCs w:val="20"/>
                <w:lang w:eastAsia="sk-SK"/>
              </w:rPr>
              <w:t>2</w:t>
            </w: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7,</w:t>
            </w:r>
            <w:r w:rsidRPr="00512914" w:rsidR="00C316A0">
              <w:rPr>
                <w:rFonts w:ascii="Times New Roman" w:hAnsi="Times New Roman"/>
                <w:sz w:val="16"/>
                <w:szCs w:val="20"/>
                <w:lang w:eastAsia="sk-SK"/>
              </w:rPr>
              <w:t>6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336E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Slovenský pozemkový fond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336E" w:rsidRPr="00512914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Právne spory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336E" w:rsidRPr="00512914" w:rsidP="00C316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sz w:val="16"/>
                <w:szCs w:val="20"/>
                <w:lang w:eastAsia="sk-SK"/>
              </w:rPr>
              <w:t>111 685,8</w:t>
            </w:r>
          </w:p>
        </w:tc>
      </w:tr>
    </w:tbl>
    <w:p w:rsidR="008069D2" w:rsidRPr="00512914" w:rsidP="00E721D6">
      <w:pPr>
        <w:bidi w:val="0"/>
        <w:spacing w:after="0" w:line="240" w:lineRule="auto"/>
        <w:rPr>
          <w:rFonts w:ascii="Times New Roman" w:hAnsi="Times New Roman"/>
          <w:sz w:val="16"/>
          <w:szCs w:val="20"/>
        </w:rPr>
      </w:pPr>
      <w:r w:rsidRPr="00512914">
        <w:rPr>
          <w:rFonts w:ascii="Times New Roman" w:hAnsi="Times New Roman"/>
          <w:sz w:val="16"/>
          <w:szCs w:val="20"/>
        </w:rPr>
        <w:t>Zdroj: MF SR</w:t>
      </w:r>
      <w:r w:rsidRPr="00512914" w:rsidR="004733CE">
        <w:rPr>
          <w:rFonts w:ascii="Times New Roman" w:hAnsi="Times New Roman"/>
          <w:sz w:val="16"/>
          <w:szCs w:val="20"/>
        </w:rPr>
        <w:t xml:space="preserve">, </w:t>
      </w:r>
      <w:r w:rsidRPr="00512914" w:rsidR="001708DA">
        <w:rPr>
          <w:rFonts w:ascii="Times New Roman" w:hAnsi="Times New Roman"/>
          <w:sz w:val="16"/>
          <w:szCs w:val="20"/>
        </w:rPr>
        <w:t>FNM SR</w:t>
      </w:r>
      <w:r w:rsidRPr="00512914" w:rsidR="00F0336E">
        <w:rPr>
          <w:rFonts w:ascii="Times New Roman" w:hAnsi="Times New Roman"/>
          <w:sz w:val="16"/>
          <w:szCs w:val="20"/>
        </w:rPr>
        <w:t>, SPF</w:t>
      </w:r>
    </w:p>
    <w:p w:rsidR="00E721D6" w:rsidRPr="0024687B" w:rsidP="00E721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566" w:rsidRPr="0024687B" w:rsidP="00D2656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87B">
        <w:rPr>
          <w:rFonts w:ascii="Times New Roman" w:hAnsi="Times New Roman"/>
          <w:sz w:val="24"/>
          <w:szCs w:val="24"/>
        </w:rPr>
        <w:t xml:space="preserve">V rámci verejnej správy vykazuje najvyššie podmienené záväzky Ministerstvo financií </w:t>
      </w:r>
      <w:r w:rsidR="00711985">
        <w:rPr>
          <w:rFonts w:ascii="Times New Roman" w:hAnsi="Times New Roman"/>
          <w:sz w:val="24"/>
          <w:szCs w:val="24"/>
        </w:rPr>
        <w:t xml:space="preserve">SR </w:t>
      </w:r>
      <w:r w:rsidRPr="0024687B">
        <w:rPr>
          <w:rFonts w:ascii="Times New Roman" w:hAnsi="Times New Roman"/>
          <w:sz w:val="24"/>
          <w:szCs w:val="24"/>
        </w:rPr>
        <w:t>z medzinárodných investičných arbitráží, ktoré vznikajú domnelým porušením bilaterálnych investičných dohôd uzatváraných medzi suverénnymi štátmi na podporu a ochranu investícií. Vo všetkých troch prípadoch je predmetom sporov náhrada škody za porušenie dohôd o podpore a ochrane investícií. V prípade </w:t>
      </w:r>
      <w:r w:rsidR="00966730">
        <w:rPr>
          <w:rFonts w:ascii="Times New Roman" w:hAnsi="Times New Roman"/>
          <w:sz w:val="24"/>
          <w:szCs w:val="24"/>
        </w:rPr>
        <w:t xml:space="preserve">sporu s akcionármi zdravotnej poisťovne Union </w:t>
      </w:r>
      <w:r w:rsidRPr="0024687B">
        <w:rPr>
          <w:rFonts w:ascii="Times New Roman" w:hAnsi="Times New Roman"/>
          <w:sz w:val="24"/>
          <w:szCs w:val="24"/>
        </w:rPr>
        <w:t xml:space="preserve">sa vzhľadom na posledné rozhodnutie </w:t>
      </w:r>
      <w:r w:rsidR="00966730">
        <w:rPr>
          <w:rFonts w:ascii="Times New Roman" w:hAnsi="Times New Roman"/>
          <w:sz w:val="24"/>
          <w:szCs w:val="24"/>
        </w:rPr>
        <w:t xml:space="preserve">arbitrážneho </w:t>
      </w:r>
      <w:r w:rsidRPr="0024687B">
        <w:rPr>
          <w:rFonts w:ascii="Times New Roman" w:hAnsi="Times New Roman"/>
          <w:sz w:val="24"/>
          <w:szCs w:val="24"/>
        </w:rPr>
        <w:t>súdu predpokladaná výška znížila oproti roku 2011 na 2</w:t>
      </w:r>
      <w:r w:rsidR="00AE682E">
        <w:rPr>
          <w:rFonts w:ascii="Times New Roman" w:hAnsi="Times New Roman"/>
          <w:sz w:val="24"/>
          <w:szCs w:val="24"/>
        </w:rPr>
        <w:t>5</w:t>
      </w:r>
      <w:r w:rsidRPr="0024687B">
        <w:rPr>
          <w:rFonts w:ascii="Times New Roman" w:hAnsi="Times New Roman"/>
          <w:sz w:val="24"/>
          <w:szCs w:val="24"/>
        </w:rPr>
        <w:t> </w:t>
      </w:r>
      <w:r w:rsidR="00AE682E">
        <w:rPr>
          <w:rFonts w:ascii="Times New Roman" w:hAnsi="Times New Roman"/>
          <w:sz w:val="24"/>
          <w:szCs w:val="24"/>
        </w:rPr>
        <w:t>348</w:t>
      </w:r>
      <w:r w:rsidRPr="0024687B">
        <w:rPr>
          <w:rFonts w:ascii="Times New Roman" w:hAnsi="Times New Roman"/>
          <w:sz w:val="24"/>
          <w:szCs w:val="24"/>
        </w:rPr>
        <w:t>,</w:t>
      </w:r>
      <w:r w:rsidR="00AE682E">
        <w:rPr>
          <w:rFonts w:ascii="Times New Roman" w:hAnsi="Times New Roman"/>
          <w:sz w:val="24"/>
          <w:szCs w:val="24"/>
        </w:rPr>
        <w:t>9</w:t>
      </w:r>
      <w:r w:rsidRPr="0024687B">
        <w:rPr>
          <w:rFonts w:ascii="Times New Roman" w:hAnsi="Times New Roman"/>
          <w:sz w:val="24"/>
          <w:szCs w:val="24"/>
        </w:rPr>
        <w:t xml:space="preserve"> tis. eur. Arbitráž s</w:t>
      </w:r>
      <w:r w:rsidR="00966730">
        <w:rPr>
          <w:rFonts w:ascii="Times New Roman" w:hAnsi="Times New Roman"/>
          <w:sz w:val="24"/>
          <w:szCs w:val="24"/>
        </w:rPr>
        <w:t xml:space="preserve"> akcionármi bývalej zdravotnej poisťovne Apollo </w:t>
      </w:r>
      <w:r w:rsidRPr="0024687B">
        <w:rPr>
          <w:rFonts w:ascii="Times New Roman" w:hAnsi="Times New Roman"/>
          <w:sz w:val="24"/>
          <w:szCs w:val="24"/>
        </w:rPr>
        <w:t>je nezmenená vo výške 131 400,0 tis. eur a nová arbitráž s</w:t>
      </w:r>
      <w:r w:rsidR="00966730">
        <w:rPr>
          <w:rFonts w:ascii="Times New Roman" w:hAnsi="Times New Roman"/>
          <w:sz w:val="24"/>
          <w:szCs w:val="24"/>
        </w:rPr>
        <w:t xml:space="preserve"> akcionármi </w:t>
      </w:r>
      <w:r w:rsidRPr="0024687B">
        <w:rPr>
          <w:rFonts w:ascii="Times New Roman" w:hAnsi="Times New Roman"/>
          <w:sz w:val="24"/>
          <w:szCs w:val="24"/>
        </w:rPr>
        <w:t>U.S. Steel Košice bola vyčíslená na 257 439,0 tis. eur. Dôvodom posledne menovanej arbitráže sú v roku 2007 regulátorom zavedené tarify, konkrétne tarifa za prevádzkovanie systému a tarifa za systémové služby, naviazané na koncovú spotrebu elektrickej energie.</w:t>
      </w:r>
    </w:p>
    <w:p w:rsidR="00E721D6" w:rsidRPr="0024687B" w:rsidP="00E721D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69D2" w:rsidRPr="0024687B" w:rsidP="008069D2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highlight w:val="red"/>
        </w:rPr>
      </w:pPr>
      <w:r w:rsidRPr="0024687B">
        <w:rPr>
          <w:rFonts w:ascii="Times New Roman" w:hAnsi="Times New Roman"/>
          <w:sz w:val="24"/>
          <w:szCs w:val="24"/>
        </w:rPr>
        <w:t xml:space="preserve">S členstvom </w:t>
      </w:r>
      <w:r w:rsidR="00AD304A">
        <w:rPr>
          <w:rFonts w:ascii="Times New Roman" w:hAnsi="Times New Roman"/>
          <w:sz w:val="24"/>
          <w:szCs w:val="24"/>
        </w:rPr>
        <w:t>Slovenskej republiky</w:t>
      </w:r>
      <w:r w:rsidRPr="0024687B">
        <w:rPr>
          <w:rFonts w:ascii="Times New Roman" w:hAnsi="Times New Roman"/>
          <w:sz w:val="24"/>
          <w:szCs w:val="24"/>
        </w:rPr>
        <w:t xml:space="preserve"> v</w:t>
      </w:r>
      <w:r w:rsidRPr="0024687B" w:rsidR="00D26566">
        <w:rPr>
          <w:rFonts w:ascii="Times New Roman" w:hAnsi="Times New Roman"/>
          <w:sz w:val="24"/>
          <w:szCs w:val="24"/>
        </w:rPr>
        <w:t> medzinárodných finančných inštitúciách</w:t>
      </w:r>
      <w:r w:rsidRPr="0024687B">
        <w:rPr>
          <w:rFonts w:ascii="Times New Roman" w:hAnsi="Times New Roman"/>
          <w:sz w:val="24"/>
          <w:szCs w:val="24"/>
        </w:rPr>
        <w:t xml:space="preserve"> je spojené plnenie záväzkov vyplývajúcich z účastí SR na kapitáli</w:t>
      </w:r>
      <w:r w:rsidRPr="0024687B" w:rsidR="00E721D6">
        <w:rPr>
          <w:rFonts w:ascii="Times New Roman" w:hAnsi="Times New Roman"/>
          <w:sz w:val="24"/>
          <w:szCs w:val="24"/>
        </w:rPr>
        <w:t>,</w:t>
      </w:r>
      <w:r w:rsidRPr="0024687B">
        <w:rPr>
          <w:rFonts w:ascii="Times New Roman" w:hAnsi="Times New Roman"/>
          <w:sz w:val="24"/>
          <w:szCs w:val="24"/>
        </w:rPr>
        <w:t xml:space="preserve"> tzv. kapitál splatný na požiadanie. Záväz</w:t>
      </w:r>
      <w:r w:rsidRPr="0024687B" w:rsidR="00D26566">
        <w:rPr>
          <w:rFonts w:ascii="Times New Roman" w:hAnsi="Times New Roman"/>
          <w:sz w:val="24"/>
          <w:szCs w:val="24"/>
        </w:rPr>
        <w:t>ky</w:t>
      </w:r>
      <w:r w:rsidRPr="0024687B">
        <w:rPr>
          <w:rFonts w:ascii="Times New Roman" w:hAnsi="Times New Roman"/>
          <w:sz w:val="24"/>
          <w:szCs w:val="24"/>
        </w:rPr>
        <w:t xml:space="preserve"> SR z účasti na kapitáli </w:t>
      </w:r>
      <w:r w:rsidRPr="0024687B" w:rsidR="00D26566">
        <w:rPr>
          <w:rFonts w:ascii="Times New Roman" w:hAnsi="Times New Roman"/>
          <w:sz w:val="24"/>
          <w:szCs w:val="24"/>
        </w:rPr>
        <w:t>sa oproti roku 2011 zvýšili z dôvodu účasti v Medzinárodnej banke pre hospodársku spoluprácu.</w:t>
      </w:r>
    </w:p>
    <w:p w:rsidR="00E721D6" w:rsidRPr="0024687B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87B" w:rsidR="008069D2">
        <w:rPr>
          <w:rFonts w:ascii="Times New Roman" w:hAnsi="Times New Roman"/>
          <w:sz w:val="24"/>
          <w:szCs w:val="24"/>
        </w:rPr>
        <w:t xml:space="preserve">Fond národného majetku </w:t>
      </w:r>
      <w:r w:rsidR="00AD304A">
        <w:rPr>
          <w:rFonts w:ascii="Times New Roman" w:hAnsi="Times New Roman"/>
          <w:sz w:val="24"/>
          <w:szCs w:val="24"/>
        </w:rPr>
        <w:t xml:space="preserve">SR </w:t>
      </w:r>
      <w:r w:rsidRPr="0024687B" w:rsidR="008069D2">
        <w:rPr>
          <w:rFonts w:ascii="Times New Roman" w:hAnsi="Times New Roman"/>
          <w:sz w:val="24"/>
          <w:szCs w:val="24"/>
        </w:rPr>
        <w:t xml:space="preserve">eviduje najväčší objem podmienených záväzkov z ručenia za splnenie záväzkov </w:t>
      </w:r>
      <w:r w:rsidRPr="0024687B" w:rsidR="00A12F6F">
        <w:rPr>
          <w:rFonts w:ascii="Times New Roman" w:hAnsi="Times New Roman"/>
          <w:sz w:val="24"/>
          <w:szCs w:val="24"/>
        </w:rPr>
        <w:t xml:space="preserve">vyplývajúcich z privatizačných zmlúv. </w:t>
      </w:r>
      <w:r w:rsidRPr="0024687B" w:rsidR="008069D2">
        <w:rPr>
          <w:rFonts w:ascii="Times New Roman" w:hAnsi="Times New Roman"/>
          <w:sz w:val="24"/>
          <w:szCs w:val="24"/>
        </w:rPr>
        <w:t xml:space="preserve">Ďalej sú to </w:t>
      </w:r>
      <w:r w:rsidRPr="0024687B" w:rsidR="00A12F6F">
        <w:rPr>
          <w:rFonts w:ascii="Times New Roman" w:hAnsi="Times New Roman"/>
          <w:sz w:val="24"/>
          <w:szCs w:val="24"/>
        </w:rPr>
        <w:t>právne</w:t>
      </w:r>
      <w:r w:rsidRPr="0024687B" w:rsidR="008069D2">
        <w:rPr>
          <w:rFonts w:ascii="Times New Roman" w:hAnsi="Times New Roman"/>
          <w:sz w:val="24"/>
          <w:szCs w:val="24"/>
        </w:rPr>
        <w:t xml:space="preserve"> spory voči finančným inštitúciám, súdne spory súvisiace s privatizovaným majetkom (žaloba o náhradu škody, exekučné konanie, náhrada škody z odstúpenia od zmluvy a iné).</w:t>
      </w:r>
    </w:p>
    <w:p w:rsidR="008069D2" w:rsidRPr="0024687B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87B">
        <w:rPr>
          <w:rFonts w:ascii="Times New Roman" w:hAnsi="Times New Roman"/>
          <w:sz w:val="24"/>
          <w:szCs w:val="24"/>
        </w:rPr>
        <w:t xml:space="preserve">      </w:t>
      </w:r>
    </w:p>
    <w:p w:rsidR="00E721D6" w:rsidRPr="0024687B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1708DA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C1" w:rsidRPr="00880AC1">
    <w:pPr>
      <w:pStyle w:val="Footer"/>
      <w:bidi w:val="0"/>
      <w:jc w:val="center"/>
      <w:rPr>
        <w:rFonts w:ascii="Times New Roman" w:hAnsi="Times New Roman"/>
        <w:sz w:val="24"/>
      </w:rPr>
    </w:pPr>
    <w:r w:rsidRPr="00880AC1">
      <w:rPr>
        <w:rFonts w:ascii="Times New Roman" w:hAnsi="Times New Roman"/>
        <w:sz w:val="24"/>
      </w:rPr>
      <w:fldChar w:fldCharType="begin"/>
    </w:r>
    <w:r w:rsidRPr="00880AC1">
      <w:rPr>
        <w:rFonts w:ascii="Times New Roman" w:hAnsi="Times New Roman"/>
        <w:sz w:val="24"/>
      </w:rPr>
      <w:instrText>PAGE   \* MERGEFORMAT</w:instrText>
    </w:r>
    <w:r w:rsidRPr="00880AC1">
      <w:rPr>
        <w:rFonts w:ascii="Times New Roman" w:hAnsi="Times New Roman"/>
        <w:sz w:val="24"/>
      </w:rPr>
      <w:fldChar w:fldCharType="separate"/>
    </w:r>
    <w:r w:rsidR="00AE682E">
      <w:rPr>
        <w:rFonts w:ascii="Times New Roman" w:hAnsi="Times New Roman"/>
        <w:noProof/>
        <w:sz w:val="24"/>
      </w:rPr>
      <w:t>3</w:t>
    </w:r>
    <w:r w:rsidRPr="00880AC1">
      <w:rPr>
        <w:rFonts w:ascii="Times New Roman" w:hAnsi="Times New Roman"/>
        <w:sz w:val="24"/>
      </w:rPr>
      <w:fldChar w:fldCharType="end"/>
    </w:r>
  </w:p>
  <w:p w:rsidR="00880AC1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BB6" w:rsidP="00391DED">
      <w:pPr>
        <w:bidi w:val="0"/>
        <w:spacing w:after="0" w:line="240" w:lineRule="auto"/>
      </w:pPr>
      <w:r>
        <w:separator/>
      </w:r>
    </w:p>
  </w:footnote>
  <w:footnote w:type="continuationSeparator" w:id="1">
    <w:p w:rsidR="00E82BB6" w:rsidP="00391DED">
      <w:pPr>
        <w:bidi w:val="0"/>
        <w:spacing w:after="0" w:line="240" w:lineRule="auto"/>
      </w:pPr>
      <w:r>
        <w:continuationSeparator/>
      </w:r>
    </w:p>
  </w:footnote>
  <w:footnote w:id="2">
    <w:p w:rsidP="008069D2">
      <w:pPr>
        <w:pStyle w:val="FootnoteText"/>
        <w:bidi w:val="0"/>
        <w:jc w:val="both"/>
      </w:pPr>
      <w:r w:rsidRPr="00E721D6" w:rsidR="008069D2">
        <w:rPr>
          <w:rStyle w:val="FootnoteReference"/>
          <w:rFonts w:ascii="Times New Roman" w:hAnsi="Times New Roman"/>
          <w:sz w:val="18"/>
        </w:rPr>
        <w:footnoteRef/>
      </w:r>
      <w:r w:rsidRPr="00E721D6" w:rsidR="008069D2">
        <w:rPr>
          <w:rFonts w:ascii="Times New Roman" w:hAnsi="Times New Roman"/>
          <w:sz w:val="18"/>
        </w:rPr>
        <w:t xml:space="preserve"> Zákon č. 431/2002 Z.</w:t>
      </w:r>
      <w:r w:rsidRPr="00E721D6" w:rsidR="00E721D6">
        <w:rPr>
          <w:rFonts w:ascii="Times New Roman" w:hAnsi="Times New Roman"/>
          <w:sz w:val="18"/>
        </w:rPr>
        <w:t xml:space="preserve"> </w:t>
      </w:r>
      <w:r w:rsidRPr="00E721D6" w:rsidR="008069D2">
        <w:rPr>
          <w:rFonts w:ascii="Times New Roman" w:hAnsi="Times New Roman"/>
          <w:sz w:val="18"/>
        </w:rPr>
        <w:t xml:space="preserve">z. o účtovníctve v 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745A"/>
    <w:multiLevelType w:val="hybridMultilevel"/>
    <w:tmpl w:val="C242192E"/>
    <w:lvl w:ilvl="0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5A855740"/>
    <w:multiLevelType w:val="hybridMultilevel"/>
    <w:tmpl w:val="56AC5B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6D8A0709"/>
    <w:multiLevelType w:val="hybridMultilevel"/>
    <w:tmpl w:val="06A690D0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">
    <w:nsid w:val="7F6F17C4"/>
    <w:multiLevelType w:val="hybridMultilevel"/>
    <w:tmpl w:val="A656DF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1E1139"/>
    <w:rsid w:val="00002AD5"/>
    <w:rsid w:val="000309B2"/>
    <w:rsid w:val="000436B6"/>
    <w:rsid w:val="00043703"/>
    <w:rsid w:val="0005625D"/>
    <w:rsid w:val="000575ED"/>
    <w:rsid w:val="00085A32"/>
    <w:rsid w:val="000A69A1"/>
    <w:rsid w:val="001224BC"/>
    <w:rsid w:val="001267CD"/>
    <w:rsid w:val="00157638"/>
    <w:rsid w:val="00162C57"/>
    <w:rsid w:val="00163AC3"/>
    <w:rsid w:val="001708DA"/>
    <w:rsid w:val="001E1139"/>
    <w:rsid w:val="002019CC"/>
    <w:rsid w:val="002126E0"/>
    <w:rsid w:val="0022368E"/>
    <w:rsid w:val="002450CB"/>
    <w:rsid w:val="0024687B"/>
    <w:rsid w:val="002541B8"/>
    <w:rsid w:val="00255FE8"/>
    <w:rsid w:val="00273391"/>
    <w:rsid w:val="002A5CE9"/>
    <w:rsid w:val="002B086B"/>
    <w:rsid w:val="002C4DA2"/>
    <w:rsid w:val="002D46EA"/>
    <w:rsid w:val="002D6F94"/>
    <w:rsid w:val="003044C2"/>
    <w:rsid w:val="00315347"/>
    <w:rsid w:val="00323E9F"/>
    <w:rsid w:val="003266D8"/>
    <w:rsid w:val="003267E1"/>
    <w:rsid w:val="00335690"/>
    <w:rsid w:val="00351D47"/>
    <w:rsid w:val="00357403"/>
    <w:rsid w:val="00391DED"/>
    <w:rsid w:val="003A5F88"/>
    <w:rsid w:val="003C00D0"/>
    <w:rsid w:val="003E031B"/>
    <w:rsid w:val="003F5038"/>
    <w:rsid w:val="00406285"/>
    <w:rsid w:val="00420176"/>
    <w:rsid w:val="00436449"/>
    <w:rsid w:val="00440D50"/>
    <w:rsid w:val="00463061"/>
    <w:rsid w:val="004733CE"/>
    <w:rsid w:val="00476102"/>
    <w:rsid w:val="0048764B"/>
    <w:rsid w:val="004B1C8E"/>
    <w:rsid w:val="004B1FD8"/>
    <w:rsid w:val="004C46FC"/>
    <w:rsid w:val="004D2AFD"/>
    <w:rsid w:val="004E61DC"/>
    <w:rsid w:val="004F1924"/>
    <w:rsid w:val="00512914"/>
    <w:rsid w:val="0056234A"/>
    <w:rsid w:val="0058719F"/>
    <w:rsid w:val="005D62CA"/>
    <w:rsid w:val="005F47A0"/>
    <w:rsid w:val="00605477"/>
    <w:rsid w:val="00617CAA"/>
    <w:rsid w:val="006409FC"/>
    <w:rsid w:val="006641C0"/>
    <w:rsid w:val="006B00D5"/>
    <w:rsid w:val="006B59C4"/>
    <w:rsid w:val="006E7710"/>
    <w:rsid w:val="00711985"/>
    <w:rsid w:val="007208EB"/>
    <w:rsid w:val="00733F2B"/>
    <w:rsid w:val="0074611D"/>
    <w:rsid w:val="00753544"/>
    <w:rsid w:val="00761CE5"/>
    <w:rsid w:val="00770653"/>
    <w:rsid w:val="0077179B"/>
    <w:rsid w:val="00785021"/>
    <w:rsid w:val="007A0905"/>
    <w:rsid w:val="007A49E8"/>
    <w:rsid w:val="007B36C2"/>
    <w:rsid w:val="008069D2"/>
    <w:rsid w:val="008120E1"/>
    <w:rsid w:val="00834ED5"/>
    <w:rsid w:val="00835A9F"/>
    <w:rsid w:val="008632ED"/>
    <w:rsid w:val="00863D60"/>
    <w:rsid w:val="00875880"/>
    <w:rsid w:val="008777A8"/>
    <w:rsid w:val="00880AC1"/>
    <w:rsid w:val="00891922"/>
    <w:rsid w:val="00895AEB"/>
    <w:rsid w:val="00896F9C"/>
    <w:rsid w:val="008C09C3"/>
    <w:rsid w:val="008E33A5"/>
    <w:rsid w:val="009056FB"/>
    <w:rsid w:val="00914778"/>
    <w:rsid w:val="009176E5"/>
    <w:rsid w:val="00923A0E"/>
    <w:rsid w:val="00925449"/>
    <w:rsid w:val="00933994"/>
    <w:rsid w:val="00936B7B"/>
    <w:rsid w:val="00943C61"/>
    <w:rsid w:val="00966730"/>
    <w:rsid w:val="00975658"/>
    <w:rsid w:val="009C1E11"/>
    <w:rsid w:val="009C2705"/>
    <w:rsid w:val="009C4F4C"/>
    <w:rsid w:val="009D4A81"/>
    <w:rsid w:val="009F1944"/>
    <w:rsid w:val="009F7812"/>
    <w:rsid w:val="00A12F6F"/>
    <w:rsid w:val="00A442BA"/>
    <w:rsid w:val="00A8025E"/>
    <w:rsid w:val="00A908AA"/>
    <w:rsid w:val="00AA19FF"/>
    <w:rsid w:val="00AA373B"/>
    <w:rsid w:val="00AD304A"/>
    <w:rsid w:val="00AE682E"/>
    <w:rsid w:val="00AF0FCD"/>
    <w:rsid w:val="00AF12A2"/>
    <w:rsid w:val="00B32E22"/>
    <w:rsid w:val="00B35BAF"/>
    <w:rsid w:val="00B63A00"/>
    <w:rsid w:val="00B826CB"/>
    <w:rsid w:val="00B90B01"/>
    <w:rsid w:val="00BB21CF"/>
    <w:rsid w:val="00BB4A12"/>
    <w:rsid w:val="00BE0E03"/>
    <w:rsid w:val="00BF28DC"/>
    <w:rsid w:val="00C03544"/>
    <w:rsid w:val="00C215F6"/>
    <w:rsid w:val="00C316A0"/>
    <w:rsid w:val="00C402EA"/>
    <w:rsid w:val="00CD5773"/>
    <w:rsid w:val="00D12112"/>
    <w:rsid w:val="00D26566"/>
    <w:rsid w:val="00D3362A"/>
    <w:rsid w:val="00D62962"/>
    <w:rsid w:val="00D8522D"/>
    <w:rsid w:val="00DC4A1A"/>
    <w:rsid w:val="00DD788A"/>
    <w:rsid w:val="00DE56F4"/>
    <w:rsid w:val="00E42134"/>
    <w:rsid w:val="00E65429"/>
    <w:rsid w:val="00E721D6"/>
    <w:rsid w:val="00E72FC7"/>
    <w:rsid w:val="00E77CB4"/>
    <w:rsid w:val="00E82BB6"/>
    <w:rsid w:val="00E851EC"/>
    <w:rsid w:val="00E85D4F"/>
    <w:rsid w:val="00EA183F"/>
    <w:rsid w:val="00EE2D15"/>
    <w:rsid w:val="00EE62F0"/>
    <w:rsid w:val="00F0336E"/>
    <w:rsid w:val="00F22E30"/>
    <w:rsid w:val="00F45E63"/>
    <w:rsid w:val="00F73493"/>
    <w:rsid w:val="00F75382"/>
    <w:rsid w:val="00F8162A"/>
    <w:rsid w:val="00FB7C56"/>
    <w:rsid w:val="00FC473D"/>
    <w:rsid w:val="00FF42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E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91DED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91DED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1DED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F781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F781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F7812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F781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F7812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781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7812"/>
    <w:rPr>
      <w:rFonts w:ascii="Tahoma" w:hAnsi="Tahoma" w:cs="Times New Roman"/>
      <w:sz w:val="16"/>
      <w:rtl w:val="0"/>
      <w:cs w:val="0"/>
      <w:lang w:val="x-none" w:eastAsia="en-US"/>
    </w:rPr>
  </w:style>
  <w:style w:type="paragraph" w:customStyle="1" w:styleId="Zarkazkladnhotextu1">
    <w:name w:val="Zarážka základného textu1"/>
    <w:basedOn w:val="Normal"/>
    <w:link w:val="BodyTextIndentChar"/>
    <w:rsid w:val="00B32E22"/>
    <w:pPr>
      <w:spacing w:after="120" w:line="240" w:lineRule="auto"/>
      <w:ind w:left="283"/>
      <w:jc w:val="left"/>
    </w:pPr>
    <w:rPr>
      <w:rFonts w:ascii="Courier" w:hAnsi="Courier" w:cs="Courier"/>
      <w:sz w:val="24"/>
      <w:szCs w:val="24"/>
      <w:lang w:eastAsia="cs-CZ"/>
    </w:rPr>
  </w:style>
  <w:style w:type="character" w:customStyle="1" w:styleId="BodyTextIndentChar">
    <w:name w:val="Body Text Indent Char"/>
    <w:link w:val="Zarkazkladnhotextu1"/>
    <w:locked/>
    <w:rsid w:val="00B32E22"/>
    <w:rPr>
      <w:rFonts w:ascii="Courier" w:hAnsi="Courier" w:cs="Courier"/>
      <w:sz w:val="24"/>
      <w:lang w:val="x-none" w:eastAsia="cs-CZ"/>
    </w:rPr>
  </w:style>
  <w:style w:type="paragraph" w:styleId="Header">
    <w:name w:val="header"/>
    <w:basedOn w:val="Normal"/>
    <w:link w:val="HlavikaChar"/>
    <w:uiPriority w:val="99"/>
    <w:unhideWhenUsed/>
    <w:rsid w:val="00880AC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80AC1"/>
    <w:rPr>
      <w:rFonts w:cs="Times New Roman"/>
      <w:sz w:val="36"/>
      <w:szCs w:val="36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880AC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80AC1"/>
    <w:rPr>
      <w:rFonts w:cs="Times New Roman"/>
      <w:sz w:val="36"/>
      <w:szCs w:val="3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D761-9496-42B9-AEAC-1ED97758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734</Words>
  <Characters>4189</Characters>
  <Application>Microsoft Office Word</Application>
  <DocSecurity>0</DocSecurity>
  <Lines>0</Lines>
  <Paragraphs>0</Paragraphs>
  <ScaleCrop>false</ScaleCrop>
  <Company>mfsr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pivanek</dc:creator>
  <cp:lastModifiedBy>mmichlo</cp:lastModifiedBy>
  <cp:revision>9</cp:revision>
  <cp:lastPrinted>2013-08-05T12:26:00Z</cp:lastPrinted>
  <dcterms:created xsi:type="dcterms:W3CDTF">2013-07-30T14:42:00Z</dcterms:created>
  <dcterms:modified xsi:type="dcterms:W3CDTF">2013-08-14T11:37:00Z</dcterms:modified>
</cp:coreProperties>
</file>