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9124B6">
        <w:t>1459</w:t>
      </w:r>
      <w:r w:rsidR="003D6EDC">
        <w:t>/</w:t>
      </w:r>
      <w:r w:rsidR="009F1034">
        <w:t>20</w:t>
      </w:r>
      <w:r w:rsidR="00CD2A22">
        <w:t>1</w:t>
      </w:r>
      <w:r w:rsidR="000734C1">
        <w:t>3</w:t>
      </w:r>
      <w:r>
        <w:tab/>
        <w:tab/>
        <w:tab/>
        <w:tab/>
      </w:r>
    </w:p>
    <w:p w:rsidR="00233A93"/>
    <w:p w:rsidR="00D57D3E"/>
    <w:p w:rsidR="00233A93" w:rsidP="0085353E">
      <w:pPr>
        <w:jc w:val="center"/>
        <w:rPr>
          <w:b/>
          <w:bCs/>
          <w:sz w:val="28"/>
        </w:rPr>
      </w:pPr>
      <w:r w:rsidR="009124B6">
        <w:rPr>
          <w:b/>
          <w:bCs/>
          <w:sz w:val="28"/>
        </w:rPr>
        <w:t>609</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9124B6" w:rsidR="009124B6">
        <w:rPr>
          <w:b/>
        </w:rPr>
        <w:t>vládneho návrhu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r w:rsidR="009124B6">
        <w:rPr>
          <w:b/>
        </w:rPr>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rsidP="00294D26">
      <w:pPr>
        <w:rPr>
          <w:b/>
        </w:rPr>
      </w:pPr>
    </w:p>
    <w:p w:rsidR="00233A93" w:rsidP="00294D26">
      <w:pPr>
        <w:jc w:val="both"/>
      </w:pPr>
      <w:r>
        <w:t>Výbor Národnej rady Slov</w:t>
      </w:r>
      <w:r>
        <w:t>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rsidP="00294D26">
      <w:pPr>
        <w:jc w:val="both"/>
      </w:pPr>
      <w:r w:rsidR="00233A93">
        <w:tab/>
        <w:tab/>
        <w:tab/>
        <w:tab/>
        <w:tab/>
      </w:r>
    </w:p>
    <w:p w:rsidR="008346BC" w:rsidP="00294D26">
      <w:pPr>
        <w:jc w:val="both"/>
      </w:pPr>
    </w:p>
    <w:p w:rsidR="00233A93" w:rsidP="00294D26">
      <w:pPr>
        <w:jc w:val="center"/>
        <w:rPr>
          <w:b/>
          <w:bCs/>
        </w:rPr>
      </w:pPr>
      <w:r>
        <w:rPr>
          <w:b/>
          <w:bCs/>
        </w:rPr>
        <w:t>I.</w:t>
      </w:r>
    </w:p>
    <w:p w:rsidR="00233A93" w:rsidP="00294D26">
      <w:pPr>
        <w:jc w:val="center"/>
        <w:rPr>
          <w:b/>
          <w:bCs/>
        </w:rPr>
      </w:pPr>
    </w:p>
    <w:p w:rsidR="00233A93" w:rsidRPr="00C742A8" w:rsidP="00294D26">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9124B6">
        <w:t xml:space="preserve"> 729</w:t>
      </w:r>
      <w:r w:rsidR="00C23D38">
        <w:t xml:space="preserve"> </w:t>
      </w:r>
      <w:r w:rsidRPr="0091798A">
        <w:t>z</w:t>
      </w:r>
      <w:r w:rsidRPr="0091798A" w:rsidR="00893F40">
        <w:t xml:space="preserve"> </w:t>
      </w:r>
      <w:r w:rsidR="000734C1">
        <w:t>3</w:t>
      </w:r>
      <w:r w:rsidRPr="0091798A">
        <w:t xml:space="preserve">. </w:t>
      </w:r>
      <w:r w:rsidR="009124B6">
        <w:t>septembra</w:t>
      </w:r>
      <w:r w:rsidR="00CD2A22">
        <w:t xml:space="preserve"> </w:t>
      </w:r>
      <w:r w:rsidRPr="0091798A">
        <w:t>20</w:t>
      </w:r>
      <w:r w:rsidR="00CD2A22">
        <w:t>1</w:t>
      </w:r>
      <w:r w:rsidR="000734C1">
        <w:t>3</w:t>
      </w:r>
      <w:r w:rsidRPr="0091798A" w:rsidR="009F77AE">
        <w:t xml:space="preserve"> </w:t>
      </w:r>
      <w:r w:rsidRPr="0091798A">
        <w:t>pridelila</w:t>
      </w:r>
      <w:r w:rsidRPr="00353558" w:rsidR="00353558">
        <w:rPr>
          <w:b/>
        </w:rPr>
        <w:t xml:space="preserve"> </w:t>
      </w:r>
      <w:r w:rsidRPr="009124B6" w:rsidR="009124B6">
        <w:t>vládn</w:t>
      </w:r>
      <w:r w:rsidR="009124B6">
        <w:t>y</w:t>
      </w:r>
      <w:r w:rsidRPr="009124B6" w:rsidR="009124B6">
        <w:t xml:space="preserve">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r w:rsidR="009124B6">
        <w:t xml:space="preserve"> </w:t>
      </w:r>
      <w:r w:rsidRPr="00DF21AE">
        <w:t>týmto výborom Národnej rady Slovenskej republiky</w:t>
      </w:r>
      <w:r w:rsidRPr="00DF21AE" w:rsidR="00184003">
        <w:t xml:space="preserve"> </w:t>
      </w:r>
      <w:r w:rsidRPr="00DF21AE">
        <w:t>:</w:t>
      </w:r>
    </w:p>
    <w:p w:rsidR="0017621D" w:rsidP="00294D26">
      <w:pPr>
        <w:pStyle w:val="BodyText2"/>
        <w:jc w:val="left"/>
      </w:pPr>
    </w:p>
    <w:p w:rsidR="008346BC" w:rsidP="00294D26">
      <w:pPr>
        <w:pStyle w:val="BodyText2"/>
        <w:jc w:val="left"/>
      </w:pPr>
    </w:p>
    <w:p w:rsidR="00233A93" w:rsidP="00294D26">
      <w:pPr>
        <w:pStyle w:val="BodyText2"/>
        <w:numPr>
          <w:ilvl w:val="0"/>
          <w:numId w:val="1"/>
        </w:numPr>
      </w:pPr>
      <w:r>
        <w:t>Výboru Národnej rady Slovenskej republiky pre financie</w:t>
      </w:r>
      <w:r w:rsidR="00452CA8">
        <w:t xml:space="preserve"> a</w:t>
      </w:r>
      <w:r w:rsidR="009E38EE">
        <w:t> </w:t>
      </w:r>
      <w:r>
        <w:t>rozpočet</w:t>
      </w:r>
      <w:r w:rsidR="009E38EE">
        <w:t>,</w:t>
      </w:r>
      <w:r>
        <w:t xml:space="preserve"> </w:t>
      </w:r>
    </w:p>
    <w:p w:rsidR="00233A93" w:rsidP="00294D26">
      <w:pPr>
        <w:pStyle w:val="BodyText2"/>
        <w:numPr>
          <w:ilvl w:val="0"/>
          <w:numId w:val="1"/>
        </w:numPr>
      </w:pPr>
      <w:r>
        <w:t>Ústavnoprávnemu výboru Národnej rady Slovenskej republiky</w:t>
      </w:r>
      <w:r w:rsidR="009E38EE">
        <w:t>,</w:t>
      </w:r>
    </w:p>
    <w:p w:rsidR="00D35084" w:rsidP="00294D26">
      <w:pPr>
        <w:pStyle w:val="BodyText2"/>
        <w:numPr>
          <w:ilvl w:val="0"/>
          <w:numId w:val="1"/>
        </w:numPr>
      </w:pPr>
      <w:r>
        <w:t>Výboru Národnej rady Slovens</w:t>
      </w:r>
      <w:r>
        <w:t xml:space="preserve">kej republiky pre </w:t>
      </w:r>
      <w:r w:rsidR="00122BBB">
        <w:t>hospodárske záležitosti</w:t>
      </w:r>
      <w:r w:rsidR="009E38EE">
        <w:t>.</w:t>
      </w:r>
    </w:p>
    <w:p w:rsidR="0063094F" w:rsidP="00294D26">
      <w:pPr>
        <w:pStyle w:val="BodyText2"/>
        <w:ind w:left="705"/>
      </w:pPr>
    </w:p>
    <w:p w:rsidR="008346BC" w:rsidP="00294D26">
      <w:pPr>
        <w:pStyle w:val="BodyText2"/>
        <w:ind w:left="705"/>
      </w:pPr>
    </w:p>
    <w:p w:rsidR="00233A93" w:rsidP="00294D26">
      <w:pPr>
        <w:pStyle w:val="BodyText2"/>
        <w:jc w:val="center"/>
        <w:rPr>
          <w:b/>
        </w:rPr>
      </w:pPr>
      <w:r>
        <w:rPr>
          <w:b/>
        </w:rPr>
        <w:t>II.</w:t>
      </w:r>
    </w:p>
    <w:p w:rsidR="00233A93" w:rsidP="00294D26">
      <w:pPr>
        <w:pStyle w:val="BodyText2"/>
        <w:jc w:val="center"/>
        <w:rPr>
          <w:b/>
          <w:sz w:val="28"/>
        </w:rPr>
      </w:pPr>
    </w:p>
    <w:p w:rsidR="00233A93" w:rsidP="00294D26">
      <w:pPr>
        <w:tabs>
          <w:tab w:val="left" w:pos="5040"/>
        </w:tabs>
        <w:jc w:val="both"/>
      </w:pPr>
      <w:r>
        <w:t>Gestorský výbor nedostal do začatia rokovania</w:t>
      </w:r>
      <w:r w:rsidR="00AF0941">
        <w:t xml:space="preserve"> o</w:t>
      </w:r>
      <w:r w:rsidRPr="00B057C9" w:rsidR="00B057C9">
        <w:t xml:space="preserve"> </w:t>
      </w:r>
      <w:r w:rsidRPr="009124B6" w:rsidR="009124B6">
        <w:t>vládn</w:t>
      </w:r>
      <w:r w:rsidR="009124B6">
        <w:t>om</w:t>
      </w:r>
      <w:r w:rsidRPr="009124B6" w:rsidR="009124B6">
        <w:t xml:space="preserve"> návrh</w:t>
      </w:r>
      <w:r w:rsidR="009124B6">
        <w:t>u</w:t>
      </w:r>
      <w:r w:rsidRPr="009124B6" w:rsidR="009124B6">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r w:rsidR="009124B6">
        <w:t xml:space="preserve"> </w:t>
      </w:r>
      <w:r>
        <w:t>stanoviská  poslancov Národnej rady Slovenskej republiky podané v súlade s § 75 ods. 2 zákona NR SR č. 350/1996 Z. z. o rokovacom poriadku Národnej rady Slovenskej republiky v znení neskorších predpisov.</w:t>
      </w:r>
    </w:p>
    <w:p w:rsidR="00353558" w:rsidP="00294D26">
      <w:pPr>
        <w:jc w:val="both"/>
      </w:pPr>
    </w:p>
    <w:p w:rsidR="00C23D38" w:rsidP="00294D26">
      <w:pPr>
        <w:jc w:val="both"/>
      </w:pPr>
    </w:p>
    <w:p w:rsidR="00D35084" w:rsidP="00294D26">
      <w:pPr>
        <w:jc w:val="both"/>
      </w:pPr>
    </w:p>
    <w:p w:rsidR="00D35084" w:rsidP="00294D26">
      <w:pPr>
        <w:jc w:val="both"/>
      </w:pPr>
    </w:p>
    <w:p w:rsidR="00D35084" w:rsidP="00294D26">
      <w:pPr>
        <w:jc w:val="both"/>
      </w:pPr>
    </w:p>
    <w:p w:rsidR="00233A93" w:rsidP="00294D26">
      <w:pPr>
        <w:pStyle w:val="BodyText2"/>
        <w:ind w:firstLine="3"/>
        <w:jc w:val="center"/>
        <w:rPr>
          <w:b/>
        </w:rPr>
      </w:pPr>
      <w:r>
        <w:rPr>
          <w:b/>
        </w:rPr>
        <w:t>III.</w:t>
      </w:r>
    </w:p>
    <w:p w:rsidR="00501B42" w:rsidP="00294D26">
      <w:pPr>
        <w:pStyle w:val="BodyText2"/>
        <w:ind w:left="705"/>
        <w:jc w:val="center"/>
        <w:rPr>
          <w:b/>
        </w:rPr>
      </w:pPr>
    </w:p>
    <w:p w:rsidR="00233A93" w:rsidP="00294D26">
      <w:pPr>
        <w:pStyle w:val="BodyText2"/>
        <w:ind w:firstLine="720"/>
      </w:pPr>
      <w:r>
        <w:t xml:space="preserve">K predmetnému </w:t>
      </w:r>
      <w:r w:rsidR="00EF184C">
        <w:t xml:space="preserve">vládnemu </w:t>
      </w:r>
      <w:r>
        <w:t>návrhu zákona zaujali výbory Národnej rady Slovenskej republiky tieto stanoviská:</w:t>
      </w:r>
    </w:p>
    <w:p w:rsidR="00E24C65" w:rsidP="00294D26">
      <w:pPr>
        <w:pStyle w:val="BodyText2"/>
        <w:ind w:firstLine="720"/>
      </w:pPr>
    </w:p>
    <w:p w:rsidR="00301D8C" w:rsidP="00294D26">
      <w:pPr>
        <w:pStyle w:val="BodyText2"/>
        <w:numPr>
          <w:ilvl w:val="0"/>
          <w:numId w:val="3"/>
        </w:numPr>
        <w:rPr>
          <w:b/>
          <w:bCs/>
        </w:rPr>
      </w:pPr>
      <w:r>
        <w:t>Odporúčanie pr</w:t>
      </w:r>
      <w:r>
        <w:t xml:space="preserve">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294D26">
      <w:pPr>
        <w:pStyle w:val="BodyText2"/>
        <w:ind w:left="720"/>
        <w:rPr>
          <w:b/>
          <w:bCs/>
        </w:rPr>
      </w:pPr>
    </w:p>
    <w:p w:rsidR="0085353E" w:rsidP="00294D26">
      <w:pPr>
        <w:pStyle w:val="BodyText2"/>
        <w:numPr>
          <w:ilvl w:val="0"/>
          <w:numId w:val="1"/>
        </w:numPr>
      </w:pPr>
      <w:r>
        <w:t xml:space="preserve">Výbor Národnej rady Slovenskej republiky pre financie a rozpočet (uzn. č. </w:t>
      </w:r>
      <w:r w:rsidR="00BF6BF2">
        <w:t>215</w:t>
      </w:r>
      <w:r>
        <w:t xml:space="preserve"> zo dňa </w:t>
      </w:r>
      <w:r w:rsidR="009124B6">
        <w:t>8</w:t>
      </w:r>
      <w:r>
        <w:t xml:space="preserve">. </w:t>
      </w:r>
      <w:r w:rsidR="009124B6">
        <w:t xml:space="preserve">októbra </w:t>
      </w:r>
      <w:r w:rsidR="00C23D38">
        <w:t>201</w:t>
      </w:r>
      <w:r w:rsidR="000734C1">
        <w:t>3</w:t>
      </w:r>
      <w:r>
        <w:t>)</w:t>
      </w:r>
    </w:p>
    <w:p w:rsidR="00C23D38" w:rsidP="00294D26">
      <w:pPr>
        <w:pStyle w:val="BodyText2"/>
        <w:ind w:left="1065"/>
      </w:pPr>
    </w:p>
    <w:p w:rsidR="0063094F" w:rsidP="00294D26">
      <w:pPr>
        <w:pStyle w:val="BodyText2"/>
        <w:numPr>
          <w:ilvl w:val="0"/>
          <w:numId w:val="1"/>
        </w:numPr>
      </w:pPr>
      <w:r>
        <w:t>Ústavnoprávny výbor Národnej rady Slovenskej republiky</w:t>
      </w:r>
      <w:r w:rsidRPr="00DF21AE">
        <w:t xml:space="preserve"> </w:t>
      </w:r>
      <w:r w:rsidR="0085353E">
        <w:t>(uzn. č</w:t>
      </w:r>
      <w:r w:rsidR="0085353E">
        <w:t xml:space="preserve">. </w:t>
      </w:r>
      <w:r w:rsidR="00BB3905">
        <w:t>310</w:t>
      </w:r>
      <w:r w:rsidR="00BE636E">
        <w:t xml:space="preserve"> </w:t>
      </w:r>
      <w:r>
        <w:t xml:space="preserve">zo dňa </w:t>
      </w:r>
      <w:r w:rsidR="009124B6">
        <w:t>9</w:t>
      </w:r>
      <w:r>
        <w:t xml:space="preserve">. </w:t>
      </w:r>
      <w:r w:rsidR="009124B6">
        <w:t>októbra</w:t>
      </w:r>
      <w:r w:rsidR="00C23D38">
        <w:t xml:space="preserve"> 201</w:t>
      </w:r>
      <w:r w:rsidR="000734C1">
        <w:t>3</w:t>
      </w:r>
      <w:r w:rsidR="00C23D38">
        <w:t>)</w:t>
      </w:r>
    </w:p>
    <w:p w:rsidR="00D35084" w:rsidP="00294D26">
      <w:pPr>
        <w:pStyle w:val="BodyText2"/>
      </w:pPr>
    </w:p>
    <w:p w:rsidR="000734C1" w:rsidP="00294D26">
      <w:pPr>
        <w:pStyle w:val="BodyText2"/>
        <w:numPr>
          <w:ilvl w:val="0"/>
          <w:numId w:val="1"/>
        </w:numPr>
      </w:pPr>
      <w:r w:rsidRPr="00645D6A" w:rsidR="00D35084">
        <w:t xml:space="preserve">Výbor Národnej rady Slovenskej republiky pre </w:t>
      </w:r>
      <w:r w:rsidRPr="00645D6A" w:rsidR="00122BBB">
        <w:t>hospodárske záležitosti</w:t>
      </w:r>
      <w:r w:rsidRPr="00645D6A" w:rsidR="00D35084">
        <w:t xml:space="preserve"> </w:t>
      </w:r>
      <w:r>
        <w:t xml:space="preserve">(uzn. č. </w:t>
      </w:r>
      <w:r w:rsidR="00BF6BF2">
        <w:t>207</w:t>
      </w:r>
      <w:r>
        <w:t xml:space="preserve"> zo dňa </w:t>
      </w:r>
      <w:r w:rsidR="009124B6">
        <w:t>8</w:t>
      </w:r>
      <w:r>
        <w:t xml:space="preserve">. </w:t>
      </w:r>
      <w:r w:rsidR="009124B6">
        <w:t>októbra</w:t>
      </w:r>
      <w:r>
        <w:t xml:space="preserve"> 2013)</w:t>
      </w:r>
      <w:r w:rsidR="009E38EE">
        <w:t>.</w:t>
      </w:r>
    </w:p>
    <w:p w:rsidR="000734C1" w:rsidP="00294D26">
      <w:pPr>
        <w:pStyle w:val="BodyText2"/>
      </w:pPr>
    </w:p>
    <w:p w:rsidR="000734C1" w:rsidP="00294D26">
      <w:pPr>
        <w:pStyle w:val="BodyText2"/>
        <w:ind w:left="1065"/>
      </w:pPr>
      <w:r w:rsidR="0090567A">
        <w:t xml:space="preserve">  </w:t>
      </w:r>
    </w:p>
    <w:p w:rsidR="00233A93" w:rsidP="00294D26">
      <w:pPr>
        <w:pStyle w:val="BodyText2"/>
        <w:jc w:val="center"/>
        <w:rPr>
          <w:b/>
        </w:rPr>
      </w:pPr>
      <w:r>
        <w:rPr>
          <w:b/>
        </w:rPr>
        <w:t>IV.</w:t>
      </w:r>
    </w:p>
    <w:p w:rsidR="00233A93" w:rsidP="00294D26">
      <w:pPr>
        <w:pStyle w:val="BodyText2"/>
        <w:ind w:left="1065"/>
        <w:jc w:val="center"/>
        <w:rPr>
          <w:b/>
        </w:rPr>
      </w:pPr>
    </w:p>
    <w:p w:rsidR="00233A93" w:rsidP="00294D26">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7D6AC6" w:rsidP="00294D26">
      <w:pPr>
        <w:pStyle w:val="BodyText2"/>
        <w:ind w:firstLine="708"/>
      </w:pPr>
    </w:p>
    <w:p w:rsidR="007D6AC6" w:rsidP="00294D26">
      <w:pPr>
        <w:pStyle w:val="BodyText2"/>
        <w:ind w:firstLine="708"/>
      </w:pPr>
    </w:p>
    <w:p w:rsidR="007D6AC6" w:rsidP="00294D26">
      <w:pPr>
        <w:numPr>
          <w:ilvl w:val="0"/>
          <w:numId w:val="33"/>
        </w:numPr>
        <w:contextualSpacing/>
        <w:rPr>
          <w:rFonts w:eastAsia="Calibri"/>
          <w:b/>
          <w:lang w:eastAsia="en-US"/>
        </w:rPr>
      </w:pPr>
      <w:r>
        <w:rPr>
          <w:rFonts w:eastAsia="Calibri"/>
          <w:b/>
          <w:bCs/>
          <w:lang w:eastAsia="en-US"/>
        </w:rPr>
        <w:t xml:space="preserve">K názvu zákona </w:t>
      </w:r>
    </w:p>
    <w:p w:rsidR="007D6AC6" w:rsidP="00294D26">
      <w:pPr>
        <w:ind w:left="927"/>
        <w:jc w:val="both"/>
        <w:rPr>
          <w:rFonts w:eastAsia="Calibri"/>
          <w:bCs/>
        </w:rPr>
      </w:pPr>
      <w:r>
        <w:rPr>
          <w:rFonts w:eastAsia="Calibri"/>
          <w:bCs/>
          <w:lang w:eastAsia="en-US"/>
        </w:rPr>
        <w:t>V názve zákona sa na konci pripájajú tieto slová:</w:t>
      </w:r>
      <w:r>
        <w:rPr>
          <w:rFonts w:eastAsia="Calibri"/>
          <w:b/>
          <w:bCs/>
          <w:lang w:eastAsia="en-US"/>
        </w:rPr>
        <w:t xml:space="preserve"> </w:t>
      </w:r>
      <w:r>
        <w:rPr>
          <w:rFonts w:eastAsia="Calibri"/>
          <w:bCs/>
          <w:lang w:eastAsia="en-US"/>
        </w:rPr>
        <w:t xml:space="preserve">„a ktorým sa dopĺňa zákon </w:t>
        <w:br/>
        <w:t>č. 178/1998 Z. z. o podmienkach predaja výrobkov a poskytovania služieb na trhových miestach a o zmene a doplnení zákona č. 455/1991 Zb. o živnostenskom podnikaní (živnostenský zákon) v znení neskorších predpisov v znení neskorších predpisov“.</w:t>
      </w:r>
    </w:p>
    <w:p w:rsidR="007D6AC6" w:rsidP="00294D26">
      <w:pPr>
        <w:ind w:left="708"/>
        <w:jc w:val="both"/>
        <w:rPr>
          <w:rFonts w:eastAsia="Calibri"/>
          <w:bCs/>
        </w:rPr>
      </w:pPr>
    </w:p>
    <w:p w:rsidR="007D6AC6" w:rsidP="00294D26">
      <w:pPr>
        <w:ind w:left="3540"/>
        <w:jc w:val="both"/>
        <w:rPr>
          <w:rFonts w:eastAsia="Calibri"/>
          <w:bCs/>
        </w:rPr>
      </w:pPr>
      <w:r>
        <w:rPr>
          <w:rFonts w:eastAsia="Calibri"/>
          <w:bCs/>
          <w:lang w:eastAsia="en-US"/>
        </w:rPr>
        <w:t>Legislatívno-technická úprava nadväzne na doplnenie ďalšieho článku II  do návrhu zákona.</w:t>
      </w:r>
    </w:p>
    <w:p w:rsidR="007D6AC6" w:rsidP="00294D26">
      <w:pPr>
        <w:ind w:left="1069"/>
        <w:rPr>
          <w:rFonts w:eastAsia="Calibri"/>
          <w:bCs/>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ind w:left="1069"/>
        <w:rPr>
          <w:rFonts w:eastAsia="Calibri"/>
          <w:bCs/>
        </w:rPr>
      </w:pPr>
    </w:p>
    <w:p w:rsidR="00294D26" w:rsidP="00294D26">
      <w:pPr>
        <w:ind w:left="1069"/>
        <w:rPr>
          <w:rFonts w:eastAsia="Calibri"/>
          <w:bCs/>
        </w:rPr>
      </w:pPr>
    </w:p>
    <w:p w:rsidR="007D6AC6" w:rsidRPr="007D6AC6" w:rsidP="00294D26">
      <w:pPr>
        <w:numPr>
          <w:ilvl w:val="0"/>
          <w:numId w:val="33"/>
        </w:numPr>
        <w:ind w:left="1069"/>
        <w:contextualSpacing/>
        <w:jc w:val="both"/>
        <w:rPr>
          <w:rFonts w:eastAsia="Calibri"/>
        </w:rPr>
      </w:pPr>
      <w:r w:rsidRPr="007D6AC6">
        <w:rPr>
          <w:rFonts w:eastAsia="Calibri"/>
          <w:b/>
        </w:rPr>
        <w:t>V čl. I bode 6</w:t>
      </w:r>
      <w:r w:rsidRPr="007D6AC6">
        <w:rPr>
          <w:rFonts w:eastAsia="Calibri"/>
        </w:rPr>
        <w:t xml:space="preserve"> sa za slovo „ktorá“ vkladajú slová „nespĺňa požiadavky podľa § 4 ods. 1 a 2 alebo“.</w:t>
      </w:r>
    </w:p>
    <w:p w:rsidR="007D6AC6" w:rsidP="00294D26">
      <w:pPr>
        <w:ind w:left="3544"/>
        <w:jc w:val="both"/>
        <w:rPr>
          <w:rFonts w:eastAsia="Calibri"/>
        </w:rPr>
      </w:pPr>
      <w:r>
        <w:rPr>
          <w:rFonts w:eastAsia="Calibri"/>
          <w:bCs/>
        </w:rPr>
        <w:t>V záujme toho, aby podnikateľ nemohol používať na predajnom mieste elektronickú registračnú pokladnicu, ktorá nespĺňa požiadavky zákona, navrhuje sa ustanovenie doplniť o zákaz umiestnenia takejto elektronickej registračnej pokladnice na predajnom mieste. K uvedenému sa pristúpilo z dôvodu riešenia problému používania elektronických registračných pokladníc, ktorým bol zrušený certifikát</w:t>
      </w:r>
      <w:r>
        <w:rPr>
          <w:rFonts w:eastAsia="Calibri"/>
          <w:bCs/>
        </w:rPr>
        <w:t xml:space="preserve">.   </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rPr>
          <w:rFonts w:eastAsia="Calibri"/>
          <w:bCs/>
        </w:rPr>
      </w:pPr>
    </w:p>
    <w:p w:rsidR="00294D26" w:rsidP="00294D26">
      <w:pPr>
        <w:rPr>
          <w:rFonts w:eastAsia="Calibri"/>
          <w:bCs/>
        </w:rPr>
      </w:pPr>
    </w:p>
    <w:p w:rsidR="007D6AC6" w:rsidP="00294D26">
      <w:pPr>
        <w:numPr>
          <w:ilvl w:val="0"/>
          <w:numId w:val="33"/>
        </w:numPr>
        <w:contextualSpacing/>
        <w:rPr>
          <w:rFonts w:eastAsia="Calibri"/>
        </w:rPr>
      </w:pPr>
      <w:r>
        <w:rPr>
          <w:rFonts w:eastAsia="Calibri"/>
          <w:b/>
        </w:rPr>
        <w:t>V čl. I  bod 14 znie</w:t>
      </w:r>
      <w:r>
        <w:rPr>
          <w:rFonts w:eastAsia="Calibri"/>
        </w:rPr>
        <w:t>:</w:t>
      </w:r>
    </w:p>
    <w:p w:rsidR="007D6AC6" w:rsidP="00294D26">
      <w:pPr>
        <w:ind w:left="1069"/>
        <w:jc w:val="both"/>
        <w:rPr>
          <w:rFonts w:eastAsia="Calibri"/>
        </w:rPr>
      </w:pPr>
      <w:r>
        <w:rPr>
          <w:rFonts w:eastAsia="Calibri"/>
          <w:bCs/>
        </w:rPr>
        <w:t>„14.</w:t>
      </w:r>
      <w:r>
        <w:rPr>
          <w:rFonts w:eastAsia="Calibri"/>
          <w:b/>
          <w:bCs/>
        </w:rPr>
        <w:t xml:space="preserve"> </w:t>
      </w:r>
      <w:r>
        <w:rPr>
          <w:rFonts w:eastAsia="Calibri"/>
          <w:bCs/>
        </w:rPr>
        <w:t>§ 4 sa dopĺňa odsekmi 9 a 10, ktoré znejú:</w:t>
      </w:r>
    </w:p>
    <w:p w:rsidR="007D6AC6" w:rsidP="00294D26">
      <w:pPr>
        <w:ind w:left="1056"/>
        <w:jc w:val="both"/>
        <w:rPr>
          <w:rFonts w:eastAsia="Calibri"/>
          <w:bCs/>
          <w:color w:val="000000"/>
        </w:rPr>
      </w:pPr>
      <w:r>
        <w:rPr>
          <w:rFonts w:eastAsia="Calibri"/>
          <w:bCs/>
        </w:rPr>
        <w:t xml:space="preserve">„(9) </w:t>
      </w:r>
      <w:r>
        <w:rPr>
          <w:rFonts w:eastAsia="Calibri"/>
          <w:color w:val="000000"/>
        </w:rPr>
        <w:t xml:space="preserve">Podnikateľ je povinný mať na predajnom mieste umiestnený komunikačný kábel k elektronickej registračnej pokladnici a poskytnúť ho daňovému úradu alebo colnému úradu za účelom prepojenia elektronickej registračnej pokladnice a počítača na účely kontroly a exportu kontrolných záznamov a obsahu fiskálnej pamäte a </w:t>
      </w:r>
      <w:r>
        <w:rPr>
          <w:rFonts w:eastAsia="Calibri"/>
          <w:bCs/>
          <w:color w:val="000000"/>
        </w:rPr>
        <w:t>umožniť daňovému úradu alebo colnému úradu pripojiť sa k elektronickej registračnej pokladnici prostredníctvom počítača; to neplatí, ak je pripojenie elektronickej registračnej pokladnice k počítaču zabezpečené bezdrôtovou</w:t>
      </w:r>
      <w:r>
        <w:rPr>
          <w:rFonts w:eastAsia="Calibri"/>
        </w:rPr>
        <w:t xml:space="preserve"> technológiou</w:t>
      </w:r>
      <w:r>
        <w:rPr>
          <w:rFonts w:eastAsia="Calibri"/>
          <w:color w:val="000000"/>
        </w:rPr>
        <w:t>.</w:t>
      </w:r>
    </w:p>
    <w:p w:rsidR="007D6AC6" w:rsidP="00294D26">
      <w:pPr>
        <w:ind w:left="1069"/>
        <w:contextualSpacing/>
        <w:jc w:val="both"/>
        <w:rPr>
          <w:rFonts w:eastAsia="Calibri"/>
        </w:rPr>
      </w:pPr>
      <w:r>
        <w:rPr>
          <w:rFonts w:eastAsia="Calibri"/>
        </w:rPr>
        <w:t>(10) Ak akreditovaná osoba</w:t>
      </w:r>
      <w:r>
        <w:rPr>
          <w:rFonts w:eastAsia="Calibri"/>
          <w:vertAlign w:val="superscript"/>
        </w:rPr>
        <w:t>10</w:t>
      </w:r>
      <w:r>
        <w:rPr>
          <w:rFonts w:eastAsia="Calibri"/>
        </w:rPr>
        <w:t>) zruší certifikát vydaný na elektronickú registračnú pokladnicu alebo fiskálnu tlačiareň podľa odseku 1 písm. a), je povinná o tejto skutočnosti bezodkladne  informovať  finančné riaditeľstvo. Finančné riaditeľstvo je povinné o zrušení certifikátu podľa prvej vety bez zbytočného odkladu  písomne informovať podnikateľa.“.</w:t>
      </w:r>
    </w:p>
    <w:p w:rsidR="007D6AC6" w:rsidP="00294D26">
      <w:pPr>
        <w:ind w:left="3544"/>
        <w:rPr>
          <w:rFonts w:eastAsia="Calibri"/>
        </w:rPr>
      </w:pPr>
    </w:p>
    <w:p w:rsidR="007D6AC6" w:rsidP="00294D26">
      <w:pPr>
        <w:ind w:left="3544"/>
        <w:jc w:val="both"/>
        <w:rPr>
          <w:rFonts w:eastAsia="Calibri"/>
          <w:bCs/>
        </w:rPr>
      </w:pPr>
      <w:r>
        <w:rPr>
          <w:rFonts w:eastAsia="Calibri"/>
          <w:bCs/>
        </w:rPr>
        <w:t>Vzhľadom na to, že v praxi sa môže stať, že akreditovaná osoba zruší na elektronickú registračnú pokladnicu alebo fiskálnu tlačiareň certifikát, je potrebné, aby sa o tejto skutočnosti dozvedelo finančné riaditeľstvo a aj podnikateľ, ktorý je povinný používať elektronickú registračnú pokladnicu.</w:t>
      </w:r>
    </w:p>
    <w:p w:rsidR="007D6AC6" w:rsidP="00294D26">
      <w:pPr>
        <w:ind w:left="3540" w:firstLine="4"/>
        <w:contextualSpacing/>
        <w:jc w:val="both"/>
        <w:rPr>
          <w:rFonts w:eastAsia="Calibri"/>
          <w:bCs/>
        </w:rPr>
      </w:pPr>
      <w:r>
        <w:rPr>
          <w:rFonts w:eastAsia="Calibri"/>
        </w:rPr>
        <w:t>Z uvedeného dôvodu sa 14. bod dopĺňa o odsek 10.</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jc w:val="both"/>
        <w:rPr>
          <w:rFonts w:eastAsia="Calibri"/>
        </w:rPr>
      </w:pPr>
    </w:p>
    <w:p w:rsidR="00294D26" w:rsidP="00294D26">
      <w:pPr>
        <w:jc w:val="both"/>
        <w:rPr>
          <w:rFonts w:eastAsia="Calibri"/>
        </w:rPr>
      </w:pPr>
    </w:p>
    <w:p w:rsidR="007D6AC6" w:rsidP="00294D26">
      <w:pPr>
        <w:numPr>
          <w:ilvl w:val="0"/>
          <w:numId w:val="33"/>
        </w:numPr>
        <w:contextualSpacing/>
        <w:rPr>
          <w:rFonts w:eastAsia="Calibri"/>
          <w:bCs/>
        </w:rPr>
      </w:pPr>
      <w:r>
        <w:rPr>
          <w:rFonts w:eastAsia="Calibri"/>
          <w:b/>
        </w:rPr>
        <w:t>V čl. I sa za doterajší bod 20</w:t>
      </w:r>
      <w:r>
        <w:rPr>
          <w:rFonts w:eastAsia="Calibri"/>
        </w:rPr>
        <w:t xml:space="preserve"> vkladá nový bod 21, ktorý zni</w:t>
      </w:r>
      <w:r>
        <w:rPr>
          <w:rFonts w:eastAsia="Calibri"/>
        </w:rPr>
        <w:t>e:</w:t>
      </w:r>
    </w:p>
    <w:p w:rsidR="007D6AC6" w:rsidP="00294D26">
      <w:pPr>
        <w:ind w:left="1069"/>
        <w:rPr>
          <w:rFonts w:eastAsia="Calibri"/>
        </w:rPr>
      </w:pPr>
      <w:r>
        <w:rPr>
          <w:rFonts w:eastAsia="Calibri"/>
        </w:rPr>
        <w:t>„21. V § 7 ods. 3 sa na konci pripája táto veta: „Podnikateľovi s trvalým pobytom alebo sídlom mimo územia Slovenskej republiky pridelí daňový kód elektronickej registračnej pokladnice ktorýkoľvek daňový úrad.“.“.</w:t>
      </w:r>
    </w:p>
    <w:p w:rsidR="007D6AC6" w:rsidP="00294D26">
      <w:pPr>
        <w:rPr>
          <w:rFonts w:eastAsia="Calibri"/>
          <w:b/>
          <w:color w:val="FF0000"/>
        </w:rPr>
      </w:pPr>
    </w:p>
    <w:p w:rsidR="007D6AC6" w:rsidP="00294D26">
      <w:pPr>
        <w:ind w:left="3540" w:firstLine="4"/>
        <w:jc w:val="both"/>
        <w:rPr>
          <w:rFonts w:eastAsia="Calibri"/>
        </w:rPr>
      </w:pPr>
      <w:r>
        <w:rPr>
          <w:rFonts w:eastAsia="Calibri"/>
        </w:rPr>
        <w:t xml:space="preserve">Podľa súčasného právneho stavu mohol zahraničnému podnikateľovi prideliť daňový kód elektronickej registračnej pokladnice len Daňový úrad Bratislava. V záujme operatívnejšej registrácie </w:t>
      </w:r>
      <w:r>
        <w:rPr>
          <w:rFonts w:eastAsia="Calibri"/>
          <w:bCs/>
        </w:rPr>
        <w:t xml:space="preserve">elektronickej registračnej </w:t>
      </w:r>
      <w:r>
        <w:rPr>
          <w:rFonts w:eastAsia="Calibri"/>
        </w:rPr>
        <w:t xml:space="preserve">pokladnice u zahraničných podnikateľov sa navrhuje, aby daňový kód elektronickej registračnej pokladnice mohol prideliť ktorýkoľvek daňový úrad. </w:t>
      </w:r>
    </w:p>
    <w:p w:rsidR="007D6AC6" w:rsidP="00294D26">
      <w:pPr>
        <w:ind w:firstLine="708"/>
        <w:jc w:val="both"/>
        <w:rPr>
          <w:rFonts w:eastAsia="Calibri"/>
        </w:rPr>
      </w:pPr>
    </w:p>
    <w:p w:rsidR="007D6AC6" w:rsidP="00294D26">
      <w:pPr>
        <w:ind w:firstLine="708"/>
        <w:jc w:val="both"/>
        <w:rPr>
          <w:rFonts w:eastAsia="Calibri"/>
          <w:b/>
          <w:bCs/>
        </w:rPr>
      </w:pPr>
      <w:r>
        <w:rPr>
          <w:rFonts w:eastAsia="Calibri"/>
          <w:bCs/>
        </w:rPr>
        <w:t>Doterajšie</w:t>
      </w:r>
      <w:r>
        <w:rPr>
          <w:rFonts w:eastAsia="Calibri"/>
          <w:b/>
          <w:bCs/>
        </w:rPr>
        <w:t xml:space="preserve"> </w:t>
      </w:r>
      <w:r>
        <w:rPr>
          <w:rFonts w:eastAsia="Calibri"/>
          <w:bCs/>
        </w:rPr>
        <w:t>body je potrebné primerane prečíslovať.</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jc w:val="both"/>
        <w:rPr>
          <w:rFonts w:eastAsia="Calibri"/>
          <w:bCs/>
        </w:rPr>
      </w:pPr>
    </w:p>
    <w:p w:rsidR="00294D26" w:rsidP="00294D26">
      <w:pPr>
        <w:jc w:val="both"/>
        <w:rPr>
          <w:rFonts w:eastAsia="Calibri"/>
          <w:bCs/>
        </w:rPr>
      </w:pPr>
    </w:p>
    <w:p w:rsidR="007D6AC6" w:rsidP="00294D26">
      <w:pPr>
        <w:numPr>
          <w:ilvl w:val="0"/>
          <w:numId w:val="33"/>
        </w:numPr>
        <w:contextualSpacing/>
        <w:jc w:val="both"/>
        <w:rPr>
          <w:rFonts w:eastAsia="Calibri"/>
          <w:b/>
        </w:rPr>
      </w:pPr>
      <w:r>
        <w:rPr>
          <w:rFonts w:eastAsia="Calibri"/>
          <w:b/>
        </w:rPr>
        <w:t xml:space="preserve">V čl. I doterajší bod 35 znie: </w:t>
      </w:r>
    </w:p>
    <w:p w:rsidR="007D6AC6" w:rsidP="00294D26">
      <w:pPr>
        <w:ind w:left="1069"/>
        <w:jc w:val="both"/>
        <w:rPr>
          <w:rFonts w:eastAsia="Calibri"/>
        </w:rPr>
      </w:pPr>
      <w:r>
        <w:rPr>
          <w:rFonts w:eastAsia="Calibri"/>
          <w:bCs/>
        </w:rPr>
        <w:t>„35.</w:t>
      </w:r>
      <w:r>
        <w:rPr>
          <w:rFonts w:eastAsia="Calibri"/>
          <w:b/>
          <w:bCs/>
        </w:rPr>
        <w:t xml:space="preserve"> </w:t>
      </w:r>
      <w:r>
        <w:rPr>
          <w:rFonts w:eastAsia="Calibri"/>
          <w:bCs/>
        </w:rPr>
        <w:t xml:space="preserve">§ 15 sa dopĺňa odsekmi 3 až </w:t>
      </w:r>
      <w:r>
        <w:rPr>
          <w:rFonts w:eastAsia="Calibri"/>
          <w:bCs/>
        </w:rPr>
        <w:t>5, ktoré znejú:</w:t>
      </w:r>
    </w:p>
    <w:p w:rsidR="007D6AC6" w:rsidP="00294D26">
      <w:pPr>
        <w:ind w:left="1056"/>
        <w:jc w:val="both"/>
        <w:rPr>
          <w:rFonts w:eastAsia="Calibri"/>
          <w:bCs/>
        </w:rPr>
      </w:pPr>
      <w:r>
        <w:rPr>
          <w:rFonts w:eastAsia="Calibri"/>
          <w:bCs/>
        </w:rPr>
        <w:t>„(3) Pri ukončení prevádzky elektronickej registračnej pokladnice je servisná organizácia povinná  údaje z  fiskálnej pamäte uložiť na dátovom médiu a dátové médium  odovzdať podnikateľovi. Prevzatie dátového média podnikateľ potvrdí podpisom do knihy elektronickej registračnej pokladnice; dátové médium je podnikateľ povinný uchovávať do uplynutia lehoty na zánik práva vyrubiť daň alebo rozdiel dane.</w:t>
      </w:r>
      <w:r>
        <w:rPr>
          <w:rFonts w:eastAsia="Calibri"/>
          <w:bCs/>
          <w:vertAlign w:val="superscript"/>
        </w:rPr>
        <w:t>12</w:t>
      </w:r>
      <w:r>
        <w:rPr>
          <w:rFonts w:eastAsia="Calibri"/>
          <w:bCs/>
        </w:rPr>
        <w:t>)</w:t>
      </w:r>
    </w:p>
    <w:p w:rsidR="007D6AC6" w:rsidP="00294D26">
      <w:pPr>
        <w:ind w:left="1056" w:firstLine="68"/>
        <w:jc w:val="both"/>
        <w:rPr>
          <w:rFonts w:eastAsia="Calibri"/>
          <w:bCs/>
        </w:rPr>
      </w:pPr>
      <w:r>
        <w:rPr>
          <w:rFonts w:eastAsia="Calibri"/>
          <w:bCs/>
        </w:rPr>
        <w:t>(4) Podnikateľ je povinný pri pozastavení prevádzky elektronickej registračnej pokladnice z dôvodu pozastavenia prevádzkovania živnosti</w:t>
      </w:r>
      <w:r>
        <w:rPr>
          <w:rFonts w:eastAsia="Calibri"/>
          <w:bCs/>
          <w:vertAlign w:val="superscript"/>
        </w:rPr>
        <w:t>16b</w:t>
      </w:r>
      <w:r>
        <w:rPr>
          <w:rFonts w:eastAsia="Calibri"/>
          <w:bCs/>
        </w:rPr>
        <w:t>) zaznamenať dátum tejto skutočnosti do knihy elektronickej registračnej pokladnice.</w:t>
      </w:r>
    </w:p>
    <w:p w:rsidR="007D6AC6" w:rsidP="00294D26">
      <w:pPr>
        <w:ind w:left="1069"/>
        <w:contextualSpacing/>
        <w:jc w:val="both"/>
        <w:rPr>
          <w:rFonts w:eastAsia="Calibri"/>
          <w:bCs/>
        </w:rPr>
      </w:pPr>
      <w:r>
        <w:rPr>
          <w:rFonts w:eastAsia="Calibri"/>
        </w:rPr>
        <w:t>(5) Podnikateľ je povinný po zrušení certifikátu podľa § 4 ods. 10 ukončiť prevádzku elektronickej registračnej pokladnice v lehote do 30 dní od doručenia informácie o zrušení certifikátu</w:t>
      </w:r>
      <w:r>
        <w:rPr>
          <w:rFonts w:eastAsia="Calibri"/>
          <w:vertAlign w:val="superscript"/>
        </w:rPr>
        <w:t>19</w:t>
      </w:r>
      <w:r>
        <w:rPr>
          <w:rFonts w:eastAsia="Calibri"/>
        </w:rPr>
        <w:t>) finančným riaditeľstvom. Ak informácia podľa prvej vety podnikateľovi nebola zaslaná, je podnikateľ povinný  ukončiť prevádzku elektronickej registračnej pokladnice v lehote do 30 dní od vtedy, keď mu daňový úrad alebo colný úrad túto skutočnosť oznámil pri kontrole dodržiavania ustanovení tohto zákona.“.</w:t>
      </w:r>
      <w:r>
        <w:rPr>
          <w:rFonts w:eastAsia="Calibri"/>
          <w:b/>
          <w:color w:val="FF0000"/>
        </w:rPr>
        <w:t xml:space="preserve">  </w:t>
      </w:r>
    </w:p>
    <w:p w:rsidR="007D6AC6" w:rsidP="00294D26">
      <w:pPr>
        <w:ind w:left="454"/>
        <w:jc w:val="both"/>
        <w:rPr>
          <w:rFonts w:eastAsia="Calibri"/>
        </w:rPr>
      </w:pPr>
    </w:p>
    <w:p w:rsidR="007D6AC6" w:rsidP="00294D26">
      <w:pPr>
        <w:ind w:left="352"/>
        <w:jc w:val="both"/>
        <w:rPr>
          <w:rFonts w:eastAsia="Calibri"/>
          <w:bCs/>
        </w:rPr>
      </w:pPr>
      <w:r>
        <w:rPr>
          <w:rFonts w:eastAsia="Calibri"/>
          <w:bCs/>
        </w:rPr>
        <w:t xml:space="preserve"> </w:t>
        <w:tab/>
        <w:t xml:space="preserve">      Poznámka pod čiarou k odkazu 16b znie:</w:t>
      </w:r>
    </w:p>
    <w:p w:rsidR="007D6AC6" w:rsidP="00294D26">
      <w:pPr>
        <w:ind w:left="1064"/>
        <w:jc w:val="both"/>
        <w:rPr>
          <w:rFonts w:eastAsia="Calibri"/>
          <w:bCs/>
        </w:rPr>
      </w:pPr>
      <w:r>
        <w:rPr>
          <w:rFonts w:eastAsia="Calibri"/>
          <w:bCs/>
        </w:rPr>
        <w:t>„</w:t>
      </w:r>
      <w:r>
        <w:rPr>
          <w:rFonts w:eastAsia="Calibri"/>
          <w:bCs/>
          <w:vertAlign w:val="superscript"/>
        </w:rPr>
        <w:t>16b</w:t>
      </w:r>
      <w:r>
        <w:rPr>
          <w:rFonts w:eastAsia="Calibri"/>
          <w:bCs/>
        </w:rPr>
        <w:t>) § 57 zákona č. 455/1991 Zb. o živnostenskom podnikaní (živnostenský zákon) v zne</w:t>
      </w:r>
      <w:r>
        <w:rPr>
          <w:rFonts w:eastAsia="Calibri"/>
          <w:bCs/>
        </w:rPr>
        <w:t xml:space="preserve">ní neskorších predpisov.“.“. </w:t>
      </w:r>
    </w:p>
    <w:p w:rsidR="007D6AC6" w:rsidP="00294D26">
      <w:pPr>
        <w:ind w:left="1069"/>
        <w:contextualSpacing/>
        <w:jc w:val="both"/>
        <w:rPr>
          <w:rFonts w:eastAsia="Calibri"/>
          <w:bCs/>
        </w:rPr>
      </w:pPr>
    </w:p>
    <w:p w:rsidR="007D6AC6" w:rsidP="00294D26">
      <w:pPr>
        <w:ind w:left="3540" w:firstLine="4"/>
        <w:contextualSpacing/>
        <w:jc w:val="both"/>
        <w:rPr>
          <w:rFonts w:eastAsia="Calibri"/>
        </w:rPr>
      </w:pPr>
      <w:r>
        <w:rPr>
          <w:rFonts w:eastAsia="Calibri"/>
        </w:rPr>
        <w:t xml:space="preserve">Podľa zákona o používaní elektronickej registračnej pokladnice, podnikateľ môže používať len </w:t>
      </w:r>
      <w:r>
        <w:rPr>
          <w:rFonts w:eastAsia="Calibri"/>
          <w:bCs/>
        </w:rPr>
        <w:t>elektronickú registračnú</w:t>
      </w:r>
      <w:r>
        <w:rPr>
          <w:rFonts w:eastAsia="Calibri"/>
        </w:rPr>
        <w:t xml:space="preserve"> pokladnicu, na ktorú bol vydaný certifikát o tom, že spĺňa požiadavky zákona. Vzhľadom na to, že zrušením certifikátu je deklarované, že </w:t>
      </w:r>
      <w:r>
        <w:rPr>
          <w:rFonts w:eastAsia="Calibri"/>
          <w:bCs/>
        </w:rPr>
        <w:t xml:space="preserve">elektronická registračná </w:t>
      </w:r>
      <w:r>
        <w:rPr>
          <w:rFonts w:eastAsia="Calibri"/>
        </w:rPr>
        <w:t xml:space="preserve">pokladnica nespĺňa požiadavky zákona, nie je možné takúto </w:t>
      </w:r>
      <w:r>
        <w:rPr>
          <w:rFonts w:eastAsia="Calibri"/>
          <w:bCs/>
        </w:rPr>
        <w:t xml:space="preserve">elektronickú registračnú </w:t>
      </w:r>
      <w:r>
        <w:rPr>
          <w:rFonts w:eastAsia="Calibri"/>
        </w:rPr>
        <w:t>pokladnicu naďalej používať a je potrebné ukončiť jej prevádzku. Z uvedeného dôvodu sa doterajší 35. bod dopĺňa o odse</w:t>
      </w:r>
      <w:r>
        <w:rPr>
          <w:rFonts w:eastAsia="Calibri"/>
        </w:rPr>
        <w:t>k 5.</w:t>
      </w:r>
    </w:p>
    <w:p w:rsidR="007D6AC6" w:rsidP="00294D26">
      <w:pPr>
        <w:ind w:left="3540" w:firstLine="4"/>
        <w:contextualSpacing/>
        <w:jc w:val="both"/>
        <w:rPr>
          <w:rFonts w:eastAsia="Calibri"/>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8346BC" w:rsidP="00294D26">
      <w:pPr>
        <w:ind w:left="3540" w:firstLine="4"/>
        <w:contextualSpacing/>
        <w:jc w:val="both"/>
        <w:rPr>
          <w:rFonts w:eastAsia="Calibri"/>
        </w:rPr>
      </w:pPr>
    </w:p>
    <w:p w:rsidR="00294D26" w:rsidP="00294D26">
      <w:pPr>
        <w:ind w:left="3540" w:firstLine="4"/>
        <w:contextualSpacing/>
        <w:jc w:val="both"/>
        <w:rPr>
          <w:rFonts w:eastAsia="Calibri"/>
        </w:rPr>
      </w:pPr>
    </w:p>
    <w:p w:rsidR="007D6AC6" w:rsidP="00294D26">
      <w:pPr>
        <w:numPr>
          <w:ilvl w:val="0"/>
          <w:numId w:val="33"/>
        </w:numPr>
        <w:contextualSpacing/>
        <w:jc w:val="both"/>
        <w:rPr>
          <w:rFonts w:eastAsia="Calibri"/>
        </w:rPr>
      </w:pPr>
      <w:r>
        <w:rPr>
          <w:rFonts w:eastAsia="Calibri"/>
          <w:b/>
        </w:rPr>
        <w:t>V čl. I v doterajšom bode 37</w:t>
      </w:r>
      <w:r>
        <w:rPr>
          <w:rFonts w:eastAsia="Calibri"/>
        </w:rPr>
        <w:t xml:space="preserve"> v § 16a písm. ab)  sa na konci pripájajú tieto slová: „alebo § 15 ods. 3“.</w:t>
      </w:r>
    </w:p>
    <w:p w:rsidR="007D6AC6" w:rsidP="00294D26">
      <w:pPr>
        <w:ind w:left="1069"/>
        <w:contextualSpacing/>
        <w:rPr>
          <w:rFonts w:eastAsia="Calibri"/>
        </w:rPr>
      </w:pPr>
    </w:p>
    <w:p w:rsidR="007D6AC6" w:rsidP="00294D26">
      <w:pPr>
        <w:ind w:left="3540"/>
        <w:contextualSpacing/>
        <w:jc w:val="both"/>
        <w:rPr>
          <w:rFonts w:eastAsia="Calibri"/>
          <w:bCs/>
        </w:rPr>
      </w:pPr>
      <w:r>
        <w:rPr>
          <w:rFonts w:eastAsia="Calibri"/>
          <w:bCs/>
        </w:rPr>
        <w:t>Vzhľadom na to, že servisná organizácia je povinná  pri ukončení prevádzky elektronickej registračnej pokladnice uložiť údaje z fiskálnej pamäte na dátové médium, je potrebné v prípade nedodržania tejto povinnosti ustanoviť správny delikt.</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sidR="00243E4D">
        <w:rPr>
          <w:b/>
        </w:rPr>
        <w:t> </w:t>
      </w:r>
      <w:r w:rsidRPr="0085353E">
        <w:rPr>
          <w:b/>
        </w:rPr>
        <w:t>rozpočet</w:t>
      </w:r>
    </w:p>
    <w:p w:rsidR="007D6AC6" w:rsidP="00294D26">
      <w:pPr>
        <w:ind w:left="2832" w:firstLine="708"/>
        <w:jc w:val="both"/>
      </w:pPr>
      <w:r>
        <w:rPr>
          <w:b/>
        </w:rPr>
        <w:t>Gestorský výbor odporúča schváliť.</w:t>
      </w:r>
    </w:p>
    <w:p w:rsidR="007D6AC6" w:rsidP="00294D26">
      <w:pPr>
        <w:ind w:left="3193" w:firstLine="347"/>
        <w:contextualSpacing/>
        <w:rPr>
          <w:rFonts w:eastAsia="Calibri"/>
          <w:bCs/>
        </w:rPr>
      </w:pPr>
    </w:p>
    <w:p w:rsidR="00294D26" w:rsidP="00294D26">
      <w:pPr>
        <w:ind w:left="3193" w:firstLine="347"/>
        <w:contextualSpacing/>
        <w:rPr>
          <w:rFonts w:eastAsia="Calibri"/>
          <w:bCs/>
        </w:rPr>
      </w:pPr>
    </w:p>
    <w:p w:rsidR="007D6AC6" w:rsidP="00294D26">
      <w:pPr>
        <w:numPr>
          <w:ilvl w:val="0"/>
          <w:numId w:val="33"/>
        </w:numPr>
        <w:contextualSpacing/>
        <w:jc w:val="both"/>
        <w:rPr>
          <w:rFonts w:eastAsia="Calibri"/>
          <w:bCs/>
        </w:rPr>
      </w:pPr>
      <w:r>
        <w:rPr>
          <w:rFonts w:eastAsia="Calibri"/>
          <w:b/>
        </w:rPr>
        <w:t>V čl. I v dote</w:t>
      </w:r>
      <w:r>
        <w:rPr>
          <w:rFonts w:eastAsia="Calibri"/>
          <w:b/>
        </w:rPr>
        <w:t>rajšom bode 37</w:t>
      </w:r>
      <w:r>
        <w:rPr>
          <w:rFonts w:eastAsia="Calibri"/>
        </w:rPr>
        <w:t xml:space="preserve"> v § 16a písm. ak) sa</w:t>
      </w:r>
      <w:r>
        <w:rPr>
          <w:rFonts w:eastAsia="Calibri"/>
          <w:b/>
          <w:color w:val="FF0000"/>
        </w:rPr>
        <w:t xml:space="preserve"> </w:t>
      </w:r>
      <w:r>
        <w:rPr>
          <w:rFonts w:eastAsia="Calibri"/>
        </w:rPr>
        <w:t>slová „§ 15 ods. 1“ nahrádzajú slovami „§ 15 ods. 1 a 4“.</w:t>
      </w:r>
    </w:p>
    <w:p w:rsidR="007D6AC6" w:rsidP="00294D26">
      <w:pPr>
        <w:ind w:left="1069"/>
        <w:contextualSpacing/>
        <w:rPr>
          <w:rFonts w:eastAsia="Calibri"/>
        </w:rPr>
      </w:pPr>
    </w:p>
    <w:p w:rsidR="007D6AC6" w:rsidP="00294D26">
      <w:pPr>
        <w:ind w:left="3540"/>
        <w:contextualSpacing/>
        <w:jc w:val="both"/>
        <w:rPr>
          <w:rFonts w:eastAsia="Calibri"/>
          <w:bCs/>
        </w:rPr>
      </w:pPr>
      <w:r>
        <w:rPr>
          <w:rFonts w:eastAsia="Calibri"/>
          <w:bCs/>
        </w:rPr>
        <w:t xml:space="preserve">S prihliadnutím na to, že podnikateľ je povinný do knihy elektronickej registračnej pokladnice zaznamenať pozastavenie prevádzkovania živnosti, je potrebné nesplnenie tejto povinnosti doplniť do správnych deliktov. </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ind w:left="3193" w:firstLine="347"/>
        <w:contextualSpacing/>
        <w:rPr>
          <w:rFonts w:eastAsia="Calibri"/>
          <w:bCs/>
        </w:rPr>
      </w:pPr>
    </w:p>
    <w:p w:rsidR="00294D26" w:rsidP="00294D26">
      <w:pPr>
        <w:ind w:left="3193" w:firstLine="347"/>
        <w:contextualSpacing/>
        <w:rPr>
          <w:rFonts w:eastAsia="Calibri"/>
          <w:bCs/>
        </w:rPr>
      </w:pPr>
    </w:p>
    <w:p w:rsidR="007D6AC6" w:rsidP="00294D26">
      <w:pPr>
        <w:numPr>
          <w:ilvl w:val="0"/>
          <w:numId w:val="33"/>
        </w:numPr>
        <w:contextualSpacing/>
        <w:rPr>
          <w:rFonts w:eastAsia="Calibri"/>
          <w:bCs/>
          <w:sz w:val="18"/>
          <w:szCs w:val="18"/>
        </w:rPr>
      </w:pPr>
      <w:r>
        <w:rPr>
          <w:rFonts w:eastAsia="Calibri"/>
          <w:b/>
        </w:rPr>
        <w:t>V čl. I v doterajšom bode 37</w:t>
      </w:r>
      <w:r>
        <w:rPr>
          <w:rFonts w:eastAsia="Calibri"/>
        </w:rPr>
        <w:t xml:space="preserve">  sa § 16a dopĺňa  písmenom ap), ktoré znie: </w:t>
      </w:r>
    </w:p>
    <w:p w:rsidR="007D6AC6" w:rsidP="00294D26">
      <w:pPr>
        <w:ind w:left="1069"/>
        <w:contextualSpacing/>
        <w:rPr>
          <w:rFonts w:eastAsia="Calibri"/>
        </w:rPr>
      </w:pPr>
      <w:r>
        <w:rPr>
          <w:rFonts w:eastAsia="Calibri"/>
        </w:rPr>
        <w:t xml:space="preserve">„ap) neukončí prevádzku elektronickej registračnej pokladnice podľa § 15 ods. 5.“. </w:t>
      </w:r>
    </w:p>
    <w:p w:rsidR="007D6AC6" w:rsidP="00294D26">
      <w:pPr>
        <w:rPr>
          <w:rFonts w:eastAsia="Calibri"/>
        </w:rPr>
      </w:pPr>
    </w:p>
    <w:p w:rsidR="007D6AC6" w:rsidP="00294D26">
      <w:pPr>
        <w:ind w:left="3544"/>
        <w:jc w:val="both"/>
        <w:rPr>
          <w:rFonts w:eastAsia="Calibri"/>
          <w:bCs/>
          <w:sz w:val="18"/>
          <w:szCs w:val="18"/>
        </w:rPr>
      </w:pPr>
      <w:r>
        <w:rPr>
          <w:rFonts w:eastAsia="Calibri"/>
          <w:bCs/>
        </w:rPr>
        <w:t>Vzhľadom na ustanovenie povinnosti ukončiť prevádzku elektronickej registračnej pokladnice z dôvodu zrušenia jej certifikátu, resp. zrušenia certifikátu na fiskálnu tlačiareň,  je potrebné nesplnenie tejto povinnosti doplniť</w:t>
      </w:r>
      <w:r>
        <w:rPr>
          <w:rFonts w:eastAsia="Calibri"/>
          <w:bCs/>
        </w:rPr>
        <w:t xml:space="preserve"> do správnych deliktov.</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rPr>
          <w:b/>
        </w:rPr>
      </w:pPr>
      <w:r>
        <w:rPr>
          <w:b/>
        </w:rPr>
        <w:t>Gestorský výbor odporúča schváliť.</w:t>
      </w:r>
    </w:p>
    <w:p w:rsidR="008346BC" w:rsidP="00294D26">
      <w:pPr>
        <w:ind w:left="2832" w:firstLine="708"/>
        <w:jc w:val="both"/>
        <w:rPr>
          <w:b/>
        </w:rPr>
      </w:pPr>
    </w:p>
    <w:p w:rsidR="008346BC" w:rsidP="00294D26">
      <w:pPr>
        <w:ind w:left="2832" w:firstLine="708"/>
        <w:jc w:val="both"/>
      </w:pPr>
    </w:p>
    <w:p w:rsidR="007D6AC6" w:rsidP="00294D26">
      <w:pPr>
        <w:pStyle w:val="ListParagraph"/>
        <w:numPr>
          <w:ilvl w:val="0"/>
          <w:numId w:val="33"/>
        </w:numPr>
        <w:spacing w:after="0" w:line="240" w:lineRule="auto"/>
        <w:jc w:val="both"/>
        <w:rPr>
          <w:rFonts w:ascii="Times New Roman" w:eastAsia="Times New Roman" w:hAnsi="Times New Roman"/>
          <w:sz w:val="24"/>
          <w:szCs w:val="24"/>
        </w:rPr>
      </w:pPr>
      <w:r>
        <w:rPr>
          <w:rFonts w:ascii="Times New Roman" w:hAnsi="Times New Roman"/>
          <w:b/>
          <w:sz w:val="24"/>
          <w:szCs w:val="24"/>
        </w:rPr>
        <w:t>V čl. I v bode 37</w:t>
      </w:r>
      <w:r>
        <w:rPr>
          <w:rFonts w:ascii="Times New Roman" w:hAnsi="Times New Roman"/>
          <w:sz w:val="24"/>
          <w:szCs w:val="24"/>
        </w:rPr>
        <w:t xml:space="preserve"> v § 16b ods. 1 písm. b) a ods. 2 písm. b) sa slová „(§ 3 ods. 3)“ nahrádzajú slovami „podľa § 3 ods. 3“.</w:t>
      </w:r>
    </w:p>
    <w:p w:rsidR="007D6AC6" w:rsidP="00294D26">
      <w:pPr>
        <w:jc w:val="both"/>
      </w:pPr>
    </w:p>
    <w:p w:rsidR="007D6AC6" w:rsidP="00294D26">
      <w:pPr>
        <w:ind w:left="2832" w:firstLine="708"/>
        <w:jc w:val="both"/>
      </w:pPr>
      <w:r>
        <w:t>Ide o legislatívno-technickú úprav</w:t>
      </w:r>
      <w:r>
        <w:t>u.</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sidR="00327C8B">
        <w:rPr>
          <w:b/>
        </w:rPr>
        <w:t> </w:t>
      </w:r>
      <w:r w:rsidRPr="0085353E">
        <w:rPr>
          <w:b/>
        </w:rPr>
        <w:t>rozpočet</w:t>
      </w:r>
    </w:p>
    <w:p w:rsidR="00327C8B" w:rsidRPr="00327C8B" w:rsidP="00294D26">
      <w:pPr>
        <w:ind w:left="2832" w:firstLine="708"/>
        <w:jc w:val="both"/>
        <w:rPr>
          <w:b/>
        </w:rPr>
      </w:pPr>
      <w:r w:rsidRPr="00327C8B">
        <w:rPr>
          <w:b/>
        </w:rPr>
        <w:t xml:space="preserve">Ústavnoprávny výbor NR SR </w:t>
      </w:r>
    </w:p>
    <w:p w:rsidR="00243E4D" w:rsidRPr="0090567A" w:rsidP="00294D26">
      <w:pPr>
        <w:ind w:left="2832" w:firstLine="708"/>
        <w:jc w:val="both"/>
        <w:rPr>
          <w:b/>
        </w:rPr>
      </w:pPr>
      <w:r w:rsidRPr="0090567A">
        <w:rPr>
          <w:b/>
        </w:rPr>
        <w:t>Výbor NR SR pre hospodárske záležitosti</w:t>
      </w:r>
    </w:p>
    <w:p w:rsidR="007D6AC6" w:rsidP="00294D26">
      <w:pPr>
        <w:ind w:left="2832" w:firstLine="708"/>
        <w:jc w:val="both"/>
      </w:pPr>
      <w:r>
        <w:rPr>
          <w:b/>
        </w:rPr>
        <w:t>Gestorský výbor odporúča schváliť.</w:t>
      </w:r>
    </w:p>
    <w:p w:rsidR="007D6AC6" w:rsidP="00294D26">
      <w:pPr>
        <w:ind w:left="2832" w:firstLine="708"/>
        <w:jc w:val="both"/>
      </w:pPr>
    </w:p>
    <w:p w:rsidR="00294D26" w:rsidP="00294D26">
      <w:pPr>
        <w:ind w:left="2832" w:firstLine="708"/>
        <w:jc w:val="both"/>
      </w:pPr>
    </w:p>
    <w:p w:rsidR="007D6AC6" w:rsidRPr="007D6AC6" w:rsidP="00294D26">
      <w:pPr>
        <w:numPr>
          <w:ilvl w:val="0"/>
          <w:numId w:val="33"/>
        </w:numPr>
        <w:contextualSpacing/>
        <w:jc w:val="both"/>
        <w:rPr>
          <w:rFonts w:eastAsia="Calibri"/>
          <w:sz w:val="18"/>
          <w:szCs w:val="18"/>
        </w:rPr>
      </w:pPr>
      <w:r w:rsidRPr="007D6AC6">
        <w:rPr>
          <w:rFonts w:eastAsia="Calibri"/>
          <w:b/>
        </w:rPr>
        <w:t>V čl. I v doterajšom bode 37</w:t>
      </w:r>
      <w:r w:rsidRPr="007D6AC6">
        <w:rPr>
          <w:rFonts w:eastAsia="Calibri"/>
        </w:rPr>
        <w:t xml:space="preserve"> v § 16b ods. 1 písm. d) sa</w:t>
      </w:r>
      <w:r w:rsidRPr="007D6AC6">
        <w:rPr>
          <w:rFonts w:eastAsia="Calibri"/>
          <w:b/>
          <w:color w:val="FF0000"/>
        </w:rPr>
        <w:t xml:space="preserve"> </w:t>
      </w:r>
      <w:r w:rsidRPr="007D6AC6">
        <w:rPr>
          <w:rFonts w:eastAsia="Calibri"/>
        </w:rPr>
        <w:t xml:space="preserve">za slová „písm. am)“ vkladajú slová „a ap)“. </w:t>
      </w:r>
    </w:p>
    <w:p w:rsidR="007D6AC6" w:rsidP="00294D26">
      <w:pPr>
        <w:ind w:left="3544"/>
        <w:jc w:val="both"/>
        <w:rPr>
          <w:rFonts w:eastAsia="Calibri"/>
        </w:rPr>
      </w:pPr>
      <w:r>
        <w:rPr>
          <w:rFonts w:eastAsia="Calibri"/>
          <w:bCs/>
        </w:rPr>
        <w:t>Nadväzne na ustanovenie správneho deliktu za nesplnenie povinnosti ukončiť prevádzku elektronickej registračnej pokladnice z dôvodu zrušenia jej certifikátu, resp. zrušenia certifikátu na fiskálnu tlačiareň, sa navrhuje ustanovenie pokuty.</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ind w:left="3544"/>
        <w:jc w:val="both"/>
        <w:rPr>
          <w:rFonts w:eastAsia="Calibri"/>
          <w:bCs/>
        </w:rPr>
      </w:pPr>
    </w:p>
    <w:p w:rsidR="00294D26" w:rsidP="00294D26">
      <w:pPr>
        <w:ind w:left="3544"/>
        <w:jc w:val="both"/>
        <w:rPr>
          <w:rFonts w:eastAsia="Calibri"/>
          <w:bCs/>
        </w:rPr>
      </w:pPr>
    </w:p>
    <w:p w:rsidR="007D6AC6" w:rsidP="00294D26">
      <w:pPr>
        <w:numPr>
          <w:ilvl w:val="0"/>
          <w:numId w:val="33"/>
        </w:numPr>
        <w:contextualSpacing/>
        <w:jc w:val="both"/>
        <w:rPr>
          <w:rFonts w:eastAsia="Calibri"/>
          <w:bCs/>
        </w:rPr>
      </w:pPr>
      <w:r>
        <w:rPr>
          <w:rFonts w:eastAsia="Calibri"/>
          <w:b/>
        </w:rPr>
        <w:t>V čl. I  v doterajšom bode 37</w:t>
      </w:r>
      <w:r>
        <w:rPr>
          <w:rFonts w:eastAsia="Calibri"/>
        </w:rPr>
        <w:t xml:space="preserve"> v § 16b ods. 2 písm. d) sa</w:t>
      </w:r>
      <w:r>
        <w:rPr>
          <w:rFonts w:eastAsia="Calibri"/>
          <w:b/>
          <w:color w:val="FF0000"/>
        </w:rPr>
        <w:t xml:space="preserve"> </w:t>
      </w:r>
      <w:r>
        <w:rPr>
          <w:rFonts w:eastAsia="Calibri"/>
        </w:rPr>
        <w:t>za slová „písm. am)“ vkladajú slová „a ap)“.</w:t>
      </w:r>
    </w:p>
    <w:p w:rsidR="007D6AC6" w:rsidP="00294D26">
      <w:pPr>
        <w:ind w:left="3544"/>
        <w:jc w:val="both"/>
        <w:rPr>
          <w:rFonts w:eastAsia="Calibri"/>
        </w:rPr>
      </w:pPr>
      <w:r>
        <w:rPr>
          <w:rFonts w:eastAsia="Calibri"/>
          <w:bCs/>
        </w:rPr>
        <w:t>Nadväzne na ustanovenie správneho deliktu za nesplnenie povinnosti ukončiť prevádzku elektronickej registračnej pokladnice z dôvodu zrušenia jej certifikátu, resp. zrušenia certifikátu na fiskálnu tlačiareň, sa navrhuje ustanovenie zvýšenej pokuty, ak porušenie bude zistené opätovne.</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rPr>
          <w:rFonts w:eastAsia="Calibri"/>
          <w:bCs/>
          <w:sz w:val="18"/>
          <w:szCs w:val="18"/>
        </w:rPr>
      </w:pPr>
    </w:p>
    <w:p w:rsidR="00294D26" w:rsidP="00294D26">
      <w:pPr>
        <w:rPr>
          <w:rFonts w:eastAsia="Calibri"/>
          <w:bCs/>
          <w:sz w:val="18"/>
          <w:szCs w:val="18"/>
        </w:rPr>
      </w:pPr>
    </w:p>
    <w:p w:rsidR="007D6AC6" w:rsidP="00294D26">
      <w:pPr>
        <w:numPr>
          <w:ilvl w:val="0"/>
          <w:numId w:val="33"/>
        </w:numPr>
        <w:contextualSpacing/>
        <w:jc w:val="both"/>
        <w:rPr>
          <w:rFonts w:eastAsia="Calibri"/>
        </w:rPr>
      </w:pPr>
      <w:r>
        <w:rPr>
          <w:rFonts w:eastAsia="Calibri"/>
          <w:b/>
        </w:rPr>
        <w:t>V čl. I v doterajšom  bode 37</w:t>
      </w:r>
      <w:r>
        <w:rPr>
          <w:rFonts w:eastAsia="Calibri"/>
        </w:rPr>
        <w:t xml:space="preserve">  v § 16b ods. 5 sa slová „am) a ao)“ nahrádzajú slovami “am), ao) a ap)“. </w:t>
      </w:r>
    </w:p>
    <w:p w:rsidR="007D6AC6" w:rsidP="00294D26">
      <w:pPr>
        <w:ind w:left="3544"/>
        <w:jc w:val="both"/>
        <w:rPr>
          <w:rFonts w:eastAsia="Calibri"/>
          <w:bCs/>
        </w:rPr>
      </w:pPr>
      <w:r>
        <w:rPr>
          <w:rFonts w:eastAsia="Calibri"/>
          <w:bCs/>
        </w:rPr>
        <w:t>Používanie elektronickej registračnej pokladnice, na ktorú bol zrušený certifikát, resp. pokladnice vybavenej fiskálnou tlačiarňou, na ktorú bol zrušený certifikát, sa navrhuje považovať za osobitne závažné porušenie zákona.</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8346BC" w:rsidP="00294D26">
      <w:pPr>
        <w:jc w:val="both"/>
        <w:rPr>
          <w:rFonts w:eastAsia="Calibri"/>
          <w:bCs/>
        </w:rPr>
      </w:pPr>
    </w:p>
    <w:p w:rsidR="00294D26" w:rsidP="00294D26">
      <w:pPr>
        <w:jc w:val="both"/>
        <w:rPr>
          <w:rFonts w:eastAsia="Calibri"/>
          <w:bCs/>
        </w:rPr>
      </w:pPr>
    </w:p>
    <w:p w:rsidR="00294D26" w:rsidP="00294D26">
      <w:pPr>
        <w:jc w:val="both"/>
        <w:rPr>
          <w:rFonts w:eastAsia="Calibri"/>
          <w:bCs/>
        </w:rPr>
      </w:pPr>
    </w:p>
    <w:p w:rsidR="00294D26" w:rsidP="00294D26">
      <w:pPr>
        <w:jc w:val="both"/>
        <w:rPr>
          <w:rFonts w:eastAsia="Calibri"/>
          <w:bCs/>
        </w:rPr>
      </w:pPr>
    </w:p>
    <w:p w:rsidR="007D6AC6" w:rsidP="00294D26">
      <w:pPr>
        <w:numPr>
          <w:ilvl w:val="0"/>
          <w:numId w:val="33"/>
        </w:numPr>
        <w:contextualSpacing/>
        <w:jc w:val="both"/>
        <w:rPr>
          <w:rFonts w:eastAsia="Calibri"/>
          <w:bCs/>
        </w:rPr>
      </w:pPr>
      <w:r>
        <w:rPr>
          <w:rFonts w:eastAsia="Calibri"/>
          <w:b/>
          <w:bCs/>
        </w:rPr>
        <w:t xml:space="preserve">V čl. I </w:t>
      </w:r>
      <w:r>
        <w:rPr>
          <w:rFonts w:eastAsia="Calibri"/>
          <w:b/>
        </w:rPr>
        <w:t>v doterajšom  bode 37</w:t>
      </w:r>
      <w:r>
        <w:rPr>
          <w:rFonts w:eastAsia="Calibri"/>
        </w:rPr>
        <w:t xml:space="preserve"> v § 16b ods. 6 písm. a) a b) a ods. 7 sa slová „d) a am)“ nahrádzajú slovami „d), am) a ap)“. </w:t>
      </w:r>
    </w:p>
    <w:p w:rsidR="007D6AC6" w:rsidP="00294D26">
      <w:pPr>
        <w:ind w:left="1069"/>
        <w:contextualSpacing/>
        <w:jc w:val="both"/>
        <w:rPr>
          <w:rFonts w:eastAsia="Calibri"/>
          <w:bCs/>
        </w:rPr>
      </w:pPr>
    </w:p>
    <w:p w:rsidR="007D6AC6" w:rsidP="00294D26">
      <w:pPr>
        <w:ind w:left="3540" w:firstLine="4"/>
        <w:contextualSpacing/>
        <w:jc w:val="both"/>
        <w:rPr>
          <w:rFonts w:eastAsia="Calibri"/>
          <w:bCs/>
        </w:rPr>
      </w:pPr>
      <w:r>
        <w:rPr>
          <w:rFonts w:eastAsia="Calibri"/>
        </w:rPr>
        <w:t xml:space="preserve">Ak sa u podnikateľa pri prvom opakovanom porušení zistí, že používa elektronickú registračnú pokladnicu, na ktorú bol zrušený certifikát, </w:t>
      </w:r>
      <w:r>
        <w:rPr>
          <w:rFonts w:eastAsia="Calibri"/>
          <w:bCs/>
        </w:rPr>
        <w:t>resp. pokladnicu vybavenú fiskálnou tlačiarňou, na ktorú bol zrušený certifikát,</w:t>
      </w:r>
      <w:r>
        <w:rPr>
          <w:rFonts w:eastAsia="Calibri"/>
        </w:rPr>
        <w:t xml:space="preserve"> môže byť okrem pokuty podaný aj návrh na zrušenie živnostenského oprávnenia. Pri každom ďalšom zistení, mu bude uložená pokuta a aj podaný  návrh na zrušenie živnostenského oprávnenia. </w:t>
      </w:r>
    </w:p>
    <w:p w:rsidR="007D6AC6" w:rsidP="00294D26">
      <w:pPr>
        <w:ind w:left="3544"/>
        <w:jc w:val="both"/>
        <w:rPr>
          <w:rFonts w:eastAsia="Calibri"/>
        </w:rPr>
      </w:pPr>
    </w:p>
    <w:p w:rsidR="007D6AC6" w:rsidP="00294D26">
      <w:pPr>
        <w:ind w:left="3540" w:firstLine="4"/>
        <w:contextualSpacing/>
        <w:jc w:val="both"/>
        <w:rPr>
          <w:rFonts w:eastAsia="Calibri"/>
          <w:bCs/>
        </w:rPr>
      </w:pPr>
      <w:r>
        <w:rPr>
          <w:rFonts w:eastAsia="Calibri"/>
        </w:rPr>
        <w:t xml:space="preserve">Ak podnikateľ nezaplatí pokutu za to, že používal elektronickú registračnú pokladnicu, na ktorú bol zrušený certifikát, </w:t>
      </w:r>
      <w:r>
        <w:rPr>
          <w:rFonts w:eastAsia="Calibri"/>
          <w:bCs/>
        </w:rPr>
        <w:t>resp. pokladnicu vybavenú fiskálnou tlačiarňou, na ktorú bol zrušený certifikát</w:t>
      </w:r>
      <w:r>
        <w:rPr>
          <w:rFonts w:eastAsia="Calibri"/>
        </w:rPr>
        <w:t>, bude sa v takomto prípade na neho vzťahovať zákaz predávať tovar alebo poskytovať službu na predajnom mieste.</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tabs>
          <w:tab w:val="left" w:pos="426"/>
        </w:tabs>
        <w:ind w:left="1069"/>
        <w:jc w:val="both"/>
        <w:rPr>
          <w:rFonts w:eastAsia="Calibri"/>
        </w:rPr>
      </w:pPr>
    </w:p>
    <w:p w:rsidR="00294D26" w:rsidP="00294D26">
      <w:pPr>
        <w:tabs>
          <w:tab w:val="left" w:pos="426"/>
        </w:tabs>
        <w:ind w:left="1069"/>
        <w:jc w:val="both"/>
        <w:rPr>
          <w:rFonts w:eastAsia="Calibri"/>
        </w:rPr>
      </w:pPr>
    </w:p>
    <w:p w:rsidR="007D6AC6" w:rsidP="00294D26">
      <w:pPr>
        <w:numPr>
          <w:ilvl w:val="0"/>
          <w:numId w:val="33"/>
        </w:numPr>
        <w:contextualSpacing/>
        <w:jc w:val="both"/>
        <w:rPr>
          <w:rFonts w:eastAsia="Calibri"/>
          <w:bCs/>
        </w:rPr>
      </w:pPr>
      <w:r>
        <w:rPr>
          <w:rFonts w:eastAsia="Calibri"/>
          <w:b/>
        </w:rPr>
        <w:t>V čl. I v doterajšom  bode 37</w:t>
      </w:r>
      <w:r>
        <w:rPr>
          <w:rFonts w:eastAsia="Calibri"/>
        </w:rPr>
        <w:t xml:space="preserve"> v § 16b ods. 10 sa</w:t>
      </w:r>
      <w:r>
        <w:rPr>
          <w:rFonts w:eastAsia="Calibri"/>
          <w:b/>
          <w:color w:val="FF0000"/>
        </w:rPr>
        <w:t xml:space="preserve"> </w:t>
      </w:r>
      <w:r>
        <w:rPr>
          <w:rFonts w:eastAsia="Calibri"/>
        </w:rPr>
        <w:t xml:space="preserve">slová „am) a ao)“ nahrádzajú slovami “am), ao) a ap)“. </w:t>
      </w:r>
    </w:p>
    <w:p w:rsidR="007D6AC6" w:rsidP="00294D26">
      <w:pPr>
        <w:ind w:left="3544"/>
        <w:jc w:val="both"/>
        <w:rPr>
          <w:rFonts w:eastAsia="Calibri"/>
          <w:bCs/>
        </w:rPr>
      </w:pPr>
      <w:r>
        <w:rPr>
          <w:rFonts w:eastAsia="Calibri"/>
          <w:bCs/>
        </w:rPr>
        <w:t xml:space="preserve">S prihliadnutím na to, že pokuty za porušenie zákona o používaní elektronickej registračnej pokladnice ukladajú daňové úrady a aj colné úrady, je potrebné ustanoviť, aby sa vzájomne informovali aj v prípade zistenia porušenia, ak podnikateľ bude používať elektronickú registračnú pokladnicu, </w:t>
      </w:r>
      <w:r>
        <w:rPr>
          <w:rFonts w:eastAsia="Calibri"/>
        </w:rPr>
        <w:t xml:space="preserve">na ktorú bol zrušený certifikát, </w:t>
      </w:r>
      <w:r>
        <w:rPr>
          <w:rFonts w:eastAsia="Calibri"/>
          <w:bCs/>
        </w:rPr>
        <w:t xml:space="preserve">resp. pokladnicu vybavenú fiskálnou tlačiarňou, na ktorú bol zrušený certifikát. </w:t>
      </w:r>
    </w:p>
    <w:p w:rsidR="007D6AC6" w:rsidP="00294D26">
      <w:pPr>
        <w:rPr>
          <w:rFonts w:eastAsia="Calibri"/>
          <w:bCs/>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rPr>
          <w:rFonts w:eastAsia="Calibri"/>
          <w:bCs/>
        </w:rPr>
      </w:pPr>
    </w:p>
    <w:p w:rsidR="00294D26" w:rsidP="00294D26">
      <w:pPr>
        <w:rPr>
          <w:rFonts w:eastAsia="Calibri"/>
          <w:bCs/>
        </w:rPr>
      </w:pPr>
    </w:p>
    <w:p w:rsidR="007D6AC6" w:rsidP="00294D26">
      <w:pPr>
        <w:numPr>
          <w:ilvl w:val="0"/>
          <w:numId w:val="33"/>
        </w:numPr>
        <w:contextualSpacing/>
        <w:jc w:val="both"/>
        <w:rPr>
          <w:rFonts w:eastAsia="Calibri"/>
          <w:sz w:val="18"/>
          <w:szCs w:val="18"/>
        </w:rPr>
      </w:pPr>
      <w:r>
        <w:rPr>
          <w:rFonts w:eastAsia="Calibri"/>
          <w:b/>
        </w:rPr>
        <w:t>V čl. I v doterajšom bode 38</w:t>
      </w:r>
      <w:r>
        <w:rPr>
          <w:rFonts w:eastAsia="Calibri"/>
        </w:rPr>
        <w:t xml:space="preserve"> v § 17 ods. 1 sa</w:t>
      </w:r>
      <w:r>
        <w:rPr>
          <w:rFonts w:eastAsia="Calibri"/>
          <w:b/>
          <w:color w:val="FF0000"/>
        </w:rPr>
        <w:t xml:space="preserve"> </w:t>
      </w:r>
      <w:r>
        <w:rPr>
          <w:rFonts w:eastAsia="Calibri"/>
        </w:rPr>
        <w:t xml:space="preserve">nad slovom „predpisu“ odkaz „19)“ nahrádza odkazom „18d)“ a text </w:t>
      </w:r>
    </w:p>
    <w:p w:rsidR="007D6AC6" w:rsidP="00294D26">
      <w:pPr>
        <w:ind w:left="1069"/>
        <w:contextualSpacing/>
        <w:rPr>
          <w:rFonts w:eastAsia="Calibri"/>
          <w:sz w:val="18"/>
          <w:szCs w:val="18"/>
        </w:rPr>
      </w:pPr>
      <w:r>
        <w:rPr>
          <w:rFonts w:eastAsia="Calibri"/>
        </w:rPr>
        <w:t xml:space="preserve">„Poznámka pod čiarou k odkazu 20 znie: </w:t>
      </w:r>
    </w:p>
    <w:p w:rsidR="007D6AC6" w:rsidP="00294D26">
      <w:pPr>
        <w:ind w:left="1469" w:hanging="397"/>
        <w:jc w:val="both"/>
        <w:rPr>
          <w:rFonts w:eastAsia="Calibri"/>
        </w:rPr>
      </w:pPr>
      <w:r>
        <w:rPr>
          <w:rFonts w:eastAsia="Calibri"/>
        </w:rPr>
        <w:t>„</w:t>
      </w:r>
      <w:r>
        <w:rPr>
          <w:rFonts w:eastAsia="Calibri"/>
          <w:vertAlign w:val="superscript"/>
        </w:rPr>
        <w:t>20</w:t>
      </w:r>
      <w:r>
        <w:rPr>
          <w:rFonts w:eastAsia="Calibri"/>
        </w:rPr>
        <w:t>) § 37 až 39 a § 44 až 47 zákona č. 563/2009 Z. z. v znení neskorších predpisov.“.“</w:t>
      </w:r>
      <w:r>
        <w:rPr>
          <w:rFonts w:eastAsia="Calibri"/>
          <w:b/>
          <w:color w:val="000000"/>
        </w:rPr>
        <w:t xml:space="preserve">  </w:t>
      </w:r>
      <w:r>
        <w:rPr>
          <w:rFonts w:eastAsia="Calibri"/>
          <w:color w:val="000000"/>
        </w:rPr>
        <w:t>sa</w:t>
      </w:r>
      <w:r>
        <w:rPr>
          <w:rFonts w:eastAsia="Calibri"/>
          <w:b/>
          <w:color w:val="000000"/>
        </w:rPr>
        <w:t xml:space="preserve"> </w:t>
      </w:r>
      <w:r>
        <w:rPr>
          <w:rFonts w:eastAsia="Calibri"/>
          <w:color w:val="000000"/>
        </w:rPr>
        <w:t>nahrádza textom</w:t>
      </w:r>
      <w:r>
        <w:rPr>
          <w:rFonts w:eastAsia="Calibri"/>
          <w:b/>
          <w:color w:val="000000"/>
        </w:rPr>
        <w:t xml:space="preserve"> </w:t>
      </w:r>
      <w:r>
        <w:rPr>
          <w:rFonts w:eastAsia="Calibri"/>
          <w:color w:val="000000"/>
        </w:rPr>
        <w:t>v tomto znení:</w:t>
      </w:r>
    </w:p>
    <w:p w:rsidR="007D6AC6" w:rsidP="00294D26">
      <w:pPr>
        <w:ind w:left="709"/>
        <w:rPr>
          <w:rFonts w:eastAsia="Calibri"/>
          <w:b/>
        </w:rPr>
      </w:pPr>
    </w:p>
    <w:p w:rsidR="007D6AC6" w:rsidP="00294D26">
      <w:pPr>
        <w:ind w:left="364" w:firstLine="708"/>
        <w:rPr>
          <w:rFonts w:eastAsia="Calibri"/>
        </w:rPr>
      </w:pPr>
      <w:r>
        <w:rPr>
          <w:rFonts w:eastAsia="Calibri"/>
        </w:rPr>
        <w:t xml:space="preserve">„Poznámky pod čiarou k odkazom 18d a 20 znejú: </w:t>
      </w:r>
    </w:p>
    <w:p w:rsidR="007D6AC6" w:rsidP="00294D26">
      <w:pPr>
        <w:ind w:left="1469" w:hanging="397"/>
        <w:jc w:val="both"/>
        <w:rPr>
          <w:rFonts w:eastAsia="Calibri"/>
        </w:rPr>
      </w:pPr>
      <w:r>
        <w:rPr>
          <w:rFonts w:eastAsia="Calibri"/>
        </w:rPr>
        <w:t>„</w:t>
      </w:r>
      <w:r>
        <w:rPr>
          <w:rFonts w:eastAsia="Calibri"/>
          <w:vertAlign w:val="superscript"/>
        </w:rPr>
        <w:t>18d</w:t>
      </w:r>
      <w:r>
        <w:rPr>
          <w:rFonts w:eastAsia="Calibri"/>
        </w:rPr>
        <w:t>) Zákon č. 652/2004 Z. z. o orgánoch štátnej správy v colníctve a o zmene a      doplnení  niektorých  zákonov  v  znení neskorších predpisov.</w:t>
      </w:r>
    </w:p>
    <w:p w:rsidR="007D6AC6" w:rsidP="00294D26">
      <w:pPr>
        <w:ind w:left="1469" w:hanging="397"/>
        <w:rPr>
          <w:rFonts w:eastAsia="Calibri"/>
        </w:rPr>
      </w:pPr>
      <w:r>
        <w:rPr>
          <w:rFonts w:eastAsia="Calibri"/>
        </w:rPr>
        <w:t xml:space="preserve">       Zákon č. 563/2009 Z. z. v znení neskorších predpisov.</w:t>
      </w:r>
    </w:p>
    <w:p w:rsidR="007D6AC6" w:rsidP="00294D26">
      <w:pPr>
        <w:ind w:left="1469" w:hanging="397"/>
        <w:jc w:val="both"/>
        <w:rPr>
          <w:rFonts w:eastAsia="Calibri"/>
          <w:b/>
          <w:color w:val="FF0000"/>
        </w:rPr>
      </w:pPr>
      <w:r>
        <w:rPr>
          <w:rFonts w:eastAsia="Calibri"/>
        </w:rPr>
        <w:t xml:space="preserve">  </w:t>
      </w:r>
      <w:r>
        <w:rPr>
          <w:rFonts w:eastAsia="Calibri"/>
          <w:vertAlign w:val="superscript"/>
        </w:rPr>
        <w:t>20</w:t>
      </w:r>
      <w:r>
        <w:rPr>
          <w:rFonts w:eastAsia="Calibri"/>
        </w:rPr>
        <w:t>) § 37 až 39 a § 44 až 47 zákona č. 563/2009 Z. z. v znení neskorších predpisov.“</w:t>
      </w:r>
      <w:r>
        <w:rPr>
          <w:rFonts w:eastAsia="Calibri"/>
          <w:color w:val="000000"/>
        </w:rPr>
        <w:t>.“.</w:t>
      </w:r>
    </w:p>
    <w:p w:rsidR="007D6AC6" w:rsidP="00294D26">
      <w:pPr>
        <w:rPr>
          <w:rFonts w:eastAsia="Calibri"/>
        </w:rPr>
      </w:pPr>
    </w:p>
    <w:p w:rsidR="007D6AC6" w:rsidP="00294D26">
      <w:pPr>
        <w:ind w:left="3544"/>
        <w:jc w:val="both"/>
        <w:rPr>
          <w:rFonts w:eastAsia="Calibri"/>
          <w:bCs/>
          <w:sz w:val="22"/>
          <w:szCs w:val="22"/>
        </w:rPr>
      </w:pPr>
      <w:r>
        <w:rPr>
          <w:rFonts w:eastAsia="Calibri"/>
        </w:rPr>
        <w:t xml:space="preserve">Kontrolu dodržiavania ustanovení zákona o používaní elektronickej registračnej pokladnice vykonávajú aj colníci, ktorí pri svojej činnosti postupujú podľa zákona o orgánoch štátnej správy v colníctve, a preto sa spresňuje poznámka pod čiarou k odkazu 18d o tento zákon. </w:t>
      </w:r>
    </w:p>
    <w:p w:rsidR="007D6AC6" w:rsidP="00294D26">
      <w:pPr>
        <w:ind w:left="2832" w:firstLine="708"/>
        <w:jc w:val="both"/>
        <w:rPr>
          <w:b/>
        </w:rPr>
      </w:pP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rPr>
          <w:b/>
        </w:rPr>
      </w:pPr>
      <w:r>
        <w:rPr>
          <w:b/>
        </w:rPr>
        <w:t>Gestorský výbor odporúča schváliť.</w:t>
      </w:r>
    </w:p>
    <w:p w:rsidR="00294D26" w:rsidP="00294D26">
      <w:pPr>
        <w:ind w:left="2832" w:firstLine="708"/>
        <w:jc w:val="both"/>
      </w:pPr>
    </w:p>
    <w:p w:rsidR="00294D26" w:rsidP="00294D26">
      <w:pPr>
        <w:ind w:left="2832" w:firstLine="708"/>
        <w:jc w:val="both"/>
      </w:pPr>
    </w:p>
    <w:p w:rsidR="007D6AC6" w:rsidP="00294D26">
      <w:pPr>
        <w:pStyle w:val="ListParagraph"/>
        <w:numPr>
          <w:ilvl w:val="0"/>
          <w:numId w:val="33"/>
        </w:numPr>
        <w:spacing w:after="0" w:line="240" w:lineRule="auto"/>
        <w:jc w:val="both"/>
        <w:rPr>
          <w:rFonts w:ascii="Times New Roman" w:eastAsia="Times New Roman" w:hAnsi="Times New Roman"/>
          <w:sz w:val="24"/>
          <w:szCs w:val="24"/>
        </w:rPr>
      </w:pPr>
      <w:r>
        <w:rPr>
          <w:rFonts w:ascii="Times New Roman" w:hAnsi="Times New Roman"/>
          <w:b/>
          <w:sz w:val="24"/>
          <w:szCs w:val="24"/>
        </w:rPr>
        <w:t>V čl. I v bode 40</w:t>
      </w:r>
      <w:r>
        <w:rPr>
          <w:rFonts w:ascii="Times New Roman" w:hAnsi="Times New Roman"/>
          <w:sz w:val="24"/>
          <w:szCs w:val="24"/>
        </w:rPr>
        <w:t xml:space="preserve"> úvodnej vete sa za slovo „ktoré“ vkladajú slová „vrátane nadpisu“.</w:t>
      </w:r>
    </w:p>
    <w:p w:rsidR="007D6AC6" w:rsidP="00294D26">
      <w:pPr>
        <w:jc w:val="both"/>
      </w:pPr>
    </w:p>
    <w:p w:rsidR="007D6AC6" w:rsidP="00294D26">
      <w:pPr>
        <w:ind w:left="2832" w:firstLine="708"/>
        <w:jc w:val="both"/>
      </w:pPr>
      <w:r>
        <w:t>Ide o legislatívno-technickú úpravu.</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sidR="00327C8B">
        <w:rPr>
          <w:b/>
        </w:rPr>
        <w:t> </w:t>
      </w:r>
      <w:r w:rsidRPr="0085353E">
        <w:rPr>
          <w:b/>
        </w:rPr>
        <w:t>rozpočet</w:t>
      </w:r>
    </w:p>
    <w:p w:rsidR="00327C8B" w:rsidRPr="00327C8B" w:rsidP="00294D26">
      <w:pPr>
        <w:ind w:left="2832" w:firstLine="708"/>
        <w:jc w:val="both"/>
        <w:rPr>
          <w:b/>
        </w:rPr>
      </w:pPr>
      <w:r w:rsidRPr="00327C8B">
        <w:rPr>
          <w:b/>
        </w:rPr>
        <w:t xml:space="preserve">Ústavnoprávny výbor NR SR </w:t>
      </w:r>
    </w:p>
    <w:p w:rsidR="00243E4D" w:rsidRPr="0090567A" w:rsidP="00294D26">
      <w:pPr>
        <w:ind w:left="2832" w:firstLine="708"/>
        <w:jc w:val="both"/>
        <w:rPr>
          <w:b/>
        </w:rPr>
      </w:pPr>
      <w:r w:rsidRPr="0090567A">
        <w:rPr>
          <w:b/>
        </w:rPr>
        <w:t>Výbor NR SR pre hospodárske záležitosti</w:t>
      </w:r>
    </w:p>
    <w:p w:rsidR="007D6AC6" w:rsidP="00294D26">
      <w:pPr>
        <w:ind w:left="2832" w:firstLine="708"/>
        <w:jc w:val="both"/>
      </w:pPr>
      <w:r>
        <w:rPr>
          <w:b/>
        </w:rPr>
        <w:t>Gestorský výbor odporúča schváliť.</w:t>
      </w:r>
    </w:p>
    <w:p w:rsidR="007D6AC6" w:rsidP="00294D26">
      <w:pPr>
        <w:rPr>
          <w:rFonts w:ascii="Calibri" w:eastAsia="Calibri" w:hAnsi="Calibri"/>
          <w:sz w:val="22"/>
          <w:szCs w:val="22"/>
        </w:rPr>
      </w:pPr>
    </w:p>
    <w:p w:rsidR="00294D26" w:rsidP="00294D26">
      <w:pPr>
        <w:rPr>
          <w:rFonts w:ascii="Calibri" w:eastAsia="Calibri" w:hAnsi="Calibri"/>
          <w:sz w:val="22"/>
          <w:szCs w:val="22"/>
        </w:rPr>
      </w:pPr>
    </w:p>
    <w:p w:rsidR="007D6AC6" w:rsidP="00294D26">
      <w:pPr>
        <w:numPr>
          <w:ilvl w:val="0"/>
          <w:numId w:val="33"/>
        </w:numPr>
        <w:contextualSpacing/>
        <w:rPr>
          <w:rFonts w:eastAsia="Calibri"/>
          <w:bCs/>
          <w:lang w:eastAsia="en-US"/>
        </w:rPr>
      </w:pPr>
      <w:r>
        <w:rPr>
          <w:rFonts w:eastAsia="Calibri"/>
          <w:b/>
          <w:bCs/>
          <w:lang w:eastAsia="en-US"/>
        </w:rPr>
        <w:t>Za čl. I sa vkladá nový čl. II</w:t>
      </w:r>
      <w:r>
        <w:rPr>
          <w:rFonts w:eastAsia="Calibri"/>
          <w:bCs/>
          <w:lang w:eastAsia="en-US"/>
        </w:rPr>
        <w:t>, ktorý znie:</w:t>
      </w:r>
    </w:p>
    <w:p w:rsidR="007D6AC6" w:rsidP="00294D26">
      <w:pPr>
        <w:ind w:left="1069"/>
        <w:contextualSpacing/>
        <w:rPr>
          <w:rFonts w:eastAsia="Calibri"/>
          <w:bCs/>
          <w:lang w:eastAsia="en-US"/>
        </w:rPr>
      </w:pPr>
    </w:p>
    <w:p w:rsidR="007D6AC6" w:rsidP="00294D26">
      <w:pPr>
        <w:ind w:left="1069"/>
        <w:contextualSpacing/>
        <w:jc w:val="center"/>
        <w:rPr>
          <w:rFonts w:eastAsia="Calibri"/>
          <w:bCs/>
          <w:lang w:eastAsia="en-US"/>
        </w:rPr>
      </w:pPr>
      <w:r>
        <w:rPr>
          <w:rFonts w:eastAsia="Calibri"/>
          <w:bCs/>
          <w:lang w:eastAsia="en-US"/>
        </w:rPr>
        <w:t>„Čl. II</w:t>
      </w:r>
    </w:p>
    <w:p w:rsidR="007D6AC6" w:rsidP="00294D26">
      <w:pPr>
        <w:ind w:left="1069"/>
        <w:contextualSpacing/>
        <w:jc w:val="center"/>
        <w:rPr>
          <w:rFonts w:eastAsia="Calibri"/>
          <w:bCs/>
          <w:lang w:eastAsia="en-US"/>
        </w:rPr>
      </w:pPr>
    </w:p>
    <w:p w:rsidR="007D6AC6" w:rsidP="00294D26">
      <w:pPr>
        <w:ind w:left="708" w:firstLine="361"/>
        <w:contextualSpacing/>
        <w:jc w:val="both"/>
        <w:rPr>
          <w:rFonts w:eastAsia="Calibri"/>
          <w:bCs/>
          <w:lang w:eastAsia="en-US"/>
        </w:rPr>
      </w:pPr>
      <w:r>
        <w:rPr>
          <w:rFonts w:eastAsia="Calibri"/>
          <w:bCs/>
          <w:lang w:eastAsia="en-US"/>
        </w:rPr>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 z., zákona č. 358/2007 Z. z. a zákona č. 42/2013 Z. z. sa dopĺňa takto:</w:t>
      </w:r>
    </w:p>
    <w:p w:rsidR="007D6AC6" w:rsidP="00294D26">
      <w:pPr>
        <w:jc w:val="both"/>
        <w:rPr>
          <w:rFonts w:eastAsia="Calibri"/>
          <w:bCs/>
          <w:lang w:eastAsia="en-US"/>
        </w:rPr>
      </w:pPr>
    </w:p>
    <w:p w:rsidR="007D6AC6" w:rsidP="00294D26">
      <w:pPr>
        <w:ind w:left="708"/>
        <w:contextualSpacing/>
        <w:jc w:val="both"/>
        <w:rPr>
          <w:rFonts w:eastAsia="Calibri"/>
          <w:b/>
          <w:bCs/>
          <w:lang w:eastAsia="en-US"/>
        </w:rPr>
      </w:pPr>
      <w:r>
        <w:rPr>
          <w:rFonts w:eastAsia="Calibri"/>
          <w:bCs/>
          <w:lang w:eastAsia="en-US"/>
        </w:rPr>
        <w:t>V § 3 ods. 1 sa na konci pripájajú tieto vety: „Predávajúci je povinný pri podaní žiadosti o vydanie povolenia na zriadenie trhového miesta a na predaj výrobkov a poskytovanie služieb na trhovom mieste predložiť fotokópiu strany označenej ako ZÁZNAMY DAŇOVÉHO ÚRADU z jeho knihy elektronickej registračnej pokladnice, na ktorej je zaznamenané pridelenie daňového kódu elektronickej registračnej pokladnice alebo predložiť čestné vyhlásenie s uvedením ustanovení osobitného predpisu</w:t>
      </w:r>
      <w:r>
        <w:rPr>
          <w:rFonts w:eastAsia="Calibri"/>
          <w:bCs/>
          <w:vertAlign w:val="superscript"/>
          <w:lang w:eastAsia="en-US"/>
        </w:rPr>
        <w:t>4a</w:t>
      </w:r>
      <w:r>
        <w:rPr>
          <w:rFonts w:eastAsia="Calibri"/>
          <w:bCs/>
          <w:lang w:eastAsia="en-US"/>
        </w:rPr>
        <w:t>), že nie je povinný na predaj výrobkov a poskytovanie služieb používať elektronickú registračnú pokladnicu. Ak predávajúci požadované dokumenty predloží, obec povolenie  na zriadenie trhového miesta a na predaj výrobkov a poskytovanie služieb na trhovom mieste vydá;  obec je povinná predložené dokumenty uchovávať päť rokov od konca kalendárneho roku, v ktorom boli predložené.  O vydaní povolenia na zriadenie trhového miesta a na predaj výrobkov a poskytovanie služieb na trhovom mieste obec telefonicky alebo elektronicky bezodkladne informuje Finančné riaditeľstvo Slovenskej republiky na telefónnom čísle alebo elektronickej adrese, ktoré Finančné riaditeľstvo Slovenskej republiky zverejní na svojom webovom sídle. Ak predávajúci požadované dokumenty nepredloží, obec povolenie nevydá.“.</w:t>
      </w:r>
      <w:r>
        <w:rPr>
          <w:rFonts w:eastAsia="Calibri"/>
          <w:b/>
          <w:bCs/>
          <w:lang w:eastAsia="en-US"/>
        </w:rPr>
        <w:t xml:space="preserve">   </w:t>
      </w:r>
    </w:p>
    <w:p w:rsidR="007D6AC6" w:rsidP="00294D26">
      <w:pPr>
        <w:jc w:val="both"/>
        <w:rPr>
          <w:rFonts w:eastAsia="Calibri"/>
          <w:bCs/>
          <w:lang w:eastAsia="en-US"/>
        </w:rPr>
      </w:pPr>
    </w:p>
    <w:p w:rsidR="007D6AC6" w:rsidP="00294D26">
      <w:pPr>
        <w:ind w:firstLine="708"/>
        <w:rPr>
          <w:rFonts w:eastAsia="Calibri"/>
          <w:bCs/>
        </w:rPr>
      </w:pPr>
      <w:r>
        <w:rPr>
          <w:rFonts w:eastAsia="Calibri"/>
        </w:rPr>
        <w:t xml:space="preserve">Poznámka pod čiarou k odkazu 4a znie: </w:t>
      </w:r>
    </w:p>
    <w:p w:rsidR="007D6AC6" w:rsidP="00294D26">
      <w:pPr>
        <w:ind w:left="708"/>
        <w:jc w:val="both"/>
        <w:rPr>
          <w:rFonts w:eastAsia="Calibri"/>
          <w:lang w:eastAsia="en-US"/>
        </w:rPr>
      </w:pPr>
      <w:r>
        <w:rPr>
          <w:rFonts w:eastAsia="Calibri"/>
        </w:rPr>
        <w:t>„</w:t>
      </w:r>
      <w:r>
        <w:rPr>
          <w:rFonts w:eastAsia="Calibri"/>
          <w:vertAlign w:val="superscript"/>
        </w:rPr>
        <w:t>4a</w:t>
      </w:r>
      <w:r>
        <w:rPr>
          <w:rFonts w:eastAsia="Calibri"/>
        </w:rPr>
        <w:t>) Z</w:t>
      </w:r>
      <w:r>
        <w:rPr>
          <w:rFonts w:eastAsia="Calibri"/>
          <w:bCs/>
          <w:lang w:eastAsia="en-US"/>
        </w:rPr>
        <w:t>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rsidR="007D6AC6" w:rsidP="00294D26">
      <w:pPr>
        <w:ind w:left="364" w:firstLine="708"/>
        <w:rPr>
          <w:rFonts w:eastAsia="Calibri"/>
          <w:bCs/>
          <w:vertAlign w:val="superscript"/>
        </w:rPr>
      </w:pPr>
    </w:p>
    <w:p w:rsidR="007D6AC6" w:rsidP="00294D26">
      <w:pPr>
        <w:ind w:left="3544"/>
        <w:jc w:val="both"/>
        <w:rPr>
          <w:rFonts w:eastAsia="Calibri"/>
        </w:rPr>
      </w:pPr>
      <w:r>
        <w:rPr>
          <w:rFonts w:eastAsia="Calibri"/>
        </w:rPr>
        <w:t xml:space="preserve">V záujme toho, aby predávajúci na trhových miestach používali elektronickú registračnú pokladnicu, navrhuje sa, aby pri vydávaní povolenia na takýchto miestach obec takéto povolenie vydala len v prípade, ak sa predávajúci preukáže tým, že má pridelený daňový kód elektronickej registračnej pokladnice, resp. predloží čestné vyhlásenie, v ktorom uvedie, že nie je povinný používať elektronickú registračnú pokladnicu, pretože  nie je podnikateľ (§ 1 ods. 2) alebo je občan ZŤP alebo ZŤP-S (§ 3 ods. 2), alebo neposkytuje niektorú zo služieb uvedenú v prílohe č. 1 [§2 písm. j)] zákona o  </w:t>
      </w:r>
      <w:r>
        <w:rPr>
          <w:rFonts w:eastAsia="Calibri"/>
          <w:bCs/>
          <w:lang w:eastAsia="en-US"/>
        </w:rPr>
        <w:t>používaní elektronickej registračnej pokladnice</w:t>
      </w:r>
      <w:r>
        <w:rPr>
          <w:rFonts w:eastAsia="Calibri"/>
        </w:rPr>
        <w:t xml:space="preserve">. </w:t>
      </w:r>
    </w:p>
    <w:p w:rsidR="007D6AC6" w:rsidP="00294D26">
      <w:pPr>
        <w:ind w:left="3544"/>
        <w:jc w:val="both"/>
        <w:rPr>
          <w:rFonts w:eastAsia="Calibri"/>
          <w:sz w:val="22"/>
          <w:szCs w:val="22"/>
        </w:rPr>
      </w:pPr>
      <w:r>
        <w:rPr>
          <w:rFonts w:eastAsia="Calibri"/>
        </w:rPr>
        <w:t>Zároveň sa ustanovuje, že ak obec povolenie na predaj alebo poskytovanie služby vydá, je povinná o tejto skutočnosti informovať Finančné riaditeľstvo SR (telefonicky alebo elektronicky).</w:t>
      </w:r>
    </w:p>
    <w:p w:rsidR="007D6AC6" w:rsidP="00294D26">
      <w:pPr>
        <w:jc w:val="both"/>
        <w:rPr>
          <w:rFonts w:eastAsia="Calibri"/>
          <w:lang w:eastAsia="en-US"/>
        </w:rPr>
      </w:pPr>
    </w:p>
    <w:p w:rsidR="007D6AC6" w:rsidP="00294D26">
      <w:pPr>
        <w:ind w:firstLine="708"/>
        <w:jc w:val="both"/>
        <w:rPr>
          <w:rFonts w:eastAsia="Calibri"/>
          <w:bCs/>
          <w:lang w:eastAsia="en-US"/>
        </w:rPr>
      </w:pPr>
      <w:r>
        <w:rPr>
          <w:rFonts w:eastAsia="Calibri"/>
          <w:bCs/>
          <w:lang w:eastAsia="en-US"/>
        </w:rPr>
        <w:t>Doterajší čl. II o účinnosti sa označuje ako čl. III.</w:t>
      </w:r>
    </w:p>
    <w:p w:rsidR="007D6AC6" w:rsidP="00294D26">
      <w:pPr>
        <w:ind w:left="2832" w:firstLine="708"/>
        <w:jc w:val="both"/>
        <w:rPr>
          <w:b/>
        </w:rPr>
      </w:pPr>
    </w:p>
    <w:p w:rsidR="007D6AC6" w:rsidP="00294D26">
      <w:pPr>
        <w:ind w:left="2832" w:firstLine="708"/>
        <w:jc w:val="both"/>
        <w:rPr>
          <w:b/>
        </w:rPr>
      </w:pPr>
      <w:r w:rsidRPr="0085353E">
        <w:rPr>
          <w:b/>
        </w:rPr>
        <w:t>Výbor NR SR pre financie a</w:t>
      </w:r>
      <w:r>
        <w:rPr>
          <w:b/>
        </w:rPr>
        <w:t> </w:t>
      </w:r>
      <w:r w:rsidRPr="0085353E">
        <w:rPr>
          <w:b/>
        </w:rPr>
        <w:t>rozpočet</w:t>
      </w:r>
    </w:p>
    <w:p w:rsidR="007D6AC6" w:rsidP="00294D26">
      <w:pPr>
        <w:ind w:left="2832" w:firstLine="708"/>
        <w:jc w:val="both"/>
      </w:pPr>
      <w:r>
        <w:rPr>
          <w:b/>
        </w:rPr>
        <w:t>Gestorský výbor odporúča schváliť.</w:t>
      </w:r>
    </w:p>
    <w:p w:rsidR="007D6AC6" w:rsidP="00294D26">
      <w:pPr>
        <w:jc w:val="both"/>
        <w:rPr>
          <w:rFonts w:eastAsia="Calibri"/>
          <w:b/>
          <w:bCs/>
          <w:highlight w:val="yellow"/>
          <w:lang w:eastAsia="en-US"/>
        </w:rPr>
      </w:pPr>
    </w:p>
    <w:p w:rsidR="00294D26" w:rsidP="00294D26">
      <w:pPr>
        <w:jc w:val="both"/>
        <w:rPr>
          <w:rFonts w:eastAsia="Calibri"/>
          <w:b/>
          <w:bCs/>
          <w:highlight w:val="yellow"/>
          <w:lang w:eastAsia="en-US"/>
        </w:rPr>
      </w:pPr>
    </w:p>
    <w:p w:rsidR="007D6AC6" w:rsidP="00294D26">
      <w:pPr>
        <w:numPr>
          <w:ilvl w:val="0"/>
          <w:numId w:val="33"/>
        </w:numPr>
        <w:ind w:left="924" w:hanging="357"/>
        <w:contextualSpacing/>
        <w:jc w:val="both"/>
        <w:rPr>
          <w:rFonts w:eastAsia="Calibri"/>
          <w:b/>
          <w:bCs/>
          <w:lang w:eastAsia="en-US"/>
        </w:rPr>
      </w:pPr>
      <w:r>
        <w:rPr>
          <w:rFonts w:eastAsia="Calibri"/>
          <w:b/>
          <w:bCs/>
          <w:lang w:eastAsia="en-US"/>
        </w:rPr>
        <w:t>Novooznačený čl. III</w:t>
      </w:r>
      <w:r>
        <w:rPr>
          <w:rFonts w:eastAsia="Calibri"/>
          <w:bCs/>
          <w:lang w:eastAsia="en-US"/>
        </w:rPr>
        <w:t xml:space="preserve"> je potrebné upraviť tak, aby nový bod 21 (v pozmeňovacom návrhu označený ako bod 4) nadobudol účinnosť 1. januára 2015.  </w:t>
      </w:r>
    </w:p>
    <w:p w:rsidR="007D6AC6" w:rsidP="00294D26">
      <w:pPr>
        <w:ind w:left="3544"/>
        <w:rPr>
          <w:rFonts w:eastAsia="Calibri"/>
          <w:bCs/>
        </w:rPr>
      </w:pPr>
    </w:p>
    <w:p w:rsidR="007D6AC6" w:rsidP="00294D26">
      <w:pPr>
        <w:ind w:left="3544"/>
        <w:jc w:val="both"/>
        <w:rPr>
          <w:rFonts w:eastAsia="Calibri"/>
          <w:bCs/>
          <w:sz w:val="22"/>
          <w:szCs w:val="22"/>
        </w:rPr>
      </w:pPr>
      <w:r>
        <w:rPr>
          <w:rFonts w:eastAsia="Calibri"/>
        </w:rPr>
        <w:t>Nadväzne na ustanovenie možnosti pre zahraničného podnikateľa požiadať o pridelenie daňového kódu elektronickej registračnej pokladnice na ktoromkoľvek daňovom úrade, sa navrhuje, aby táto možnosť bola realizovaná až od 1. januára 2015, a to z dôvodu, aby sa finančná správa mohla na túto skutočnosť pripraviť.</w:t>
      </w:r>
    </w:p>
    <w:p w:rsidR="00D82C15" w:rsidP="00294D26">
      <w:pPr>
        <w:pStyle w:val="BodyText2"/>
        <w:ind w:firstLine="708"/>
        <w:jc w:val="left"/>
      </w:pPr>
    </w:p>
    <w:p w:rsidR="00D82C15" w:rsidP="00294D26">
      <w:pPr>
        <w:ind w:left="2832" w:firstLine="708"/>
        <w:jc w:val="both"/>
        <w:rPr>
          <w:b/>
        </w:rPr>
      </w:pPr>
      <w:r w:rsidRPr="0085353E">
        <w:rPr>
          <w:b/>
        </w:rPr>
        <w:t>Výbor NR SR pre financie a</w:t>
      </w:r>
      <w:r>
        <w:rPr>
          <w:b/>
        </w:rPr>
        <w:t> </w:t>
      </w:r>
      <w:r w:rsidRPr="0085353E">
        <w:rPr>
          <w:b/>
        </w:rPr>
        <w:t>rozpočet</w:t>
      </w:r>
    </w:p>
    <w:p w:rsidR="00D82C15" w:rsidP="00294D26">
      <w:pPr>
        <w:ind w:left="3540"/>
        <w:jc w:val="both"/>
      </w:pPr>
      <w:r>
        <w:rPr>
          <w:b/>
        </w:rPr>
        <w:t>Gestorský výbor odporúča schváliť.</w:t>
      </w:r>
    </w:p>
    <w:p w:rsidR="00D82C15" w:rsidRPr="00D82C15" w:rsidP="00294D26">
      <w:pPr>
        <w:jc w:val="both"/>
        <w:rPr>
          <w:bCs/>
        </w:rPr>
      </w:pPr>
    </w:p>
    <w:p w:rsidR="00B64432" w:rsidRPr="00B64432" w:rsidP="00294D26">
      <w:pPr>
        <w:rPr>
          <w:b/>
        </w:rPr>
      </w:pPr>
    </w:p>
    <w:p w:rsidR="00445EE1" w:rsidP="00294D26">
      <w:pPr>
        <w:pStyle w:val="BodyText2"/>
        <w:ind w:firstLine="708"/>
      </w:pPr>
      <w:r>
        <w:t>Gestorský výbor odporúča o návrhoch výboru Národnej rady Slovenskej republiky, ktoré sú uvedené v spoločnej správe hlasovať takto :</w:t>
      </w:r>
    </w:p>
    <w:p w:rsidR="00445EE1" w:rsidP="00294D26">
      <w:pPr>
        <w:pStyle w:val="BodyText2"/>
      </w:pPr>
    </w:p>
    <w:p w:rsidR="00445EE1" w:rsidP="00294D26">
      <w:pPr>
        <w:pStyle w:val="BodyText2"/>
        <w:ind w:firstLine="708"/>
      </w:pPr>
      <w:r w:rsidR="00740C06">
        <w:t>O bodoch spoločnej správy č.</w:t>
      </w:r>
      <w:r w:rsidR="00141A76">
        <w:t xml:space="preserve"> </w:t>
      </w:r>
      <w:r w:rsidR="0031063E">
        <w:t xml:space="preserve"> </w:t>
      </w:r>
      <w:r w:rsidR="00327C8B">
        <w:t>1,2,3,4,5,6,7,8,9,10,11,12,13,14,15,16,17,18</w:t>
      </w:r>
      <w:r w:rsidR="009124B6">
        <w:t xml:space="preserve">  </w:t>
      </w:r>
      <w:r>
        <w:t xml:space="preserve">hlasovať </w:t>
      </w:r>
      <w:r w:rsidR="0031063E">
        <w:t xml:space="preserve">spoločne </w:t>
      </w:r>
      <w:r>
        <w:t xml:space="preserve">s návrhom gestorského výboru </w:t>
      </w:r>
      <w:r w:rsidRPr="00AF1636">
        <w:rPr>
          <w:b/>
        </w:rPr>
        <w:t>sc</w:t>
      </w:r>
      <w:r w:rsidRPr="00B057B4">
        <w:rPr>
          <w:b/>
        </w:rPr>
        <w:t>hváliť</w:t>
      </w:r>
      <w:r>
        <w:t>.</w:t>
      </w:r>
    </w:p>
    <w:p w:rsidR="00141A76" w:rsidP="00294D26">
      <w:pPr>
        <w:pStyle w:val="BodyText2"/>
        <w:ind w:firstLine="708"/>
      </w:pPr>
    </w:p>
    <w:p w:rsidR="00562F0E" w:rsidP="00294D26">
      <w:pPr>
        <w:pStyle w:val="BodyText2"/>
        <w:tabs>
          <w:tab w:val="left" w:pos="4065"/>
        </w:tabs>
        <w:ind w:firstLine="708"/>
      </w:pPr>
      <w:r w:rsidR="008346BC">
        <w:tab/>
      </w:r>
    </w:p>
    <w:p w:rsidR="00233A93" w:rsidP="00294D26">
      <w:pPr>
        <w:pStyle w:val="BodyText2"/>
        <w:jc w:val="center"/>
        <w:rPr>
          <w:b/>
        </w:rPr>
      </w:pPr>
      <w:r>
        <w:rPr>
          <w:b/>
        </w:rPr>
        <w:t>V.</w:t>
      </w:r>
    </w:p>
    <w:p w:rsidR="00233A93" w:rsidRPr="00791F4B" w:rsidP="00294D26">
      <w:pPr>
        <w:tabs>
          <w:tab w:val="left" w:pos="5040"/>
        </w:tabs>
        <w:jc w:val="both"/>
      </w:pPr>
      <w:r w:rsidRPr="00791F4B">
        <w:t>Gestorský výbor na základe stanovísk výborov k</w:t>
      </w:r>
      <w:r w:rsidRPr="00345BFB" w:rsidR="00345BFB">
        <w:t xml:space="preserve"> </w:t>
      </w:r>
      <w:r w:rsidRPr="009124B6" w:rsidR="009124B6">
        <w:t>vládn</w:t>
      </w:r>
      <w:r w:rsidR="009124B6">
        <w:t>emu</w:t>
      </w:r>
      <w:r w:rsidRPr="009124B6" w:rsidR="009124B6">
        <w:t xml:space="preserve"> návrh</w:t>
      </w:r>
      <w:r w:rsidR="009124B6">
        <w:t>u</w:t>
      </w:r>
      <w:r w:rsidRPr="009124B6" w:rsidR="009124B6">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r w:rsidR="009124B6">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294D26">
      <w:pPr>
        <w:pStyle w:val="BodyText2"/>
        <w:ind w:firstLine="708"/>
      </w:pPr>
    </w:p>
    <w:p w:rsidR="00233A93" w:rsidP="00294D26">
      <w:pPr>
        <w:pStyle w:val="BodyText2"/>
        <w:ind w:firstLine="708"/>
        <w:rPr>
          <w:b/>
          <w:bCs/>
        </w:rPr>
      </w:pPr>
      <w:r>
        <w:t xml:space="preserve"> </w:t>
      </w:r>
      <w:r>
        <w:rPr>
          <w:b/>
          <w:bCs/>
        </w:rPr>
        <w:t>odporúča Národnej rade Slovenskej republiky</w:t>
      </w:r>
    </w:p>
    <w:p w:rsidR="00D35084" w:rsidP="00294D26">
      <w:pPr>
        <w:pStyle w:val="BodyText2"/>
      </w:pPr>
      <w:r w:rsidR="00C339FD">
        <w:t xml:space="preserve"> </w:t>
      </w:r>
      <w:r w:rsidR="002A75EF">
        <w:t xml:space="preserve"> </w:t>
      </w:r>
    </w:p>
    <w:p w:rsidR="00B40188" w:rsidP="00294D26">
      <w:pPr>
        <w:tabs>
          <w:tab w:val="left" w:pos="720"/>
        </w:tabs>
        <w:jc w:val="both"/>
        <w:rPr>
          <w:b/>
          <w:bCs/>
        </w:rPr>
      </w:pPr>
      <w:r w:rsidR="00EF184C">
        <w:rPr>
          <w:szCs w:val="20"/>
        </w:rPr>
        <w:tab/>
      </w:r>
      <w:r w:rsidRPr="009124B6" w:rsidR="009124B6">
        <w:t>vládn</w:t>
      </w:r>
      <w:r w:rsidR="009124B6">
        <w:t>y</w:t>
      </w:r>
      <w:r w:rsidRPr="009124B6" w:rsidR="009124B6">
        <w:t xml:space="preserve">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r w:rsidR="009124B6">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075545" w:rsidP="00294D26">
      <w:pPr>
        <w:tabs>
          <w:tab w:val="left" w:pos="720"/>
        </w:tabs>
        <w:rPr>
          <w:b/>
          <w:bCs/>
        </w:rPr>
      </w:pPr>
    </w:p>
    <w:p w:rsidR="00294D26" w:rsidP="00294D26">
      <w:pPr>
        <w:tabs>
          <w:tab w:val="left" w:pos="720"/>
        </w:tabs>
        <w:rPr>
          <w:b/>
          <w:bCs/>
        </w:rPr>
      </w:pPr>
    </w:p>
    <w:p w:rsidR="00233A93" w:rsidP="00294D26">
      <w:pPr>
        <w:tabs>
          <w:tab w:val="left" w:pos="709"/>
        </w:tabs>
        <w:jc w:val="both"/>
      </w:pPr>
      <w:r w:rsidR="000734C1">
        <w:tab/>
      </w:r>
      <w:r>
        <w:t>Predmetná správa výborov Národnej rady Slovenskej republiky o</w:t>
      </w:r>
      <w:r w:rsidR="00791F4B">
        <w:t> </w:t>
      </w:r>
      <w:r w:rsidRPr="009124B6" w:rsidR="009124B6">
        <w:t>vládn</w:t>
      </w:r>
      <w:r w:rsidR="009124B6">
        <w:t>om</w:t>
      </w:r>
      <w:r w:rsidRPr="009124B6" w:rsidR="009124B6">
        <w:t xml:space="preserve"> návrh</w:t>
      </w:r>
      <w:r w:rsidR="009124B6">
        <w:t>u</w:t>
      </w:r>
      <w:r w:rsidRPr="009124B6" w:rsidR="009124B6">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r w:rsidR="009124B6">
        <w:t>a</w:t>
      </w:r>
      <w:r w:rsidRPr="009124B6" w:rsidR="009124B6">
        <w:t>)</w:t>
      </w:r>
      <w:r w:rsidR="009124B6">
        <w:t xml:space="preserve"> </w:t>
      </w:r>
      <w:r>
        <w:t>bola schválená uznesením gestorského výboru č.</w:t>
      </w:r>
      <w:r w:rsidR="004E1881">
        <w:t xml:space="preserve"> </w:t>
      </w:r>
      <w:r w:rsidR="0087494D">
        <w:t>227</w:t>
      </w:r>
      <w:r w:rsidR="009124B6">
        <w:t xml:space="preserve"> </w:t>
      </w:r>
      <w:r>
        <w:t>z</w:t>
      </w:r>
      <w:r w:rsidR="009124B6">
        <w:t>o</w:t>
      </w:r>
      <w:r w:rsidR="00E6496B">
        <w:t xml:space="preserve"> </w:t>
      </w:r>
      <w:r w:rsidR="000734C1">
        <w:t>1</w:t>
      </w:r>
      <w:r w:rsidR="009124B6">
        <w:t>4</w:t>
      </w:r>
      <w:r w:rsidR="002741E7">
        <w:t xml:space="preserve">. </w:t>
      </w:r>
      <w:r w:rsidR="009124B6">
        <w:t>októbra</w:t>
      </w:r>
      <w:r w:rsidR="00D365D2">
        <w:t xml:space="preserve"> 20</w:t>
      </w:r>
      <w:r w:rsidR="0020341D">
        <w:t>1</w:t>
      </w:r>
      <w:r w:rsidR="000734C1">
        <w:t>3</w:t>
      </w:r>
      <w:r w:rsidR="0020341D">
        <w:t>. Výbor určil poslan</w:t>
      </w:r>
      <w:r w:rsidR="00C23D38">
        <w:t>ca</w:t>
      </w:r>
      <w:r w:rsidR="007F1816">
        <w:t xml:space="preserve"> </w:t>
      </w:r>
      <w:r w:rsidRPr="009124B6" w:rsidR="009124B6">
        <w:rPr>
          <w:b/>
        </w:rPr>
        <w:t>Štefana Hrehu</w:t>
      </w:r>
      <w:r w:rsidR="00363905">
        <w:rPr>
          <w:b/>
        </w:rPr>
        <w:t xml:space="preserve"> </w:t>
      </w:r>
      <w:r>
        <w:t>za spoločn</w:t>
      </w:r>
      <w:r w:rsidR="00C23D38">
        <w:t>ého</w:t>
      </w:r>
      <w:r>
        <w:t xml:space="preserve"> spravodaj</w:t>
      </w:r>
      <w:r w:rsidR="00C23D38">
        <w:t>cu</w:t>
      </w:r>
      <w:r>
        <w:t xml:space="preserve"> výborov.</w:t>
      </w:r>
    </w:p>
    <w:p w:rsidR="00D35084" w:rsidP="00294D26">
      <w:pPr>
        <w:pStyle w:val="BodyText2"/>
      </w:pPr>
      <w:r w:rsidR="000106DD">
        <w:t xml:space="preserve"> </w:t>
      </w:r>
    </w:p>
    <w:p w:rsidR="00EF184C" w:rsidP="00294D26">
      <w:pPr>
        <w:pStyle w:val="BodyText2"/>
      </w:pPr>
    </w:p>
    <w:p w:rsidR="00233A93" w:rsidP="00294D26">
      <w:pPr>
        <w:pStyle w:val="BodyText2"/>
      </w:pPr>
      <w:r w:rsidR="00F35587">
        <w:t xml:space="preserve">Súčasne </w:t>
      </w:r>
      <w:r w:rsidR="00C23D38">
        <w:t>ho</w:t>
      </w:r>
      <w:r>
        <w:t xml:space="preserve"> poveril</w:t>
      </w:r>
    </w:p>
    <w:p w:rsidR="00D35084" w:rsidP="00294D26">
      <w:pPr>
        <w:pStyle w:val="BodyText2"/>
      </w:pPr>
    </w:p>
    <w:p w:rsidR="00233A93" w:rsidP="00294D26">
      <w:pPr>
        <w:pStyle w:val="BodyText3"/>
        <w:ind w:left="708"/>
        <w:rPr>
          <w:lang w:val="sk-SK"/>
        </w:rPr>
      </w:pPr>
      <w:r>
        <w:rPr>
          <w:lang w:val="sk-SK"/>
        </w:rPr>
        <w:t>1.  predniesť spoločnú správu výborov na schôdzi Národnej rady Slovenskej republiky</w:t>
      </w:r>
    </w:p>
    <w:p w:rsidR="00233A93" w:rsidP="00294D26">
      <w:pPr>
        <w:pStyle w:val="BodyText3"/>
        <w:rPr>
          <w:lang w:val="sk-SK"/>
        </w:rPr>
      </w:pPr>
    </w:p>
    <w:p w:rsidR="00C00821" w:rsidP="00C00821">
      <w:pPr>
        <w:pStyle w:val="BodyText3"/>
        <w:numPr>
          <w:ilvl w:val="0"/>
          <w:numId w:val="34"/>
        </w:numPr>
        <w:rPr>
          <w:lang w:val="sk-SK"/>
        </w:rPr>
      </w:pPr>
      <w:r w:rsidRPr="00C00821" w:rsidR="00233A93">
        <w:rPr>
          <w:lang w:val="sk-SK"/>
        </w:rPr>
        <w:t xml:space="preserve">navrhnúť Národnej rade Slovenskej republiky postup pri hlasovaní o pozmeňujúcich a doplňujúcich návrhoch, ktoré vyplynuli z rozpravy </w:t>
      </w:r>
      <w:r>
        <w:rPr>
          <w:lang w:val="sk-SK"/>
        </w:rPr>
        <w:t xml:space="preserve">(§ 83 ods. 2 a ods. 4, § 84 ods. 2 a § 86 zákona č. 350/1996 Z. z.). </w:t>
      </w:r>
    </w:p>
    <w:p w:rsidR="00597395" w:rsidRPr="00C00821" w:rsidP="00C00821">
      <w:pPr>
        <w:pStyle w:val="BodyText3"/>
        <w:ind w:left="720"/>
        <w:rPr>
          <w:lang w:val="sk-SK"/>
        </w:rPr>
      </w:pPr>
    </w:p>
    <w:p w:rsidR="00EF184C" w:rsidP="00294D26">
      <w:pPr>
        <w:pStyle w:val="BodyText3"/>
        <w:ind w:left="720"/>
        <w:rPr>
          <w:lang w:val="sk-SK"/>
        </w:rPr>
      </w:pPr>
    </w:p>
    <w:p w:rsidR="00EF184C" w:rsidP="00294D26">
      <w:pPr>
        <w:pStyle w:val="BodyText3"/>
        <w:ind w:left="720"/>
        <w:rPr>
          <w:lang w:val="sk-SK"/>
        </w:rPr>
      </w:pPr>
    </w:p>
    <w:p w:rsidR="00233A93" w:rsidP="00294D26">
      <w:pPr>
        <w:pStyle w:val="BodyText2"/>
        <w:jc w:val="center"/>
      </w:pPr>
      <w:r>
        <w:t xml:space="preserve">Bratislava </w:t>
      </w:r>
      <w:r w:rsidR="009124B6">
        <w:t>14. októbra</w:t>
      </w:r>
      <w:r w:rsidR="00385F60">
        <w:t xml:space="preserve"> </w:t>
      </w:r>
      <w:r w:rsidR="00C23D38">
        <w:t>201</w:t>
      </w:r>
      <w:r w:rsidR="000734C1">
        <w:t>3</w:t>
      </w:r>
    </w:p>
    <w:p w:rsidR="00B94345">
      <w:pPr>
        <w:pStyle w:val="BodyText2"/>
      </w:pPr>
    </w:p>
    <w:p w:rsidR="00AB5099">
      <w:pPr>
        <w:pStyle w:val="BodyText2"/>
      </w:pPr>
    </w:p>
    <w:p w:rsidR="00613A37">
      <w:pPr>
        <w:pStyle w:val="BodyText2"/>
      </w:pPr>
    </w:p>
    <w:p w:rsidR="00D35084">
      <w:pPr>
        <w:pStyle w:val="BodyText2"/>
      </w:pPr>
    </w:p>
    <w:p w:rsidR="00075545">
      <w:pPr>
        <w:pStyle w:val="BodyText2"/>
      </w:pPr>
    </w:p>
    <w:p w:rsidR="00D35084">
      <w:pPr>
        <w:pStyle w:val="BodyText2"/>
      </w:pPr>
    </w:p>
    <w:p w:rsidR="00D35084">
      <w:pPr>
        <w:pStyle w:val="BodyText2"/>
      </w:pPr>
    </w:p>
    <w:p w:rsidR="00194A2B" w:rsidP="00194A2B">
      <w:pPr>
        <w:pStyle w:val="BodyText2"/>
        <w:jc w:val="center"/>
        <w:rPr>
          <w:b/>
          <w:bCs/>
        </w:rPr>
      </w:pPr>
      <w:r w:rsidR="00C23D38">
        <w:rPr>
          <w:b/>
          <w:bCs/>
        </w:rPr>
        <w:t>Daniel  D u c h o</w:t>
      </w:r>
      <w:r w:rsidR="00E81BCB">
        <w:rPr>
          <w:b/>
          <w:bCs/>
        </w:rPr>
        <w:t> </w:t>
      </w:r>
      <w:r w:rsidR="00C23D38">
        <w:rPr>
          <w:b/>
          <w:bCs/>
        </w:rPr>
        <w:t>ň</w:t>
      </w:r>
      <w:r w:rsidR="00E81BCB">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506020202030204"/>
    <w:charset w:val="EE"/>
    <w:family w:val="swiss"/>
    <w:pitch w:val="variable"/>
    <w:sig w:usb0="00000287" w:usb1="00000800" w:usb2="00000000" w:usb3="00000000" w:csb0="0000009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4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94D">
      <w:rPr>
        <w:rStyle w:val="PageNumber"/>
        <w:noProof/>
      </w:rPr>
      <w:t>9</w:t>
    </w:r>
    <w:r>
      <w:rPr>
        <w:rStyle w:val="PageNumber"/>
      </w:rPr>
      <w:fldChar w:fldCharType="end"/>
    </w:r>
  </w:p>
  <w:p w:rsidR="008346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3">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5">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6">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0">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1">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3">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5">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7">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7B0078"/>
    <w:multiLevelType w:val="hybridMultilevel"/>
    <w:tmpl w:val="3BC2FC04"/>
    <w:lvl w:ilvl="0">
      <w:start w:val="1"/>
      <w:numFmt w:val="decimal"/>
      <w:lvlText w:val="%1."/>
      <w:lvlJc w:val="left"/>
      <w:pPr>
        <w:ind w:left="927" w:hanging="360"/>
      </w:pPr>
      <w:rPr>
        <w:rFonts w:ascii="Times New Roman" w:hAnsi="Times New Roman" w:cs="Times New Roman" w:hint="default"/>
        <w:b/>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19"/>
    <w:lvlOverride w:ilvl="0">
      <w:startOverride w:val="1"/>
    </w:lvlOverride>
  </w:num>
  <w:num w:numId="3">
    <w:abstractNumId w:val="28"/>
  </w:num>
  <w:num w:numId="4">
    <w:abstractNumId w:val="25"/>
  </w:num>
  <w:num w:numId="5">
    <w:abstractNumId w:val="16"/>
  </w:num>
  <w:num w:numId="6">
    <w:abstractNumId w:val="5"/>
  </w:num>
  <w:num w:numId="7">
    <w:abstractNumId w:val="23"/>
  </w:num>
  <w:num w:numId="8">
    <w:abstractNumId w:val="30"/>
  </w:num>
  <w:num w:numId="9">
    <w:abstractNumId w:val="18"/>
  </w:num>
  <w:num w:numId="10">
    <w:abstractNumId w:val="32"/>
  </w:num>
  <w:num w:numId="11">
    <w:abstractNumId w:val="1"/>
  </w:num>
  <w:num w:numId="12">
    <w:abstractNumId w:val="20"/>
  </w:num>
  <w:num w:numId="13">
    <w:abstractNumId w:val="4"/>
  </w:num>
  <w:num w:numId="14">
    <w:abstractNumId w:val="12"/>
  </w:num>
  <w:num w:numId="15">
    <w:abstractNumId w:val="14"/>
  </w:num>
  <w:num w:numId="16">
    <w:abstractNumId w:val="27"/>
  </w:num>
  <w:num w:numId="17">
    <w:abstractNumId w:val="7"/>
  </w:num>
  <w:num w:numId="18">
    <w:abstractNumId w:val="6"/>
  </w:num>
  <w:num w:numId="19">
    <w:abstractNumId w:val="0"/>
  </w:num>
  <w:num w:numId="20">
    <w:abstractNumId w:val="26"/>
  </w:num>
  <w:num w:numId="21">
    <w:abstractNumId w:val="22"/>
  </w:num>
  <w:num w:numId="22">
    <w:abstractNumId w:val="13"/>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5"/>
  </w:num>
  <w:num w:numId="31">
    <w:abstractNumId w:val="2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2BC8"/>
    <w:rsid w:val="00044158"/>
    <w:rsid w:val="0005018A"/>
    <w:rsid w:val="000523B0"/>
    <w:rsid w:val="00057821"/>
    <w:rsid w:val="00057C25"/>
    <w:rsid w:val="0006073C"/>
    <w:rsid w:val="00063ABC"/>
    <w:rsid w:val="00066E03"/>
    <w:rsid w:val="00070664"/>
    <w:rsid w:val="00070D97"/>
    <w:rsid w:val="000734C1"/>
    <w:rsid w:val="00073A82"/>
    <w:rsid w:val="00075545"/>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5A6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1A76"/>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43E4D"/>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4D26"/>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1023"/>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79DA"/>
    <w:rsid w:val="0031063E"/>
    <w:rsid w:val="00312C55"/>
    <w:rsid w:val="00315803"/>
    <w:rsid w:val="003169EC"/>
    <w:rsid w:val="00316EBA"/>
    <w:rsid w:val="00317A71"/>
    <w:rsid w:val="00322ED7"/>
    <w:rsid w:val="00324934"/>
    <w:rsid w:val="00327C8B"/>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E55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2724"/>
    <w:rsid w:val="007D5D65"/>
    <w:rsid w:val="007D65E5"/>
    <w:rsid w:val="007D6AC6"/>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46BC"/>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494D"/>
    <w:rsid w:val="00875134"/>
    <w:rsid w:val="00875152"/>
    <w:rsid w:val="0087761F"/>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8EE"/>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74C2"/>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0FD9"/>
    <w:rsid w:val="00BA43CC"/>
    <w:rsid w:val="00BA6BF8"/>
    <w:rsid w:val="00BA6F6E"/>
    <w:rsid w:val="00BA7A09"/>
    <w:rsid w:val="00BB3905"/>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BF6BF2"/>
    <w:rsid w:val="00C00175"/>
    <w:rsid w:val="00C00821"/>
    <w:rsid w:val="00C00988"/>
    <w:rsid w:val="00C00DFF"/>
    <w:rsid w:val="00C00E1E"/>
    <w:rsid w:val="00C06292"/>
    <w:rsid w:val="00C1056F"/>
    <w:rsid w:val="00C14BCD"/>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C15"/>
    <w:rsid w:val="00D83556"/>
    <w:rsid w:val="00D86FAE"/>
    <w:rsid w:val="00D925DE"/>
    <w:rsid w:val="00D92E17"/>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091"/>
    <w:rsid w:val="00E13BBE"/>
    <w:rsid w:val="00E21951"/>
    <w:rsid w:val="00E24C65"/>
    <w:rsid w:val="00E26516"/>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365"/>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184C"/>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link w:val="Zkladntext3Char"/>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Zkladntext3Char">
    <w:name w:val="Základný text 3 Char"/>
    <w:link w:val="BodyText3"/>
    <w:rsid w:val="00C00821"/>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2369</TotalTime>
  <Pages>9</Pages>
  <Words>2967</Words>
  <Characters>16917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800</cp:revision>
  <cp:lastPrinted>2012-11-26T07:31:00Z</cp:lastPrinted>
  <dcterms:created xsi:type="dcterms:W3CDTF">2002-11-04T12:16:00Z</dcterms:created>
  <dcterms:modified xsi:type="dcterms:W3CDTF">2013-10-14T11:40:00Z</dcterms:modified>
</cp:coreProperties>
</file>