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jc w:val="both"/>
        <w:rPr>
          <w:rFonts w:ascii="Arial" w:hAnsi="Arial" w:cs="Arial"/>
          <w:i/>
        </w:rPr>
      </w:pPr>
      <w:r w:rsidRPr="00F046BA">
        <w:rPr>
          <w:rFonts w:ascii="Arial" w:hAnsi="Arial" w:cs="Arial"/>
          <w:i/>
        </w:rPr>
        <w:t xml:space="preserve"> Národnej rady Slovenskej republiky</w:t>
      </w:r>
    </w:p>
    <w:p w:rsidR="00C34355" w:rsidP="003F758D">
      <w:pPr>
        <w:jc w:val="both"/>
        <w:rPr>
          <w:rFonts w:ascii="Arial" w:hAnsi="Arial" w:cs="Arial"/>
          <w:i/>
        </w:rPr>
      </w:pPr>
      <w:r w:rsidRPr="00F046BA" w:rsidR="00EA5DC2">
        <w:rPr>
          <w:rFonts w:ascii="Arial" w:hAnsi="Arial" w:cs="Arial"/>
          <w:i/>
        </w:rPr>
        <w:t xml:space="preserve">      pre hospodárske záležitosti</w:t>
      </w:r>
    </w:p>
    <w:p w:rsidR="00C34355" w:rsidP="003F758D">
      <w:pPr>
        <w:jc w:val="both"/>
        <w:rPr>
          <w:rFonts w:ascii="Arial" w:hAnsi="Arial" w:cs="Arial"/>
          <w:i/>
        </w:rPr>
      </w:pPr>
    </w:p>
    <w:p w:rsidR="00C34355" w:rsidP="003F758D">
      <w:pPr>
        <w:jc w:val="both"/>
        <w:rPr>
          <w:rFonts w:ascii="Arial" w:hAnsi="Arial" w:cs="Arial"/>
          <w:i/>
        </w:rPr>
      </w:pPr>
    </w:p>
    <w:p w:rsidR="00EA5DC2" w:rsidRPr="00F046BA" w:rsidP="003F758D">
      <w:pPr>
        <w:jc w:val="both"/>
        <w:rPr>
          <w:rFonts w:ascii="Arial" w:hAnsi="Arial" w:cs="Arial"/>
          <w:i/>
        </w:rPr>
      </w:pPr>
      <w:r w:rsidRPr="00F046BA">
        <w:rPr>
          <w:rFonts w:ascii="Arial" w:hAnsi="Arial" w:cs="Arial"/>
          <w:i/>
        </w:rPr>
        <w:t xml:space="preserve"> </w:t>
      </w:r>
      <w:r w:rsidRPr="00F046BA">
        <w:rPr>
          <w:rFonts w:ascii="Arial" w:hAnsi="Arial" w:cs="Arial"/>
        </w:rPr>
        <w:t xml:space="preserve">              </w:t>
      </w:r>
    </w:p>
    <w:p w:rsidR="00EA5DC2" w:rsidRPr="00F046BA" w:rsidP="003F758D">
      <w:pPr>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1E4FAB">
        <w:rPr>
          <w:rFonts w:ascii="Arial" w:hAnsi="Arial" w:cs="Arial"/>
        </w:rPr>
        <w:t>4</w:t>
      </w:r>
      <w:r w:rsidR="00C36F04">
        <w:rPr>
          <w:rFonts w:ascii="Arial" w:hAnsi="Arial" w:cs="Arial"/>
        </w:rPr>
        <w:t>1</w:t>
      </w:r>
      <w:r w:rsidRPr="00F046BA">
        <w:rPr>
          <w:rFonts w:ascii="Arial" w:hAnsi="Arial" w:cs="Arial"/>
        </w:rPr>
        <w:t>. schôdza výboru</w:t>
      </w:r>
    </w:p>
    <w:p w:rsidR="00C34355" w:rsidP="003F758D">
      <w:pPr>
        <w:pStyle w:val="BodyTextIndent"/>
        <w:rPr>
          <w:rFonts w:ascii="Arial" w:hAnsi="Arial" w:cs="Arial"/>
          <w:iCs/>
          <w:color w:val="auto"/>
          <w:lang w:val="sk-SK"/>
        </w:rPr>
      </w:pPr>
      <w:r w:rsidRPr="00F046BA" w:rsidR="00EA5DC2">
        <w:rPr>
          <w:rFonts w:ascii="Arial" w:hAnsi="Arial" w:cs="Arial"/>
          <w:color w:val="auto"/>
          <w:lang w:val="sk-SK"/>
        </w:rPr>
        <w:t xml:space="preserve">                                           </w:t>
      </w: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05312F">
        <w:rPr>
          <w:rFonts w:ascii="Arial" w:hAnsi="Arial" w:cs="Arial"/>
          <w:color w:val="auto"/>
          <w:lang w:val="sk-SK"/>
        </w:rPr>
        <w:t>1482</w:t>
      </w:r>
      <w:r w:rsidRPr="00F046BA" w:rsidR="00EA5DC2">
        <w:rPr>
          <w:rFonts w:ascii="Arial" w:hAnsi="Arial" w:cs="Arial"/>
          <w:iCs/>
          <w:color w:val="auto"/>
          <w:lang w:val="sk-SK"/>
        </w:rPr>
        <w:t>/201</w:t>
      </w:r>
      <w:r w:rsidR="002308FA">
        <w:rPr>
          <w:rFonts w:ascii="Arial" w:hAnsi="Arial" w:cs="Arial"/>
          <w:iCs/>
          <w:color w:val="auto"/>
          <w:lang w:val="sk-SK"/>
        </w:rPr>
        <w:t>3</w:t>
      </w:r>
      <w:r w:rsidRPr="00F046BA" w:rsidR="00EA5DC2">
        <w:rPr>
          <w:rFonts w:ascii="Arial" w:hAnsi="Arial" w:cs="Arial"/>
          <w:iCs/>
          <w:color w:val="auto"/>
          <w:lang w:val="sk-SK"/>
        </w:rPr>
        <w:t xml:space="preserve"> - VHZ </w:t>
      </w:r>
    </w:p>
    <w:p w:rsidR="00C34355" w:rsidP="003F758D">
      <w:pPr>
        <w:pStyle w:val="BodyTextIndent"/>
        <w:rPr>
          <w:rFonts w:ascii="Arial" w:hAnsi="Arial" w:cs="Arial"/>
          <w:iCs/>
          <w:color w:val="auto"/>
          <w:lang w:val="sk-SK"/>
        </w:rPr>
      </w:pPr>
    </w:p>
    <w:p w:rsidR="00C34355" w:rsidP="003F758D">
      <w:pPr>
        <w:pStyle w:val="BodyTextIndent"/>
        <w:rPr>
          <w:rFonts w:ascii="Arial" w:hAnsi="Arial" w:cs="Arial"/>
          <w:iCs/>
          <w:color w:val="auto"/>
          <w:lang w:val="sk-SK"/>
        </w:rPr>
      </w:pPr>
    </w:p>
    <w:p w:rsidR="00EA5DC2" w:rsidRPr="00F046BA" w:rsidP="003F758D">
      <w:pPr>
        <w:pStyle w:val="BodyTextIndent"/>
        <w:rPr>
          <w:rFonts w:ascii="Arial" w:hAnsi="Arial" w:cs="Arial"/>
          <w:color w:val="auto"/>
          <w:lang w:val="sk-SK"/>
        </w:rPr>
      </w:pPr>
      <w:r w:rsidRPr="00F046BA">
        <w:rPr>
          <w:rFonts w:ascii="Arial" w:hAnsi="Arial" w:cs="Arial"/>
          <w:iCs/>
          <w:color w:val="auto"/>
          <w:lang w:val="sk-SK"/>
        </w:rPr>
        <w:t xml:space="preserve"> </w:t>
      </w:r>
    </w:p>
    <w:p w:rsidR="00EA5DC2" w:rsidRPr="00F046BA" w:rsidP="003F758D">
      <w:pPr>
        <w:jc w:val="center"/>
        <w:rPr>
          <w:rFonts w:ascii="Arial" w:hAnsi="Arial" w:cs="Arial"/>
          <w:b/>
          <w:sz w:val="32"/>
          <w:szCs w:val="28"/>
        </w:rPr>
      </w:pPr>
      <w:r w:rsidR="0005312F">
        <w:rPr>
          <w:rFonts w:ascii="Arial" w:hAnsi="Arial" w:cs="Arial"/>
          <w:b/>
          <w:sz w:val="32"/>
          <w:szCs w:val="28"/>
        </w:rPr>
        <w:t>199</w:t>
      </w:r>
    </w:p>
    <w:p w:rsidR="00EA5DC2" w:rsidRPr="00F046BA" w:rsidP="003F758D">
      <w:pPr>
        <w:pStyle w:val="Heading2"/>
        <w:spacing w:line="240" w:lineRule="auto"/>
        <w:rPr>
          <w:b/>
          <w:color w:val="auto"/>
          <w:lang w:val="sk-SK"/>
        </w:rPr>
      </w:pPr>
      <w:r w:rsidRPr="00F046BA">
        <w:rPr>
          <w:b/>
          <w:color w:val="auto"/>
          <w:lang w:val="sk-SK"/>
        </w:rPr>
        <w:t>U z n e s e n i e</w:t>
      </w:r>
    </w:p>
    <w:p w:rsidR="00EA5DC2" w:rsidRPr="00F046BA" w:rsidP="003F758D">
      <w:pPr>
        <w:jc w:val="center"/>
        <w:rPr>
          <w:rFonts w:ascii="Arial" w:hAnsi="Arial" w:cs="Arial"/>
          <w:b/>
        </w:rPr>
      </w:pPr>
      <w:r w:rsidRPr="00F046BA">
        <w:rPr>
          <w:rFonts w:ascii="Arial" w:hAnsi="Arial" w:cs="Arial"/>
          <w:b/>
        </w:rPr>
        <w:t>Výboru Národnej rady Slovenskej republiky</w:t>
      </w:r>
    </w:p>
    <w:p w:rsidR="00EA5DC2" w:rsidRPr="00F046BA" w:rsidP="003F758D">
      <w:pPr>
        <w:jc w:val="center"/>
        <w:rPr>
          <w:rFonts w:ascii="Arial" w:hAnsi="Arial" w:cs="Arial"/>
          <w:b/>
        </w:rPr>
      </w:pPr>
      <w:r w:rsidRPr="00F046BA">
        <w:rPr>
          <w:rFonts w:ascii="Arial" w:hAnsi="Arial" w:cs="Arial"/>
          <w:b/>
        </w:rPr>
        <w:t>pre hospodárske záležitosti</w:t>
      </w:r>
    </w:p>
    <w:p w:rsidR="005242C8" w:rsidP="00C34355">
      <w:pPr>
        <w:jc w:val="center"/>
        <w:rPr>
          <w:rFonts w:ascii="Arial" w:hAnsi="Arial" w:cs="Arial"/>
        </w:rPr>
      </w:pPr>
      <w:r w:rsidR="00444C9D">
        <w:rPr>
          <w:rFonts w:ascii="Arial" w:hAnsi="Arial" w:cs="Arial"/>
        </w:rPr>
        <w:t xml:space="preserve">z  </w:t>
      </w:r>
      <w:r w:rsidR="002308FA">
        <w:rPr>
          <w:rFonts w:ascii="Arial" w:hAnsi="Arial" w:cs="Arial"/>
        </w:rPr>
        <w:t>8</w:t>
      </w:r>
      <w:r w:rsidRPr="00F046BA" w:rsidR="00EA5DC2">
        <w:rPr>
          <w:rFonts w:ascii="Arial" w:hAnsi="Arial" w:cs="Arial"/>
        </w:rPr>
        <w:t xml:space="preserve">. </w:t>
      </w:r>
      <w:r w:rsidR="002308FA">
        <w:rPr>
          <w:rFonts w:ascii="Arial" w:hAnsi="Arial" w:cs="Arial"/>
        </w:rPr>
        <w:t>októbra</w:t>
      </w:r>
      <w:r w:rsidR="00444C9D">
        <w:rPr>
          <w:rFonts w:ascii="Arial" w:hAnsi="Arial" w:cs="Arial"/>
        </w:rPr>
        <w:t xml:space="preserve"> </w:t>
      </w:r>
      <w:r w:rsidRPr="00F046BA" w:rsidR="00EA5DC2">
        <w:rPr>
          <w:rFonts w:ascii="Arial" w:hAnsi="Arial" w:cs="Arial"/>
        </w:rPr>
        <w:t>201</w:t>
      </w:r>
      <w:r w:rsidR="002308FA">
        <w:rPr>
          <w:rFonts w:ascii="Arial" w:hAnsi="Arial" w:cs="Arial"/>
        </w:rPr>
        <w:t>3</w:t>
      </w:r>
    </w:p>
    <w:p w:rsidR="00C34355" w:rsidRPr="00F046BA" w:rsidP="00C34355">
      <w:pPr>
        <w:jc w:val="center"/>
        <w:rPr>
          <w:rFonts w:ascii="Arial" w:hAnsi="Arial" w:cs="Arial"/>
        </w:rPr>
      </w:pPr>
    </w:p>
    <w:p w:rsidR="005242C8" w:rsidRPr="00DF22AD" w:rsidP="003F758D">
      <w:pPr>
        <w:pStyle w:val="BodyTextIndent"/>
        <w:ind w:firstLine="360"/>
        <w:rPr>
          <w:rFonts w:ascii="Arial" w:hAnsi="Arial" w:cs="Arial"/>
          <w:color w:val="auto"/>
          <w:lang w:val="sk-SK"/>
        </w:rPr>
      </w:pPr>
      <w:r w:rsidRPr="006D6597">
        <w:rPr>
          <w:rFonts w:ascii="Arial" w:hAnsi="Arial" w:cs="Arial"/>
          <w:color w:val="auto"/>
          <w:lang w:val="sk-SK"/>
        </w:rPr>
        <w:t xml:space="preserve">     k</w:t>
      </w:r>
      <w:r w:rsidR="00DA7877">
        <w:rPr>
          <w:rFonts w:ascii="Arial" w:hAnsi="Arial" w:cs="Arial"/>
          <w:color w:val="auto"/>
          <w:lang w:val="sk-SK"/>
        </w:rPr>
        <w:t> </w:t>
      </w:r>
      <w:r w:rsidR="00DA7877">
        <w:rPr>
          <w:rFonts w:ascii="Arial" w:hAnsi="Arial" w:cs="Arial"/>
          <w:color w:val="auto"/>
          <w:szCs w:val="22"/>
        </w:rPr>
        <w:t xml:space="preserve">vládnemu </w:t>
      </w:r>
      <w:r w:rsidRPr="006D6597" w:rsidR="006D6597">
        <w:rPr>
          <w:rFonts w:ascii="Arial" w:hAnsi="Arial" w:cs="Arial"/>
          <w:color w:val="auto"/>
          <w:szCs w:val="22"/>
        </w:rPr>
        <w:t xml:space="preserve">návrhu </w:t>
      </w:r>
      <w:r w:rsidRPr="00DA7877" w:rsidR="00DA7877">
        <w:rPr>
          <w:rFonts w:ascii="Arial" w:hAnsi="Arial" w:cs="Arial"/>
          <w:noProof/>
          <w:color w:val="auto"/>
        </w:rPr>
        <w:t xml:space="preserve">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 </w:t>
      </w:r>
      <w:r w:rsidRPr="00DA7877" w:rsidR="00DA7877">
        <w:rPr>
          <w:rFonts w:ascii="Arial" w:hAnsi="Arial" w:cs="Arial"/>
          <w:color w:val="auto"/>
        </w:rPr>
        <w:t xml:space="preserve">(tlač </w:t>
      </w:r>
      <w:r w:rsidRPr="00DA7877" w:rsidR="00DA7877">
        <w:rPr>
          <w:rFonts w:ascii="Arial" w:hAnsi="Arial" w:cs="Arial"/>
          <w:b/>
          <w:color w:val="auto"/>
        </w:rPr>
        <w:t>602</w:t>
      </w:r>
      <w:r w:rsidRPr="00DA7877" w:rsidR="00DA7877">
        <w:rPr>
          <w:rFonts w:ascii="Arial" w:hAnsi="Arial" w:cs="Arial"/>
          <w:color w:val="auto"/>
        </w:rPr>
        <w:t>)</w:t>
      </w:r>
      <w:r w:rsidRPr="00DF22AD" w:rsidR="00444C9D">
        <w:rPr>
          <w:rFonts w:ascii="Arial" w:hAnsi="Arial" w:cs="Arial"/>
          <w:color w:val="auto"/>
          <w:szCs w:val="22"/>
          <w:lang w:val="sk-SK"/>
        </w:rPr>
        <w:t>;</w:t>
      </w:r>
    </w:p>
    <w:p w:rsidR="005242C8" w:rsidRPr="00DF22AD" w:rsidP="003F758D">
      <w:pPr>
        <w:pStyle w:val="BodyTextIndent"/>
        <w:ind w:firstLine="360"/>
        <w:rPr>
          <w:rFonts w:ascii="Arial" w:hAnsi="Arial" w:cs="Arial"/>
          <w:b/>
          <w:bCs/>
          <w:color w:val="auto"/>
          <w:lang w:val="sk-SK"/>
        </w:rPr>
      </w:pPr>
    </w:p>
    <w:p w:rsidR="005242C8" w:rsidRPr="00DF22AD" w:rsidP="003F758D">
      <w:pPr>
        <w:pStyle w:val="BodyTextIndent"/>
        <w:ind w:firstLine="360"/>
        <w:rPr>
          <w:rFonts w:ascii="Arial" w:hAnsi="Arial" w:cs="Arial"/>
          <w:b/>
          <w:bCs/>
          <w:color w:val="auto"/>
          <w:lang w:val="sk-SK"/>
        </w:rPr>
      </w:pPr>
      <w:r w:rsidRPr="00DF22AD">
        <w:rPr>
          <w:rFonts w:ascii="Arial" w:hAnsi="Arial" w:cs="Arial"/>
          <w:b/>
          <w:bCs/>
          <w:color w:val="auto"/>
          <w:lang w:val="sk-SK"/>
        </w:rPr>
        <w:t xml:space="preserve">Výbor Národnej rady Slovenskej republiky </w:t>
      </w:r>
    </w:p>
    <w:p w:rsidR="00C34355" w:rsidRPr="00DF22AD" w:rsidP="003F758D">
      <w:pPr>
        <w:pStyle w:val="BodyTextIndent2"/>
        <w:ind w:firstLine="360"/>
        <w:rPr>
          <w:rFonts w:ascii="Arial" w:hAnsi="Arial" w:cs="Arial"/>
          <w:b/>
          <w:color w:val="auto"/>
          <w:lang w:val="sk-SK"/>
        </w:rPr>
      </w:pPr>
      <w:r w:rsidRPr="00DF22AD" w:rsidR="005242C8">
        <w:rPr>
          <w:rFonts w:ascii="Arial" w:hAnsi="Arial" w:cs="Arial"/>
          <w:b/>
          <w:color w:val="auto"/>
          <w:lang w:val="sk-SK"/>
        </w:rPr>
        <w:t xml:space="preserve">pre </w:t>
      </w:r>
      <w:r w:rsidRPr="00DF22AD" w:rsidR="00EA5DC2">
        <w:rPr>
          <w:rFonts w:ascii="Arial" w:hAnsi="Arial" w:cs="Arial"/>
          <w:b/>
          <w:color w:val="auto"/>
          <w:lang w:val="sk-SK"/>
        </w:rPr>
        <w:t>hospodárske záležitosti</w:t>
      </w:r>
    </w:p>
    <w:p w:rsidR="005242C8" w:rsidRPr="00DF22AD" w:rsidP="003F758D">
      <w:pPr>
        <w:pStyle w:val="BodyTextIndent2"/>
        <w:ind w:firstLine="360"/>
        <w:rPr>
          <w:rFonts w:ascii="Arial" w:hAnsi="Arial" w:cs="Arial"/>
          <w:color w:val="auto"/>
          <w:lang w:val="sk-SK"/>
        </w:rPr>
      </w:pPr>
      <w:r w:rsidRPr="00DF22AD">
        <w:rPr>
          <w:rFonts w:ascii="Arial" w:hAnsi="Arial" w:cs="Arial"/>
          <w:color w:val="auto"/>
          <w:lang w:val="sk-SK"/>
        </w:rPr>
        <w:t xml:space="preserve"> </w:t>
      </w:r>
    </w:p>
    <w:p w:rsidR="005242C8" w:rsidRPr="00DF22AD" w:rsidP="00B76013">
      <w:pPr>
        <w:pStyle w:val="Heading3"/>
        <w:numPr>
          <w:ilvl w:val="0"/>
          <w:numId w:val="6"/>
        </w:numPr>
        <w:rPr>
          <w:rFonts w:ascii="Arial" w:hAnsi="Arial" w:cs="Arial"/>
          <w:color w:val="auto"/>
          <w:lang w:val="sk-SK"/>
        </w:rPr>
      </w:pPr>
      <w:r w:rsidRPr="00DF22AD">
        <w:rPr>
          <w:rFonts w:ascii="Arial" w:hAnsi="Arial" w:cs="Arial"/>
          <w:color w:val="auto"/>
          <w:lang w:val="sk-SK"/>
        </w:rPr>
        <w:t>s ú h l a s</w:t>
      </w:r>
      <w:r w:rsidRPr="00DF22AD" w:rsidR="00154657">
        <w:rPr>
          <w:rFonts w:ascii="Arial" w:hAnsi="Arial" w:cs="Arial"/>
          <w:color w:val="auto"/>
          <w:lang w:val="sk-SK"/>
        </w:rPr>
        <w:t> </w:t>
      </w:r>
      <w:r w:rsidRPr="00DF22AD">
        <w:rPr>
          <w:rFonts w:ascii="Arial" w:hAnsi="Arial" w:cs="Arial"/>
          <w:color w:val="auto"/>
          <w:lang w:val="sk-SK"/>
        </w:rPr>
        <w:t>í</w:t>
      </w:r>
    </w:p>
    <w:p w:rsidR="005242C8" w:rsidRPr="00DF22AD" w:rsidP="003F758D">
      <w:pPr>
        <w:pStyle w:val="BodyTextIndent2"/>
        <w:ind w:firstLine="720"/>
        <w:rPr>
          <w:rFonts w:ascii="Arial" w:hAnsi="Arial" w:cs="Arial"/>
          <w:color w:val="auto"/>
          <w:u w:val="single"/>
          <w:lang w:val="sk-SK"/>
        </w:rPr>
      </w:pPr>
      <w:r w:rsidRPr="00DF22AD">
        <w:rPr>
          <w:rFonts w:ascii="Arial" w:hAnsi="Arial" w:cs="Arial"/>
          <w:color w:val="auto"/>
          <w:lang w:val="sk-SK"/>
        </w:rPr>
        <w:t>s</w:t>
      </w:r>
      <w:r w:rsidR="00DA7877">
        <w:rPr>
          <w:rFonts w:ascii="Arial" w:hAnsi="Arial" w:cs="Arial"/>
          <w:color w:val="auto"/>
          <w:lang w:val="sk-SK"/>
        </w:rPr>
        <w:t xml:space="preserve"> vládnym </w:t>
      </w:r>
      <w:r w:rsidRPr="00DF22AD">
        <w:rPr>
          <w:rFonts w:ascii="Arial" w:hAnsi="Arial" w:cs="Arial"/>
          <w:color w:val="auto"/>
          <w:lang w:val="sk-SK"/>
        </w:rPr>
        <w:t xml:space="preserve">návrhom </w:t>
      </w:r>
      <w:r w:rsidRPr="00DA7877" w:rsidR="00DA7877">
        <w:rPr>
          <w:rFonts w:ascii="Arial" w:hAnsi="Arial" w:cs="Arial"/>
          <w:noProof/>
          <w:color w:val="auto"/>
        </w:rPr>
        <w:t xml:space="preserve">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 </w:t>
      </w:r>
      <w:r w:rsidRPr="00DA7877" w:rsidR="00DA7877">
        <w:rPr>
          <w:rFonts w:ascii="Arial" w:hAnsi="Arial" w:cs="Arial"/>
          <w:color w:val="auto"/>
        </w:rPr>
        <w:t xml:space="preserve">(tlač </w:t>
      </w:r>
      <w:r w:rsidRPr="00DA7877" w:rsidR="00DA7877">
        <w:rPr>
          <w:rFonts w:ascii="Arial" w:hAnsi="Arial" w:cs="Arial"/>
          <w:b/>
          <w:color w:val="auto"/>
        </w:rPr>
        <w:t>602</w:t>
      </w:r>
      <w:r w:rsidRPr="00DA7877" w:rsidR="00DA7877">
        <w:rPr>
          <w:rFonts w:ascii="Arial" w:hAnsi="Arial" w:cs="Arial"/>
          <w:color w:val="auto"/>
        </w:rPr>
        <w:t>)</w:t>
      </w:r>
      <w:r w:rsidRPr="00DF22AD">
        <w:rPr>
          <w:rFonts w:ascii="Arial" w:hAnsi="Arial" w:cs="Arial"/>
          <w:color w:val="auto"/>
          <w:lang w:val="sk-SK"/>
        </w:rPr>
        <w:t xml:space="preserve">; </w:t>
      </w:r>
    </w:p>
    <w:p w:rsidR="005242C8" w:rsidRPr="00DF22AD" w:rsidP="003F758D">
      <w:pPr>
        <w:tabs>
          <w:tab w:val="left" w:pos="-1985"/>
          <w:tab w:val="left" w:pos="709"/>
          <w:tab w:val="left" w:pos="1077"/>
        </w:tabs>
        <w:jc w:val="both"/>
        <w:rPr>
          <w:rFonts w:ascii="Arial" w:hAnsi="Arial" w:cs="Arial"/>
        </w:rPr>
      </w:pPr>
    </w:p>
    <w:p w:rsidR="005242C8" w:rsidRPr="00DF22AD" w:rsidP="00B76013">
      <w:pPr>
        <w:pStyle w:val="Heading4"/>
        <w:numPr>
          <w:ilvl w:val="0"/>
          <w:numId w:val="5"/>
        </w:numPr>
        <w:rPr>
          <w:rFonts w:ascii="Arial" w:hAnsi="Arial" w:cs="Arial"/>
          <w:color w:val="auto"/>
          <w:lang w:val="sk-SK"/>
        </w:rPr>
      </w:pPr>
      <w:r w:rsidRPr="00DF22AD">
        <w:rPr>
          <w:rFonts w:ascii="Arial" w:hAnsi="Arial" w:cs="Arial"/>
          <w:color w:val="auto"/>
          <w:lang w:val="sk-SK"/>
        </w:rPr>
        <w:t>o d p o r ú č a</w:t>
      </w:r>
    </w:p>
    <w:p w:rsidR="005242C8" w:rsidRPr="00DF22AD" w:rsidP="003F758D">
      <w:pPr>
        <w:pStyle w:val="Heading1"/>
        <w:spacing w:line="240" w:lineRule="auto"/>
        <w:ind w:firstLine="360"/>
        <w:rPr>
          <w:rFonts w:ascii="Arial" w:hAnsi="Arial" w:cs="Arial"/>
        </w:rPr>
      </w:pPr>
      <w:r w:rsidRPr="00DF22AD">
        <w:rPr>
          <w:rFonts w:ascii="Arial" w:hAnsi="Arial" w:cs="Arial"/>
        </w:rPr>
        <w:t xml:space="preserve">     </w:t>
      </w:r>
      <w:r w:rsidRPr="00DF22AD">
        <w:rPr>
          <w:rFonts w:ascii="Arial" w:hAnsi="Arial" w:cs="Arial"/>
        </w:rPr>
        <w:t>Národnej rade Slovenskej republiky</w:t>
      </w:r>
    </w:p>
    <w:p w:rsidR="005242C8" w:rsidRPr="0028139A" w:rsidP="00DA7877">
      <w:pPr>
        <w:pStyle w:val="BodyTextIndent2"/>
        <w:ind w:firstLine="709"/>
        <w:rPr>
          <w:rFonts w:ascii="Arial" w:hAnsi="Arial" w:cs="Arial"/>
          <w:color w:val="auto"/>
          <w:lang w:val="sk-SK"/>
        </w:rPr>
      </w:pPr>
      <w:r w:rsidR="00DA7877">
        <w:rPr>
          <w:rFonts w:ascii="Arial" w:hAnsi="Arial" w:cs="Arial"/>
          <w:color w:val="auto"/>
          <w:lang w:val="sk-SK"/>
        </w:rPr>
        <w:t xml:space="preserve">vládny </w:t>
      </w:r>
      <w:r w:rsidRPr="00DF22AD" w:rsidR="00154657">
        <w:rPr>
          <w:rFonts w:ascii="Arial" w:hAnsi="Arial" w:cs="Arial"/>
          <w:color w:val="auto"/>
          <w:lang w:val="sk-SK"/>
        </w:rPr>
        <w:t xml:space="preserve">návrh </w:t>
      </w:r>
      <w:r w:rsidRPr="00DA7877" w:rsidR="00DA7877">
        <w:rPr>
          <w:rFonts w:ascii="Arial" w:hAnsi="Arial" w:cs="Arial"/>
          <w:noProof/>
          <w:color w:val="auto"/>
        </w:rPr>
        <w:t xml:space="preserve">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 </w:t>
      </w:r>
      <w:r w:rsidRPr="00DA7877" w:rsidR="00DA7877">
        <w:rPr>
          <w:rFonts w:ascii="Arial" w:hAnsi="Arial" w:cs="Arial"/>
          <w:color w:val="auto"/>
        </w:rPr>
        <w:t xml:space="preserve">(tlač </w:t>
      </w:r>
      <w:r w:rsidRPr="00DA7877" w:rsidR="00DA7877">
        <w:rPr>
          <w:rFonts w:ascii="Arial" w:hAnsi="Arial" w:cs="Arial"/>
          <w:b/>
          <w:color w:val="auto"/>
        </w:rPr>
        <w:t>602</w:t>
      </w:r>
      <w:r w:rsidRPr="00DA7877" w:rsidR="00DA7877">
        <w:rPr>
          <w:rFonts w:ascii="Arial" w:hAnsi="Arial" w:cs="Arial"/>
          <w:color w:val="auto"/>
        </w:rPr>
        <w:t>)</w:t>
      </w:r>
      <w:r w:rsidRPr="00DF22AD" w:rsidR="00444C9D">
        <w:rPr>
          <w:rFonts w:ascii="Arial" w:hAnsi="Arial" w:cs="Arial"/>
          <w:color w:val="auto"/>
          <w:szCs w:val="22"/>
          <w:lang w:val="sk-SK"/>
        </w:rPr>
        <w:t xml:space="preserve"> </w:t>
      </w:r>
      <w:r w:rsidRPr="0028139A">
        <w:rPr>
          <w:rFonts w:ascii="Arial" w:hAnsi="Arial" w:cs="Arial"/>
          <w:color w:val="auto"/>
          <w:lang w:val="sk-SK"/>
        </w:rPr>
        <w:t>s</w:t>
      </w:r>
      <w:r w:rsidRPr="0028139A">
        <w:rPr>
          <w:rFonts w:ascii="Arial" w:hAnsi="Arial" w:cs="Arial"/>
          <w:bCs/>
          <w:color w:val="auto"/>
          <w:lang w:val="sk-SK"/>
        </w:rPr>
        <w:t xml:space="preserve">chváliť s pozmeňujúcimi a doplňujúcimi návrhmi; </w:t>
      </w:r>
    </w:p>
    <w:p w:rsidR="005242C8" w:rsidP="003F758D">
      <w:pPr>
        <w:ind w:firstLine="360"/>
        <w:jc w:val="both"/>
        <w:rPr>
          <w:rFonts w:ascii="Arial" w:hAnsi="Arial" w:cs="Arial"/>
        </w:rPr>
      </w:pPr>
    </w:p>
    <w:p w:rsidR="00C34355" w:rsidRPr="00F046BA" w:rsidP="003F758D">
      <w:pPr>
        <w:ind w:firstLine="360"/>
        <w:jc w:val="both"/>
        <w:rPr>
          <w:rFonts w:ascii="Arial" w:hAnsi="Arial" w:cs="Arial"/>
        </w:rPr>
      </w:pPr>
    </w:p>
    <w:p w:rsidR="005242C8" w:rsidRPr="00F046BA" w:rsidP="00B76013">
      <w:pPr>
        <w:pStyle w:val="Heading4"/>
        <w:numPr>
          <w:ilvl w:val="0"/>
          <w:numId w:val="4"/>
        </w:numPr>
        <w:rPr>
          <w:rFonts w:ascii="Arial" w:hAnsi="Arial" w:cs="Arial"/>
          <w:color w:val="auto"/>
          <w:lang w:val="sk-SK"/>
        </w:rPr>
      </w:pPr>
      <w:r w:rsidRPr="00F046BA">
        <w:rPr>
          <w:rFonts w:ascii="Arial" w:hAnsi="Arial" w:cs="Arial"/>
          <w:color w:val="auto"/>
          <w:lang w:val="sk-SK"/>
        </w:rPr>
        <w:t>p o v e r u j e</w:t>
      </w:r>
    </w:p>
    <w:p w:rsidR="005242C8" w:rsidRPr="00F046BA" w:rsidP="003F758D">
      <w:pPr>
        <w:numPr>
          <w:ilvl w:val="0"/>
          <w:numId w:val="3"/>
        </w:numPr>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002308FA">
        <w:rPr>
          <w:rFonts w:ascii="Arial" w:hAnsi="Arial" w:cs="Arial"/>
        </w:rPr>
        <w:t>8</w:t>
      </w:r>
      <w:r w:rsidRPr="00F046BA" w:rsidR="00C62C12">
        <w:rPr>
          <w:rFonts w:ascii="Arial" w:hAnsi="Arial" w:cs="Arial"/>
        </w:rPr>
        <w:t>.</w:t>
      </w:r>
      <w:r w:rsidRPr="00F046BA">
        <w:rPr>
          <w:rFonts w:ascii="Arial" w:hAnsi="Arial" w:cs="Arial"/>
        </w:rPr>
        <w:t xml:space="preserve"> </w:t>
      </w:r>
      <w:r w:rsidR="002308FA">
        <w:rPr>
          <w:rFonts w:ascii="Arial" w:hAnsi="Arial" w:cs="Arial"/>
        </w:rPr>
        <w:t>októbra</w:t>
      </w:r>
      <w:r w:rsidR="009B349B">
        <w:rPr>
          <w:rFonts w:ascii="Arial" w:hAnsi="Arial" w:cs="Arial"/>
        </w:rPr>
        <w:t xml:space="preserve"> </w:t>
      </w:r>
      <w:r w:rsidRPr="00F046BA" w:rsidR="004B21BB">
        <w:rPr>
          <w:rFonts w:ascii="Arial" w:hAnsi="Arial" w:cs="Arial"/>
        </w:rPr>
        <w:t xml:space="preserve"> 201</w:t>
      </w:r>
      <w:r w:rsidR="002308FA">
        <w:rPr>
          <w:rFonts w:ascii="Arial" w:hAnsi="Arial" w:cs="Arial"/>
        </w:rPr>
        <w:t>3</w:t>
      </w:r>
      <w:r w:rsidRPr="00F046BA">
        <w:rPr>
          <w:rFonts w:ascii="Arial" w:hAnsi="Arial" w:cs="Arial"/>
        </w:rPr>
        <w:t xml:space="preserve"> spolu s výsledkami rokovania ostatných výborov spracoval do písomnej spoločnej správy výborov v súlade s § 79 ods. 1 zákona Národnej rady Slovenskej republiky </w:t>
      </w:r>
      <w:r w:rsidRPr="00F046BA">
        <w:rPr>
          <w:rFonts w:ascii="Arial" w:hAnsi="Arial" w:cs="Arial"/>
          <w:bCs/>
        </w:rPr>
        <w:t>č. 350/1996 Z. z. o</w:t>
      </w:r>
      <w:r w:rsidRPr="00F046BA">
        <w:rPr>
          <w:rFonts w:ascii="Arial" w:hAnsi="Arial" w:cs="Arial"/>
        </w:rPr>
        <w:t xml:space="preserve"> rokovacom poriadku Národnej rady Slovenskej republiky v znení neskorších predpisov a predložil ju na schválenie gestorskému výboru,</w:t>
      </w:r>
    </w:p>
    <w:p w:rsidR="005242C8" w:rsidRPr="00F046BA" w:rsidP="003F758D">
      <w:pPr>
        <w:numPr>
          <w:ilvl w:val="0"/>
          <w:numId w:val="3"/>
        </w:numPr>
        <w:jc w:val="both"/>
        <w:rPr>
          <w:rFonts w:ascii="Arial" w:hAnsi="Arial" w:cs="Arial"/>
          <w:bCs/>
        </w:rPr>
      </w:pPr>
      <w:r w:rsidRPr="00F046BA">
        <w:rPr>
          <w:rFonts w:ascii="Arial" w:hAnsi="Arial" w:cs="Arial"/>
          <w:bCs/>
        </w:rPr>
        <w:t xml:space="preserve">spoločného spravodajcu výborov </w:t>
      </w:r>
      <w:r w:rsidR="00DA7877">
        <w:rPr>
          <w:rFonts w:ascii="Arial" w:hAnsi="Arial" w:cs="Arial"/>
          <w:bCs/>
        </w:rPr>
        <w:t>M</w:t>
      </w:r>
      <w:r w:rsidR="00DF22AD">
        <w:rPr>
          <w:rFonts w:ascii="Arial" w:hAnsi="Arial" w:cs="Arial"/>
          <w:bCs/>
        </w:rPr>
        <w:t>.</w:t>
      </w:r>
      <w:r w:rsidRPr="00DF22AD" w:rsidR="00DF22AD">
        <w:rPr>
          <w:rFonts w:ascii="Arial" w:hAnsi="Arial" w:cs="Arial"/>
          <w:b/>
          <w:bCs/>
        </w:rPr>
        <w:t xml:space="preserve"> </w:t>
      </w:r>
      <w:r w:rsidR="00DA7877">
        <w:rPr>
          <w:rFonts w:ascii="Arial" w:hAnsi="Arial" w:cs="Arial"/>
          <w:b/>
          <w:bCs/>
        </w:rPr>
        <w:t>Kondróta</w:t>
      </w:r>
      <w:r w:rsidR="00444C9D">
        <w:rPr>
          <w:rFonts w:ascii="Arial" w:hAnsi="Arial" w:cs="Arial"/>
          <w:b/>
          <w:bCs/>
        </w:rPr>
        <w:t xml:space="preserve"> </w:t>
      </w:r>
      <w:r w:rsidR="002308FA">
        <w:rPr>
          <w:rFonts w:ascii="Arial" w:hAnsi="Arial" w:cs="Arial"/>
          <w:bCs/>
        </w:rPr>
        <w:t>(</w:t>
      </w:r>
      <w:r w:rsidR="00DA7877">
        <w:rPr>
          <w:rFonts w:ascii="Arial" w:hAnsi="Arial" w:cs="Arial"/>
          <w:bCs/>
        </w:rPr>
        <w:t>M</w:t>
      </w:r>
      <w:r w:rsidR="00415004">
        <w:rPr>
          <w:rFonts w:ascii="Arial" w:hAnsi="Arial" w:cs="Arial"/>
          <w:bCs/>
        </w:rPr>
        <w:t xml:space="preserve">. </w:t>
      </w:r>
      <w:r w:rsidR="00DA7877">
        <w:rPr>
          <w:rFonts w:ascii="Arial" w:hAnsi="Arial" w:cs="Arial"/>
          <w:b/>
          <w:bCs/>
        </w:rPr>
        <w:t>Bagačku</w:t>
      </w:r>
      <w:r w:rsidRPr="00F046BA" w:rsidR="00EA5DC2">
        <w:rPr>
          <w:rFonts w:ascii="Arial" w:hAnsi="Arial" w:cs="Arial"/>
          <w:bCs/>
        </w:rPr>
        <w:t xml:space="preserve"> / </w:t>
      </w:r>
      <w:r w:rsidR="00F046BA">
        <w:rPr>
          <w:rFonts w:ascii="Arial" w:hAnsi="Arial" w:cs="Arial"/>
          <w:bCs/>
        </w:rPr>
        <w:t>A</w:t>
      </w:r>
      <w:r w:rsidRPr="00F046BA" w:rsidR="00D51767">
        <w:rPr>
          <w:rFonts w:ascii="Arial" w:hAnsi="Arial" w:cs="Arial"/>
          <w:bCs/>
        </w:rPr>
        <w:t>.</w:t>
      </w:r>
      <w:r w:rsidR="00C53BB0">
        <w:rPr>
          <w:rFonts w:ascii="Arial" w:hAnsi="Arial" w:cs="Arial"/>
          <w:bCs/>
        </w:rPr>
        <w:t xml:space="preserve"> </w:t>
      </w:r>
      <w:r w:rsidR="00415004">
        <w:rPr>
          <w:rFonts w:ascii="Arial" w:hAnsi="Arial" w:cs="Arial"/>
          <w:b/>
          <w:bCs/>
        </w:rPr>
        <w:t>Přidala</w:t>
      </w:r>
      <w:r w:rsidRPr="00F046BA">
        <w:rPr>
          <w:rFonts w:ascii="Arial" w:hAnsi="Arial" w:cs="Arial"/>
          <w:bCs/>
        </w:rPr>
        <w:t>), aby v súlade s § 80 ods. 2 zákona Národnej rady Slovenskej republiky č. 350/1996 Z. z. o ro</w:t>
      </w:r>
      <w:r w:rsidRPr="00F046BA">
        <w:rPr>
          <w:rFonts w:ascii="Arial" w:hAnsi="Arial" w:cs="Arial"/>
          <w:bCs/>
        </w:rPr>
        <w:t>kovacom poriadku Národnej rady Slovenskej republiky v znení neskorších  predpisov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w:t>
      </w:r>
      <w:r w:rsidRPr="00F046BA">
        <w:rPr>
          <w:rFonts w:ascii="Arial" w:hAnsi="Arial" w:cs="Arial"/>
          <w:bCs/>
        </w:rPr>
        <w:t>ovenskej republiky.</w:t>
      </w:r>
    </w:p>
    <w:p w:rsidR="005242C8" w:rsidP="003F758D">
      <w:pPr>
        <w:jc w:val="both"/>
        <w:rPr>
          <w:rFonts w:ascii="Arial" w:hAnsi="Arial" w:cs="Arial"/>
          <w:bCs/>
        </w:rPr>
      </w:pPr>
    </w:p>
    <w:p w:rsidR="00911B3A" w:rsidP="003F758D">
      <w:pPr>
        <w:jc w:val="both"/>
        <w:rPr>
          <w:rFonts w:ascii="Arial" w:hAnsi="Arial" w:cs="Arial"/>
          <w:bCs/>
        </w:rPr>
      </w:pPr>
    </w:p>
    <w:p w:rsidR="00911B3A" w:rsidP="003F758D">
      <w:pPr>
        <w:jc w:val="both"/>
        <w:rPr>
          <w:rFonts w:ascii="Arial" w:hAnsi="Arial" w:cs="Arial"/>
          <w:bCs/>
        </w:rPr>
      </w:pPr>
    </w:p>
    <w:p w:rsidR="00DF22AD" w:rsidP="003F758D">
      <w:pPr>
        <w:jc w:val="both"/>
        <w:rPr>
          <w:rFonts w:ascii="Arial" w:hAnsi="Arial" w:cs="Arial"/>
          <w:bCs/>
        </w:rPr>
      </w:pPr>
    </w:p>
    <w:p w:rsidR="00DF22AD" w:rsidRPr="00F046BA" w:rsidP="003F758D">
      <w:pPr>
        <w:jc w:val="both"/>
        <w:rPr>
          <w:rFonts w:ascii="Arial" w:hAnsi="Arial" w:cs="Arial"/>
          <w:bCs/>
        </w:rPr>
      </w:pPr>
    </w:p>
    <w:p w:rsidR="0085008B" w:rsidRPr="00F046BA" w:rsidP="003F758D">
      <w:pPr>
        <w:jc w:val="both"/>
        <w:rPr>
          <w:rFonts w:ascii="Arial" w:hAnsi="Arial" w:cs="Arial"/>
        </w:rPr>
      </w:pPr>
      <w:r w:rsidRPr="00F046BA" w:rsidR="005242C8">
        <w:rPr>
          <w:rFonts w:ascii="Arial" w:hAnsi="Arial" w:cs="Arial"/>
        </w:rPr>
        <w:t xml:space="preserve">                                                  </w:t>
      </w:r>
    </w:p>
    <w:p w:rsidR="00EA5DC2" w:rsidRPr="00F046BA" w:rsidP="003F758D">
      <w:pPr>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jc w:val="both"/>
        <w:rPr>
          <w:rFonts w:ascii="Arial" w:hAnsi="Arial" w:cs="Arial"/>
        </w:rPr>
      </w:pPr>
      <w:r w:rsidRPr="00F046BA">
        <w:rPr>
          <w:rFonts w:ascii="Arial" w:hAnsi="Arial" w:cs="Arial"/>
        </w:rPr>
        <w:t xml:space="preserve">                                                                                                       predseda výboru</w:t>
      </w:r>
    </w:p>
    <w:p w:rsidR="00911B3A" w:rsidP="003F758D">
      <w:pPr>
        <w:jc w:val="both"/>
        <w:rPr>
          <w:rFonts w:ascii="Arial" w:hAnsi="Arial" w:cs="Arial"/>
        </w:rPr>
      </w:pPr>
    </w:p>
    <w:p w:rsidR="00911B3A" w:rsidP="003F758D">
      <w:pPr>
        <w:jc w:val="both"/>
        <w:rPr>
          <w:rFonts w:ascii="Arial" w:hAnsi="Arial" w:cs="Arial"/>
        </w:rPr>
      </w:pPr>
    </w:p>
    <w:p w:rsidR="00911B3A" w:rsidRPr="00F046BA" w:rsidP="003F758D">
      <w:pPr>
        <w:jc w:val="both"/>
        <w:rPr>
          <w:rFonts w:ascii="Arial" w:hAnsi="Arial" w:cs="Arial"/>
        </w:rPr>
      </w:pPr>
    </w:p>
    <w:p w:rsidR="00EA5DC2" w:rsidRPr="00F046BA" w:rsidP="00911B3A">
      <w:pPr>
        <w:jc w:val="both"/>
        <w:rPr>
          <w:rFonts w:ascii="Arial" w:hAnsi="Arial" w:cs="Arial"/>
        </w:rPr>
      </w:pPr>
      <w:r w:rsidR="00C34355">
        <w:rPr>
          <w:rFonts w:ascii="Arial" w:hAnsi="Arial" w:cs="Arial"/>
        </w:rPr>
        <w:t xml:space="preserve"> </w:t>
      </w:r>
      <w:r w:rsidRPr="00F046BA">
        <w:rPr>
          <w:rFonts w:ascii="Arial" w:hAnsi="Arial" w:cs="Arial"/>
        </w:rPr>
        <w:t>overovateľ výboru</w:t>
      </w:r>
    </w:p>
    <w:p w:rsidR="00EA5DC2" w:rsidRPr="00F046BA" w:rsidP="003F758D">
      <w:pPr>
        <w:jc w:val="both"/>
        <w:rPr>
          <w:rFonts w:ascii="Arial" w:hAnsi="Arial" w:cs="Arial"/>
          <w:b/>
          <w:bCs/>
        </w:rPr>
      </w:pPr>
      <w:r w:rsidRPr="00F046BA">
        <w:rPr>
          <w:rFonts w:ascii="Arial" w:hAnsi="Arial" w:cs="Arial"/>
        </w:rPr>
        <w:t xml:space="preserve">Alojz  </w:t>
      </w:r>
      <w:r w:rsidRPr="00F046BA">
        <w:rPr>
          <w:rFonts w:ascii="Arial" w:hAnsi="Arial" w:cs="Arial"/>
          <w:b/>
          <w:bCs/>
        </w:rPr>
        <w:t>P ř i d a l</w:t>
      </w:r>
    </w:p>
    <w:p w:rsidR="00EA5DC2" w:rsidP="003F758D">
      <w:pPr>
        <w:jc w:val="both"/>
        <w:rPr>
          <w:rFonts w:ascii="Arial" w:hAnsi="Arial" w:cs="Arial"/>
          <w:b/>
          <w:bCs/>
        </w:rPr>
      </w:pPr>
      <w:r w:rsidRPr="00F046BA">
        <w:rPr>
          <w:rFonts w:ascii="Arial" w:hAnsi="Arial" w:cs="Arial"/>
          <w:bCs/>
        </w:rPr>
        <w:t>Michal</w:t>
      </w:r>
      <w:r w:rsidRPr="00F046BA">
        <w:rPr>
          <w:rFonts w:ascii="Arial" w:hAnsi="Arial" w:cs="Arial"/>
          <w:b/>
          <w:bCs/>
        </w:rPr>
        <w:t xml:space="preserve">  B a g a č k a  </w:t>
      </w: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DF22AD" w:rsidP="003F758D">
      <w:pPr>
        <w:jc w:val="both"/>
        <w:rPr>
          <w:rFonts w:ascii="Arial" w:hAnsi="Arial" w:cs="Arial"/>
          <w:b/>
          <w:bCs/>
        </w:rPr>
      </w:pPr>
    </w:p>
    <w:p w:rsidR="00DF22AD" w:rsidP="003F758D">
      <w:pPr>
        <w:jc w:val="both"/>
        <w:rPr>
          <w:rFonts w:ascii="Arial" w:hAnsi="Arial" w:cs="Arial"/>
          <w:b/>
          <w:bCs/>
        </w:rPr>
      </w:pPr>
    </w:p>
    <w:p w:rsidR="00DF22AD"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911B3A" w:rsidP="003F758D">
      <w:pPr>
        <w:jc w:val="both"/>
        <w:rPr>
          <w:rFonts w:ascii="Arial" w:hAnsi="Arial" w:cs="Arial"/>
          <w:b/>
          <w:bCs/>
        </w:rPr>
      </w:pPr>
    </w:p>
    <w:p w:rsidR="00EA5DC2" w:rsidRPr="00F046BA" w:rsidP="003F758D">
      <w:pPr>
        <w:pStyle w:val="Heading1"/>
        <w:spacing w:line="240" w:lineRule="auto"/>
        <w:ind w:firstLine="540"/>
        <w:rPr>
          <w:rFonts w:ascii="Arial" w:hAnsi="Arial" w:cs="Arial"/>
          <w:b w:val="0"/>
          <w:bCs/>
          <w:i/>
          <w:iCs/>
        </w:rPr>
      </w:pPr>
      <w:r w:rsidRPr="00F046BA">
        <w:rPr>
          <w:rFonts w:ascii="Arial" w:hAnsi="Arial" w:cs="Arial"/>
          <w:b w:val="0"/>
          <w:bCs/>
          <w:i/>
          <w:iCs/>
        </w:rPr>
        <w:t xml:space="preserve">              Výbor</w:t>
      </w:r>
    </w:p>
    <w:p w:rsidR="00EA5DC2" w:rsidRPr="00F046BA" w:rsidP="003F758D">
      <w:pPr>
        <w:jc w:val="both"/>
        <w:rPr>
          <w:rFonts w:ascii="Arial" w:hAnsi="Arial" w:cs="Arial"/>
          <w:i/>
        </w:rPr>
      </w:pPr>
      <w:r w:rsidRPr="00F046BA">
        <w:rPr>
          <w:rFonts w:ascii="Arial" w:hAnsi="Arial" w:cs="Arial"/>
          <w:i/>
        </w:rPr>
        <w:t xml:space="preserve"> Národnej rady Slovenskej republiky</w:t>
      </w:r>
    </w:p>
    <w:p w:rsidR="00EA5DC2" w:rsidRPr="00F046BA" w:rsidP="003F758D">
      <w:pPr>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EA5DC2" w:rsidRPr="00F046BA" w:rsidP="003F758D">
      <w:pPr>
        <w:jc w:val="both"/>
        <w:rPr>
          <w:rFonts w:ascii="Arial" w:hAnsi="Arial" w:cs="Arial"/>
        </w:rPr>
      </w:pPr>
      <w:r w:rsidRPr="00F046BA">
        <w:rPr>
          <w:rFonts w:ascii="Arial" w:hAnsi="Arial" w:cs="Arial"/>
        </w:rPr>
        <w:t xml:space="preserve">                                                            </w:t>
      </w:r>
      <w:r w:rsidRPr="00F046BA">
        <w:rPr>
          <w:rFonts w:ascii="Arial" w:hAnsi="Arial" w:cs="Arial"/>
        </w:rPr>
        <w:t xml:space="preserve">  </w:t>
      </w:r>
      <w:r w:rsidR="0005312F">
        <w:rPr>
          <w:rFonts w:ascii="Arial" w:hAnsi="Arial" w:cs="Arial"/>
        </w:rPr>
        <w:t xml:space="preserve">                               41</w:t>
      </w:r>
      <w:r w:rsidRPr="00F046BA">
        <w:rPr>
          <w:rFonts w:ascii="Arial" w:hAnsi="Arial" w:cs="Arial"/>
        </w:rPr>
        <w:t>. schôdza výboru</w:t>
      </w:r>
    </w:p>
    <w:p w:rsidR="00EA5DC2" w:rsidRPr="00F046BA" w:rsidP="003F758D">
      <w:pPr>
        <w:jc w:val="both"/>
        <w:rPr>
          <w:rFonts w:ascii="Arial" w:hAnsi="Arial" w:cs="Arial"/>
          <w:bCs/>
        </w:rPr>
      </w:pPr>
      <w:r w:rsidRPr="00F046BA">
        <w:rPr>
          <w:rFonts w:ascii="Arial" w:hAnsi="Arial" w:cs="Arial"/>
        </w:rPr>
        <w:t xml:space="preserve">                                                             </w:t>
      </w:r>
      <w:r w:rsidR="0005312F">
        <w:rPr>
          <w:rFonts w:ascii="Arial" w:hAnsi="Arial" w:cs="Arial"/>
        </w:rPr>
        <w:t xml:space="preserve">                               </w:t>
      </w:r>
      <w:r w:rsidRPr="00F046BA">
        <w:rPr>
          <w:rFonts w:ascii="Arial" w:hAnsi="Arial" w:cs="Arial"/>
        </w:rPr>
        <w:t xml:space="preserve"> </w:t>
      </w:r>
      <w:r w:rsidRPr="00F046BA">
        <w:rPr>
          <w:rFonts w:ascii="Arial" w:hAnsi="Arial" w:cs="Arial"/>
          <w:bCs/>
        </w:rPr>
        <w:t xml:space="preserve">Príloha k uzneseniu č. </w:t>
      </w:r>
      <w:r w:rsidR="0005312F">
        <w:rPr>
          <w:rFonts w:ascii="Arial" w:hAnsi="Arial" w:cs="Arial"/>
          <w:bCs/>
        </w:rPr>
        <w:t>199</w:t>
      </w:r>
    </w:p>
    <w:p w:rsidR="00EA5DC2" w:rsidRPr="00F046BA" w:rsidP="003F758D">
      <w:pPr>
        <w:pStyle w:val="BodyTextIndent"/>
        <w:rPr>
          <w:rFonts w:ascii="Arial" w:hAnsi="Arial" w:cs="Arial"/>
          <w:color w:val="auto"/>
          <w:lang w:val="sk-SK"/>
        </w:rPr>
      </w:pPr>
      <w:r w:rsidRPr="00F046BA">
        <w:rPr>
          <w:rFonts w:ascii="Arial" w:hAnsi="Arial" w:cs="Arial"/>
          <w:iCs/>
          <w:color w:val="auto"/>
          <w:lang w:val="sk-SK"/>
        </w:rPr>
        <w:t xml:space="preserve">  </w:t>
      </w:r>
    </w:p>
    <w:p w:rsidR="00EA5DC2" w:rsidRPr="00F046BA" w:rsidP="003F758D">
      <w:pPr>
        <w:jc w:val="center"/>
        <w:rPr>
          <w:rFonts w:ascii="Arial" w:hAnsi="Arial" w:cs="Arial"/>
          <w:b/>
          <w:sz w:val="32"/>
          <w:szCs w:val="28"/>
        </w:rPr>
      </w:pPr>
    </w:p>
    <w:p w:rsidR="005242C8" w:rsidRPr="00F046BA" w:rsidP="003F758D">
      <w:pPr>
        <w:pStyle w:val="Heading5"/>
        <w:spacing w:line="240" w:lineRule="auto"/>
        <w:rPr>
          <w:rFonts w:ascii="Arial" w:hAnsi="Arial" w:cs="Arial"/>
          <w:bCs/>
        </w:rPr>
      </w:pPr>
      <w:r w:rsidRPr="00F046BA">
        <w:rPr>
          <w:rFonts w:ascii="Arial" w:hAnsi="Arial" w:cs="Arial"/>
        </w:rPr>
        <w:t>Z m e n y  a  d o p l n k y</w:t>
      </w:r>
    </w:p>
    <w:p w:rsidR="005242C8" w:rsidRPr="00F046BA" w:rsidP="003F758D">
      <w:pPr>
        <w:pBdr>
          <w:bottom w:val="single" w:sz="12" w:space="1" w:color="auto"/>
        </w:pBdr>
        <w:tabs>
          <w:tab w:val="left" w:pos="-1985"/>
          <w:tab w:val="left" w:pos="709"/>
          <w:tab w:val="left" w:pos="1077"/>
        </w:tabs>
        <w:jc w:val="center"/>
        <w:rPr>
          <w:rStyle w:val="Strong"/>
          <w:rFonts w:ascii="Arial" w:hAnsi="Arial" w:cs="Arial"/>
          <w:b w:val="0"/>
          <w:color w:val="000000"/>
        </w:rPr>
      </w:pPr>
      <w:r w:rsidR="00DB239F">
        <w:rPr>
          <w:rFonts w:ascii="Arial" w:hAnsi="Arial" w:cs="Arial"/>
        </w:rPr>
        <w:t xml:space="preserve">k vládnemu návrhu </w:t>
      </w:r>
      <w:r w:rsidRPr="00DA7877" w:rsidR="00DA7877">
        <w:rPr>
          <w:rFonts w:ascii="Arial" w:hAnsi="Arial" w:cs="Arial"/>
          <w:noProof/>
        </w:rPr>
        <w:t xml:space="preserve">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 </w:t>
      </w:r>
      <w:r w:rsidRPr="00DA7877" w:rsidR="00DA7877">
        <w:rPr>
          <w:rFonts w:ascii="Arial" w:hAnsi="Arial" w:cs="Arial"/>
        </w:rPr>
        <w:t xml:space="preserve">(tlač </w:t>
      </w:r>
      <w:r w:rsidRPr="00DA7877" w:rsidR="00DA7877">
        <w:rPr>
          <w:rFonts w:ascii="Arial" w:hAnsi="Arial" w:cs="Arial"/>
          <w:b/>
        </w:rPr>
        <w:t>602</w:t>
      </w:r>
      <w:r w:rsidRPr="00DA7877" w:rsidR="00DA7877">
        <w:rPr>
          <w:rFonts w:ascii="Arial" w:hAnsi="Arial" w:cs="Arial"/>
        </w:rPr>
        <w:t>)</w:t>
      </w:r>
    </w:p>
    <w:p w:rsidR="003E1A13" w:rsidP="001251A5">
      <w:pPr>
        <w:jc w:val="both"/>
        <w:rPr>
          <w:rFonts w:ascii="Arial" w:hAnsi="Arial" w:cs="Arial"/>
        </w:rPr>
      </w:pPr>
    </w:p>
    <w:p w:rsidR="00795BDD" w:rsidRPr="00795BDD" w:rsidP="00795BDD">
      <w:pPr>
        <w:numPr>
          <w:ilvl w:val="0"/>
          <w:numId w:val="16"/>
        </w:numPr>
        <w:jc w:val="both"/>
        <w:rPr>
          <w:rFonts w:ascii="Arial" w:hAnsi="Arial" w:cs="Arial"/>
        </w:rPr>
      </w:pPr>
      <w:r w:rsidRPr="00795BDD">
        <w:rPr>
          <w:rFonts w:ascii="Arial" w:hAnsi="Arial" w:cs="Arial"/>
          <w:u w:val="single"/>
        </w:rPr>
        <w:t xml:space="preserve">V čl. I, </w:t>
      </w:r>
      <w:r>
        <w:rPr>
          <w:rFonts w:ascii="Arial" w:hAnsi="Arial" w:cs="Arial"/>
          <w:u w:val="single"/>
        </w:rPr>
        <w:t>sa vkladá nový 1. bod, ktorý</w:t>
      </w:r>
      <w:r w:rsidRPr="00795BDD">
        <w:rPr>
          <w:rFonts w:ascii="Arial" w:hAnsi="Arial" w:cs="Arial"/>
          <w:u w:val="single"/>
        </w:rPr>
        <w:t xml:space="preserve"> znie</w:t>
      </w:r>
      <w:r w:rsidRPr="00795BDD">
        <w:rPr>
          <w:rFonts w:ascii="Arial" w:hAnsi="Arial" w:cs="Arial"/>
        </w:rPr>
        <w:t xml:space="preserve">:  </w:t>
      </w:r>
    </w:p>
    <w:p w:rsidR="00795BDD" w:rsidRPr="00795BDD" w:rsidP="00795BDD">
      <w:pPr>
        <w:ind w:left="709"/>
        <w:rPr>
          <w:rFonts w:ascii="Arial" w:hAnsi="Arial" w:cs="Arial"/>
        </w:rPr>
      </w:pPr>
      <w:r w:rsidRPr="00795BDD">
        <w:rPr>
          <w:rFonts w:ascii="Arial" w:hAnsi="Arial" w:cs="Arial"/>
        </w:rPr>
        <w:t>„1. Poznámky pod čiarou k odkazom 1 až 3 znejú:</w:t>
      </w:r>
    </w:p>
    <w:p w:rsidR="00795BDD" w:rsidRPr="00795BDD" w:rsidP="00795BDD">
      <w:pPr>
        <w:ind w:left="709"/>
        <w:rPr>
          <w:rFonts w:ascii="Arial" w:hAnsi="Arial" w:cs="Arial"/>
        </w:rPr>
      </w:pPr>
      <w:r w:rsidRPr="00795BDD">
        <w:rPr>
          <w:rFonts w:ascii="Arial" w:hAnsi="Arial" w:cs="Arial"/>
        </w:rPr>
        <w:t>„</w:t>
      </w:r>
      <w:r w:rsidRPr="00795BDD">
        <w:rPr>
          <w:rFonts w:ascii="Arial" w:hAnsi="Arial" w:cs="Arial"/>
          <w:vertAlign w:val="superscript"/>
        </w:rPr>
        <w:t>1</w:t>
      </w:r>
      <w:r w:rsidRPr="00795BDD">
        <w:rPr>
          <w:rFonts w:ascii="Arial" w:hAnsi="Arial" w:cs="Arial"/>
        </w:rPr>
        <w:t xml:space="preserve">) § 2 písm. b) prvý bod zákona č. 251/2012 Z. z. o energetike a o zmene a doplnení niektorých  zákonov </w:t>
      </w:r>
      <w:r w:rsidRPr="00795BDD">
        <w:rPr>
          <w:rFonts w:ascii="Arial" w:hAnsi="Arial" w:cs="Arial"/>
        </w:rPr>
        <w:t>v znení neskorších predpisov.</w:t>
      </w:r>
    </w:p>
    <w:p w:rsidR="00795BDD" w:rsidRPr="00795BDD" w:rsidP="00795BDD">
      <w:pPr>
        <w:tabs>
          <w:tab w:val="num" w:pos="426"/>
        </w:tabs>
        <w:ind w:left="709"/>
        <w:rPr>
          <w:rFonts w:ascii="Arial" w:hAnsi="Arial" w:cs="Arial"/>
        </w:rPr>
      </w:pPr>
      <w:r w:rsidRPr="00795BDD">
        <w:rPr>
          <w:rFonts w:ascii="Arial" w:hAnsi="Arial" w:cs="Arial"/>
          <w:vertAlign w:val="superscript"/>
        </w:rPr>
        <w:t xml:space="preserve">   2</w:t>
      </w:r>
      <w:r w:rsidRPr="00795BDD">
        <w:rPr>
          <w:rFonts w:ascii="Arial" w:hAnsi="Arial" w:cs="Arial"/>
        </w:rPr>
        <w:t>) § 3 písm. b) prvý bod zákona č. 251/2012 Z. z.</w:t>
      </w:r>
    </w:p>
    <w:p w:rsidR="00795BDD" w:rsidRPr="00795BDD" w:rsidP="00795BDD">
      <w:pPr>
        <w:pStyle w:val="poznamka"/>
        <w:tabs>
          <w:tab w:val="num" w:pos="426"/>
          <w:tab w:val="left" w:pos="7560"/>
        </w:tabs>
        <w:spacing w:before="0" w:beforeAutospacing="0" w:after="0" w:afterAutospacing="0"/>
        <w:ind w:left="709"/>
        <w:jc w:val="both"/>
        <w:rPr>
          <w:rFonts w:ascii="Arial" w:hAnsi="Arial" w:cs="Arial"/>
          <w:sz w:val="24"/>
          <w:szCs w:val="24"/>
        </w:rPr>
      </w:pPr>
      <w:r w:rsidRPr="00795BDD">
        <w:rPr>
          <w:rFonts w:ascii="Arial" w:hAnsi="Arial" w:cs="Arial"/>
          <w:color w:val="auto"/>
          <w:sz w:val="24"/>
          <w:szCs w:val="24"/>
          <w:vertAlign w:val="superscript"/>
        </w:rPr>
        <w:t xml:space="preserve">   3</w:t>
      </w:r>
      <w:r w:rsidRPr="00795BDD">
        <w:rPr>
          <w:rFonts w:ascii="Arial" w:hAnsi="Arial" w:cs="Arial"/>
          <w:color w:val="auto"/>
          <w:sz w:val="24"/>
          <w:szCs w:val="24"/>
        </w:rPr>
        <w:t>) § 82 zákona č. 50/1976 Zb. o územnom plánovaní a stavebnom poriadku (stavebný  zákon) v znení neskorších predpisov.“.</w:t>
      </w:r>
      <w:r w:rsidRPr="00795BDD">
        <w:rPr>
          <w:rFonts w:ascii="Arial" w:hAnsi="Arial" w:cs="Arial"/>
          <w:sz w:val="24"/>
          <w:szCs w:val="24"/>
        </w:rPr>
        <w:t>“.</w:t>
      </w:r>
    </w:p>
    <w:p w:rsidR="00795BDD" w:rsidP="00795BDD">
      <w:pPr>
        <w:tabs>
          <w:tab w:val="num" w:pos="284"/>
        </w:tabs>
        <w:ind w:left="426"/>
        <w:rPr>
          <w:rFonts w:ascii="Arial" w:hAnsi="Arial" w:cs="Arial"/>
        </w:rPr>
      </w:pPr>
    </w:p>
    <w:p w:rsidR="00795BDD" w:rsidRPr="00795BDD" w:rsidP="00795BDD">
      <w:pPr>
        <w:tabs>
          <w:tab w:val="num" w:pos="-426"/>
        </w:tabs>
        <w:ind w:left="709"/>
        <w:rPr>
          <w:rFonts w:ascii="Arial" w:hAnsi="Arial" w:cs="Arial"/>
        </w:rPr>
      </w:pPr>
      <w:r w:rsidRPr="00795BDD">
        <w:rPr>
          <w:rFonts w:ascii="Arial" w:hAnsi="Arial" w:cs="Arial"/>
        </w:rPr>
        <w:t>Ďalšie body sa primerane prečíslujú.</w:t>
      </w:r>
    </w:p>
    <w:p w:rsidR="00795BDD" w:rsidP="00795BDD">
      <w:pPr>
        <w:rPr>
          <w:rFonts w:ascii="Arial" w:hAnsi="Arial" w:cs="Arial"/>
        </w:rPr>
      </w:pPr>
    </w:p>
    <w:p w:rsidR="00795BDD" w:rsidRPr="00795BDD" w:rsidP="00795BDD">
      <w:pPr>
        <w:ind w:left="2268"/>
        <w:rPr>
          <w:rFonts w:ascii="Arial" w:hAnsi="Arial" w:cs="Arial"/>
        </w:rPr>
      </w:pPr>
      <w:r w:rsidRPr="00795BDD">
        <w:rPr>
          <w:rFonts w:ascii="Arial" w:hAnsi="Arial" w:cs="Arial"/>
        </w:rPr>
        <w:t>Ide o le</w:t>
      </w:r>
      <w:r w:rsidRPr="00795BDD">
        <w:rPr>
          <w:rFonts w:ascii="Arial" w:hAnsi="Arial" w:cs="Arial"/>
        </w:rPr>
        <w:t xml:space="preserve">gislatívno-technickú úpravu; úprava nadväzuje na pripomienku v 7. </w:t>
      </w:r>
      <w:r w:rsidR="00C36975">
        <w:rPr>
          <w:rFonts w:ascii="Arial" w:hAnsi="Arial" w:cs="Arial"/>
        </w:rPr>
        <w:t>b</w:t>
      </w:r>
      <w:r w:rsidRPr="00795BDD">
        <w:rPr>
          <w:rFonts w:ascii="Arial" w:hAnsi="Arial" w:cs="Arial"/>
        </w:rPr>
        <w:t>ode</w:t>
      </w:r>
      <w:r w:rsidR="00C36975">
        <w:rPr>
          <w:rFonts w:ascii="Arial" w:hAnsi="Arial" w:cs="Arial"/>
        </w:rPr>
        <w:t xml:space="preserve"> časti</w:t>
      </w:r>
      <w:r w:rsidRPr="00795BDD">
        <w:rPr>
          <w:rFonts w:ascii="Arial" w:hAnsi="Arial" w:cs="Arial"/>
        </w:rPr>
        <w:t xml:space="preserve"> </w:t>
      </w:r>
      <w:r w:rsidR="00C36975">
        <w:rPr>
          <w:rFonts w:ascii="Arial" w:hAnsi="Arial" w:cs="Arial"/>
        </w:rPr>
        <w:t>„A“ </w:t>
      </w:r>
      <w:r w:rsidRPr="00795BDD" w:rsidR="00C36975">
        <w:rPr>
          <w:rFonts w:ascii="Arial" w:hAnsi="Arial" w:cs="Arial"/>
        </w:rPr>
        <w:t>stanoviska</w:t>
      </w:r>
      <w:r w:rsidR="00C36975">
        <w:rPr>
          <w:rFonts w:ascii="Arial" w:hAnsi="Arial" w:cs="Arial"/>
        </w:rPr>
        <w:t xml:space="preserve"> Odboru legislatívy a aproximácie práva Kancelárie NR SR</w:t>
      </w:r>
      <w:r w:rsidRPr="00795BDD">
        <w:rPr>
          <w:rFonts w:ascii="Arial" w:hAnsi="Arial" w:cs="Arial"/>
        </w:rPr>
        <w:t xml:space="preserve">. </w:t>
      </w:r>
    </w:p>
    <w:p w:rsidR="00795BDD" w:rsidRPr="00795BDD" w:rsidP="00795BDD">
      <w:pPr>
        <w:jc w:val="both"/>
        <w:rPr>
          <w:rFonts w:ascii="Arial" w:hAnsi="Arial" w:cs="Arial"/>
        </w:rPr>
      </w:pPr>
    </w:p>
    <w:p w:rsidR="00795BDD" w:rsidRPr="00795BDD" w:rsidP="00795BDD">
      <w:pPr>
        <w:numPr>
          <w:ilvl w:val="0"/>
          <w:numId w:val="16"/>
        </w:numPr>
        <w:jc w:val="both"/>
        <w:rPr>
          <w:rFonts w:ascii="Arial" w:hAnsi="Arial" w:cs="Arial"/>
        </w:rPr>
      </w:pPr>
      <w:r w:rsidRPr="00795BDD">
        <w:rPr>
          <w:rFonts w:ascii="Arial" w:hAnsi="Arial" w:cs="Arial"/>
          <w:u w:val="single"/>
        </w:rPr>
        <w:t>V čl. I, 1. bode sa v § 2 ods. 3 písm. k)</w:t>
      </w:r>
      <w:r w:rsidRPr="00795BDD">
        <w:rPr>
          <w:rFonts w:ascii="Arial" w:hAnsi="Arial" w:cs="Arial"/>
        </w:rPr>
        <w:t xml:space="preserve"> slová „z obnoviteľného zdroja“ nahrádzajú slovami „z obnoviteľn</w:t>
      </w:r>
      <w:r w:rsidRPr="00795BDD">
        <w:rPr>
          <w:rFonts w:ascii="Arial" w:hAnsi="Arial" w:cs="Arial"/>
        </w:rPr>
        <w:t>ého zdroja energie“ .</w:t>
      </w:r>
    </w:p>
    <w:p w:rsidR="00795BDD" w:rsidRPr="00795BDD" w:rsidP="00795BDD">
      <w:pPr>
        <w:ind w:left="1701"/>
        <w:jc w:val="both"/>
        <w:rPr>
          <w:rFonts w:ascii="Arial" w:hAnsi="Arial" w:cs="Arial"/>
        </w:rPr>
      </w:pPr>
    </w:p>
    <w:p w:rsidR="00795BDD" w:rsidRPr="00795BDD" w:rsidP="00795BDD">
      <w:pPr>
        <w:ind w:left="2268"/>
        <w:jc w:val="both"/>
        <w:rPr>
          <w:rFonts w:ascii="Arial" w:hAnsi="Arial" w:cs="Arial"/>
        </w:rPr>
      </w:pPr>
      <w:r w:rsidRPr="00795BDD">
        <w:rPr>
          <w:rFonts w:ascii="Arial" w:hAnsi="Arial" w:cs="Arial"/>
        </w:rPr>
        <w:t>Ide o legislatívno-technickú pripomienku, ktorou sa právny text terminologicky zlaďuje s čl. 2 písm. a) smernice Európskeho parlamentu a Rady 2009/28/ES a s používaným pojmom v platnom zákone.</w:t>
      </w:r>
    </w:p>
    <w:p w:rsidR="00795BDD" w:rsidRPr="00795BDD" w:rsidP="00795BDD">
      <w:pPr>
        <w:tabs>
          <w:tab w:val="left" w:pos="284"/>
        </w:tabs>
        <w:ind w:left="2835"/>
        <w:jc w:val="both"/>
        <w:rPr>
          <w:rFonts w:ascii="Arial" w:hAnsi="Arial" w:cs="Arial"/>
        </w:rPr>
      </w:pPr>
    </w:p>
    <w:p w:rsidR="00795BDD" w:rsidRPr="00795BDD" w:rsidP="00795BDD">
      <w:pPr>
        <w:numPr>
          <w:ilvl w:val="0"/>
          <w:numId w:val="16"/>
        </w:numPr>
        <w:suppressAutoHyphens/>
        <w:jc w:val="both"/>
        <w:rPr>
          <w:rFonts w:ascii="Arial" w:hAnsi="Arial" w:cs="Arial"/>
        </w:rPr>
      </w:pPr>
      <w:r w:rsidRPr="00795BDD">
        <w:rPr>
          <w:rFonts w:ascii="Arial" w:hAnsi="Arial" w:cs="Arial"/>
          <w:u w:val="single"/>
        </w:rPr>
        <w:t>V čl. I sa za 2. bod vkladá nový 3. bod</w:t>
      </w:r>
      <w:r w:rsidRPr="00795BDD">
        <w:rPr>
          <w:rFonts w:ascii="Arial" w:hAnsi="Arial" w:cs="Arial"/>
          <w:u w:val="single"/>
        </w:rPr>
        <w:t>, ktorý znie</w:t>
      </w:r>
      <w:r w:rsidRPr="00795BDD">
        <w:rPr>
          <w:rFonts w:ascii="Arial" w:hAnsi="Arial" w:cs="Arial"/>
        </w:rPr>
        <w:t>:</w:t>
      </w:r>
    </w:p>
    <w:p w:rsidR="00795BDD" w:rsidRPr="00795BDD" w:rsidP="002808C0">
      <w:pPr>
        <w:tabs>
          <w:tab w:val="num" w:pos="0"/>
        </w:tabs>
        <w:autoSpaceDE w:val="0"/>
        <w:autoSpaceDN w:val="0"/>
        <w:adjustRightInd w:val="0"/>
        <w:ind w:left="709"/>
        <w:jc w:val="both"/>
        <w:rPr>
          <w:rFonts w:ascii="Arial" w:hAnsi="Arial" w:cs="Arial"/>
        </w:rPr>
      </w:pPr>
      <w:r w:rsidRPr="00795BDD">
        <w:rPr>
          <w:rFonts w:ascii="Arial" w:hAnsi="Arial" w:cs="Arial"/>
        </w:rPr>
        <w:t xml:space="preserve">„3. Poznámky pod čiarou k odkazom 3a, 4 až 6 a 8 znejú: </w:t>
      </w:r>
    </w:p>
    <w:p w:rsidR="00795BDD" w:rsidRPr="00795BDD" w:rsidP="002808C0">
      <w:pPr>
        <w:tabs>
          <w:tab w:val="num" w:pos="0"/>
        </w:tabs>
        <w:autoSpaceDE w:val="0"/>
        <w:autoSpaceDN w:val="0"/>
        <w:adjustRightInd w:val="0"/>
        <w:ind w:left="709"/>
        <w:jc w:val="both"/>
        <w:rPr>
          <w:rFonts w:ascii="Arial" w:hAnsi="Arial" w:cs="Arial"/>
        </w:rPr>
      </w:pPr>
      <w:r w:rsidRPr="00795BDD">
        <w:rPr>
          <w:rFonts w:ascii="Arial" w:hAnsi="Arial" w:cs="Arial"/>
        </w:rPr>
        <w:t>„</w:t>
      </w:r>
      <w:r w:rsidRPr="00795BDD">
        <w:rPr>
          <w:rFonts w:ascii="Arial" w:hAnsi="Arial" w:cs="Arial"/>
          <w:vertAlign w:val="superscript"/>
        </w:rPr>
        <w:t>3a</w:t>
      </w:r>
      <w:r w:rsidRPr="00795BDD">
        <w:rPr>
          <w:rFonts w:ascii="Arial" w:hAnsi="Arial" w:cs="Arial"/>
        </w:rPr>
        <w:t>) STN EN Kvapalné ropné výrobky. Metylestery mastných kyselín (FAME) pre vznetové motory a na vykurovanie. Požiadavky a skúšobné metódy (656531).</w:t>
      </w:r>
    </w:p>
    <w:p w:rsidR="00795BDD" w:rsidRPr="00795BDD" w:rsidP="002808C0">
      <w:pPr>
        <w:tabs>
          <w:tab w:val="num" w:pos="-567"/>
        </w:tabs>
        <w:ind w:left="709"/>
        <w:jc w:val="both"/>
        <w:rPr>
          <w:rFonts w:ascii="Arial" w:hAnsi="Arial" w:cs="Arial"/>
        </w:rPr>
      </w:pPr>
      <w:r w:rsidRPr="00795BDD">
        <w:rPr>
          <w:rFonts w:ascii="Arial" w:hAnsi="Arial" w:cs="Arial"/>
          <w:vertAlign w:val="superscript"/>
        </w:rPr>
        <w:t>4</w:t>
      </w:r>
      <w:r w:rsidRPr="00795BDD">
        <w:rPr>
          <w:rFonts w:ascii="Arial" w:hAnsi="Arial" w:cs="Arial"/>
        </w:rPr>
        <w:t xml:space="preserve">) § 2 písm. b) dvadsiaty piaty bod zákona č. 251/2012 Z. z. </w:t>
      </w:r>
    </w:p>
    <w:p w:rsidR="00795BDD" w:rsidRPr="00795BDD" w:rsidP="002808C0">
      <w:pPr>
        <w:tabs>
          <w:tab w:val="num" w:pos="-567"/>
        </w:tabs>
        <w:ind w:left="709"/>
        <w:jc w:val="both"/>
        <w:rPr>
          <w:rFonts w:ascii="Arial" w:hAnsi="Arial" w:cs="Arial"/>
        </w:rPr>
      </w:pPr>
      <w:r w:rsidRPr="00795BDD">
        <w:rPr>
          <w:rFonts w:ascii="Arial" w:hAnsi="Arial" w:cs="Arial"/>
          <w:vertAlign w:val="superscript"/>
        </w:rPr>
        <w:t>5</w:t>
      </w:r>
      <w:r w:rsidRPr="00795BDD">
        <w:rPr>
          <w:rFonts w:ascii="Arial" w:hAnsi="Arial" w:cs="Arial"/>
        </w:rPr>
        <w:t xml:space="preserve">) § 2 písm. a) dvanásty bod zákona č. 251/2012 Z. z. </w:t>
      </w:r>
    </w:p>
    <w:p w:rsidR="00795BDD" w:rsidRPr="00795BDD" w:rsidP="002808C0">
      <w:pPr>
        <w:tabs>
          <w:tab w:val="num" w:pos="-567"/>
        </w:tabs>
        <w:ind w:left="709"/>
        <w:jc w:val="both"/>
        <w:rPr>
          <w:rFonts w:ascii="Arial" w:hAnsi="Arial" w:cs="Arial"/>
        </w:rPr>
      </w:pPr>
      <w:r w:rsidRPr="00795BDD">
        <w:rPr>
          <w:rFonts w:ascii="Arial" w:hAnsi="Arial" w:cs="Arial"/>
          <w:vertAlign w:val="superscript"/>
        </w:rPr>
        <w:t>6</w:t>
      </w:r>
      <w:r w:rsidRPr="00795BDD">
        <w:rPr>
          <w:rFonts w:ascii="Arial" w:hAnsi="Arial" w:cs="Arial"/>
        </w:rPr>
        <w:t xml:space="preserve">) § 2 písm. b) pätnásty bod zákona č. 251/2012 Z. z. </w:t>
      </w:r>
    </w:p>
    <w:p w:rsidR="00795BDD" w:rsidRPr="00795BDD" w:rsidP="002808C0">
      <w:pPr>
        <w:tabs>
          <w:tab w:val="num" w:pos="-567"/>
        </w:tabs>
        <w:ind w:left="709"/>
        <w:jc w:val="both"/>
        <w:rPr>
          <w:rFonts w:ascii="Arial" w:hAnsi="Arial" w:cs="Arial"/>
        </w:rPr>
      </w:pPr>
      <w:r w:rsidRPr="00795BDD">
        <w:rPr>
          <w:rFonts w:ascii="Arial" w:hAnsi="Arial" w:cs="Arial"/>
          <w:vertAlign w:val="superscript"/>
        </w:rPr>
        <w:t>8</w:t>
      </w:r>
      <w:r w:rsidRPr="00795BDD">
        <w:rPr>
          <w:rFonts w:ascii="Arial" w:hAnsi="Arial" w:cs="Arial"/>
        </w:rPr>
        <w:t>) § 2 písm. b) devätnásty bod zákona č. 251/2012 Z. z.“.“.</w:t>
      </w:r>
    </w:p>
    <w:p w:rsidR="00795BDD" w:rsidP="002808C0">
      <w:pPr>
        <w:tabs>
          <w:tab w:val="num" w:pos="-567"/>
          <w:tab w:val="num" w:pos="284"/>
        </w:tabs>
        <w:ind w:left="709"/>
        <w:jc w:val="both"/>
        <w:rPr>
          <w:rFonts w:ascii="Arial" w:hAnsi="Arial" w:cs="Arial"/>
        </w:rPr>
      </w:pPr>
      <w:r>
        <w:rPr>
          <w:rFonts w:ascii="Arial" w:hAnsi="Arial" w:cs="Arial"/>
        </w:rPr>
        <w:tab/>
      </w:r>
    </w:p>
    <w:p w:rsidR="00795BDD" w:rsidRPr="00795BDD" w:rsidP="002808C0">
      <w:pPr>
        <w:tabs>
          <w:tab w:val="num" w:pos="-567"/>
        </w:tabs>
        <w:ind w:left="709"/>
        <w:jc w:val="both"/>
        <w:rPr>
          <w:rFonts w:ascii="Arial" w:hAnsi="Arial" w:cs="Arial"/>
        </w:rPr>
      </w:pPr>
      <w:r w:rsidRPr="00795BDD">
        <w:rPr>
          <w:rFonts w:ascii="Arial" w:hAnsi="Arial" w:cs="Arial"/>
        </w:rPr>
        <w:t>Ďalšie body sa primerane prečíslujú.</w:t>
      </w:r>
    </w:p>
    <w:p w:rsidR="00795BDD" w:rsidRPr="00795BDD" w:rsidP="00795BDD">
      <w:pPr>
        <w:ind w:left="420"/>
        <w:jc w:val="both"/>
        <w:rPr>
          <w:rFonts w:ascii="Arial" w:hAnsi="Arial" w:cs="Arial"/>
        </w:rPr>
      </w:pPr>
    </w:p>
    <w:p w:rsidR="00795BDD" w:rsidRPr="00795BDD" w:rsidP="00795BDD">
      <w:pPr>
        <w:ind w:left="2268"/>
        <w:jc w:val="both"/>
        <w:rPr>
          <w:rFonts w:ascii="Arial" w:hAnsi="Arial" w:cs="Arial"/>
        </w:rPr>
      </w:pPr>
      <w:r w:rsidRPr="00795BDD">
        <w:rPr>
          <w:rFonts w:ascii="Arial" w:hAnsi="Arial" w:cs="Arial"/>
        </w:rPr>
        <w:t>Ide o legislatívno-t</w:t>
      </w:r>
      <w:r w:rsidRPr="00795BDD">
        <w:rPr>
          <w:rFonts w:ascii="Arial" w:hAnsi="Arial" w:cs="Arial"/>
        </w:rPr>
        <w:t>echnickú úpravu; úprava nadväzuje                         na</w:t>
      </w:r>
      <w:r w:rsidR="00C36975">
        <w:rPr>
          <w:rFonts w:ascii="Arial" w:hAnsi="Arial" w:cs="Arial"/>
        </w:rPr>
        <w:t xml:space="preserve"> pripomienku v 7. bode časti „A“ </w:t>
      </w:r>
      <w:r w:rsidRPr="00795BDD">
        <w:rPr>
          <w:rFonts w:ascii="Arial" w:hAnsi="Arial" w:cs="Arial"/>
        </w:rPr>
        <w:t>stanoviska</w:t>
      </w:r>
      <w:r w:rsidR="00C36975">
        <w:rPr>
          <w:rFonts w:ascii="Arial" w:hAnsi="Arial" w:cs="Arial"/>
        </w:rPr>
        <w:t xml:space="preserve"> Odboru legislatívy a aproximácie práva Kancelárie NR SR</w:t>
      </w:r>
      <w:r w:rsidRPr="00795BDD">
        <w:rPr>
          <w:rFonts w:ascii="Arial" w:hAnsi="Arial" w:cs="Arial"/>
        </w:rPr>
        <w:t xml:space="preserve">. </w:t>
      </w:r>
    </w:p>
    <w:p w:rsidR="00795BDD" w:rsidRPr="00795BDD" w:rsidP="001251A5">
      <w:pPr>
        <w:jc w:val="both"/>
        <w:rPr>
          <w:rFonts w:ascii="Arial" w:hAnsi="Arial" w:cs="Arial"/>
        </w:rPr>
      </w:pPr>
    </w:p>
    <w:p w:rsidR="00795BDD" w:rsidRPr="00795BDD" w:rsidP="00795BDD">
      <w:pPr>
        <w:numPr>
          <w:ilvl w:val="0"/>
          <w:numId w:val="16"/>
        </w:numPr>
        <w:jc w:val="both"/>
        <w:rPr>
          <w:rFonts w:ascii="Arial" w:hAnsi="Arial" w:cs="Arial"/>
        </w:rPr>
      </w:pPr>
      <w:r w:rsidRPr="00795BDD">
        <w:rPr>
          <w:rFonts w:ascii="Arial" w:hAnsi="Arial" w:cs="Arial"/>
          <w:u w:val="single"/>
        </w:rPr>
        <w:t>V čl. I, 3. bode v § 3 ods. 4 sa za písmeno g) vkladá nové písmeno h), ktoré znie</w:t>
      </w:r>
      <w:r w:rsidRPr="00795BDD">
        <w:rPr>
          <w:rFonts w:ascii="Arial" w:hAnsi="Arial" w:cs="Arial"/>
        </w:rPr>
        <w:t xml:space="preserve">:  </w:t>
      </w:r>
    </w:p>
    <w:p w:rsidR="00795BDD" w:rsidRPr="00795BDD" w:rsidP="00795BDD">
      <w:pPr>
        <w:pStyle w:val="ListParagraph"/>
        <w:jc w:val="both"/>
        <w:rPr>
          <w:rFonts w:ascii="Arial" w:hAnsi="Arial" w:cs="Arial"/>
        </w:rPr>
      </w:pPr>
      <w:r w:rsidRPr="00795BDD">
        <w:rPr>
          <w:rFonts w:ascii="Arial" w:hAnsi="Arial" w:cs="Arial"/>
        </w:rPr>
        <w:t>„h) všetku elektrinu z obnoviteľných zdrojov energie vyrobenú v zariadení na kombinovanú výrobu s celkovým inštalovaným výkonom nad 10 MW, ak podiel obnoviteľných zdrojov energie v palive je vyšší ako 30 % a podiel tepla dodaného na technologické účely je najviac 40 % z využiteľného tepla,“.</w:t>
      </w:r>
    </w:p>
    <w:p w:rsidR="00795BDD" w:rsidRPr="00795BDD" w:rsidP="00795BDD">
      <w:pPr>
        <w:ind w:left="426"/>
        <w:rPr>
          <w:rFonts w:ascii="Arial" w:hAnsi="Arial" w:cs="Arial"/>
        </w:rPr>
      </w:pPr>
    </w:p>
    <w:p w:rsidR="00795BDD" w:rsidRPr="00795BDD" w:rsidP="00795BDD">
      <w:pPr>
        <w:pStyle w:val="ListParagraph"/>
        <w:rPr>
          <w:rFonts w:ascii="Arial" w:hAnsi="Arial" w:cs="Arial"/>
        </w:rPr>
      </w:pPr>
      <w:r w:rsidRPr="00795BDD">
        <w:rPr>
          <w:rFonts w:ascii="Arial" w:hAnsi="Arial" w:cs="Arial"/>
        </w:rPr>
        <w:t>Doterajšie písmená h) a i) sa označujú ako písmená i) a j).</w:t>
      </w:r>
    </w:p>
    <w:p w:rsidR="00795BDD" w:rsidRPr="00795BDD" w:rsidP="00795BDD">
      <w:pPr>
        <w:ind w:left="420"/>
        <w:rPr>
          <w:rFonts w:ascii="Arial" w:hAnsi="Arial" w:cs="Arial"/>
        </w:rPr>
      </w:pPr>
    </w:p>
    <w:p w:rsidR="00795BDD" w:rsidRPr="00795BDD" w:rsidP="00795BDD">
      <w:pPr>
        <w:ind w:left="2268"/>
        <w:jc w:val="both"/>
        <w:rPr>
          <w:rFonts w:ascii="Arial" w:hAnsi="Arial" w:cs="Arial"/>
        </w:rPr>
      </w:pPr>
      <w:r w:rsidRPr="00795BDD">
        <w:rPr>
          <w:rFonts w:ascii="Arial" w:hAnsi="Arial" w:cs="Arial"/>
        </w:rPr>
        <w:t>Účelom tejto úpravy je zachovať aj platné znenie písmena h), na ktoré by sa naďalej vzťahoval § 18c ods. 3. V tejto súvislosti sa navrhuje úpravu § 18c ods. 3 v 20. bode z novely vypustiť, čo bude výrobcovi elektriny naďalej umožňovať uplatniť si právo na doplatok podľa tohto ustanovenia do 31. decembra 2014.</w:t>
      </w:r>
    </w:p>
    <w:p w:rsidR="00795BDD" w:rsidP="00C81641">
      <w:pPr>
        <w:rPr>
          <w:rFonts w:ascii="Arial" w:hAnsi="Arial" w:cs="Arial"/>
        </w:rPr>
      </w:pPr>
    </w:p>
    <w:p w:rsidR="00C81641" w:rsidRPr="00C81641" w:rsidP="00C81641">
      <w:pPr>
        <w:numPr>
          <w:ilvl w:val="0"/>
          <w:numId w:val="16"/>
        </w:numPr>
        <w:tabs>
          <w:tab w:val="left" w:pos="0"/>
          <w:tab w:val="left" w:pos="284"/>
        </w:tabs>
        <w:suppressAutoHyphens/>
        <w:spacing w:line="360" w:lineRule="auto"/>
        <w:jc w:val="both"/>
        <w:rPr>
          <w:rFonts w:ascii="Arial" w:hAnsi="Arial" w:cs="Arial"/>
        </w:rPr>
      </w:pPr>
      <w:r w:rsidRPr="00C81641">
        <w:rPr>
          <w:rFonts w:ascii="Arial" w:hAnsi="Arial" w:cs="Arial"/>
          <w:u w:val="single"/>
        </w:rPr>
        <w:t>V</w:t>
      </w:r>
      <w:r w:rsidRPr="00C81641">
        <w:rPr>
          <w:rFonts w:ascii="Arial" w:hAnsi="Arial" w:cs="Arial"/>
          <w:caps/>
          <w:u w:val="single"/>
        </w:rPr>
        <w:t xml:space="preserve"> </w:t>
      </w:r>
      <w:r w:rsidRPr="00C81641">
        <w:rPr>
          <w:rFonts w:ascii="Arial" w:hAnsi="Arial" w:cs="Arial"/>
          <w:u w:val="single"/>
        </w:rPr>
        <w:t xml:space="preserve">čl. </w:t>
      </w:r>
      <w:r w:rsidRPr="00C81641">
        <w:rPr>
          <w:rFonts w:ascii="Arial" w:hAnsi="Arial" w:cs="Arial"/>
          <w:caps/>
          <w:u w:val="single"/>
        </w:rPr>
        <w:t>I</w:t>
      </w:r>
      <w:r w:rsidRPr="00C81641">
        <w:rPr>
          <w:rFonts w:ascii="Arial" w:hAnsi="Arial" w:cs="Arial"/>
          <w:u w:val="single"/>
        </w:rPr>
        <w:t>, 5. bode sa v § 3 ods. 8</w:t>
      </w:r>
      <w:r w:rsidRPr="00C81641">
        <w:rPr>
          <w:rFonts w:ascii="Arial" w:hAnsi="Arial" w:cs="Arial"/>
        </w:rPr>
        <w:t xml:space="preserve"> slovo „využívajúce“ nahrádza slovom </w:t>
      </w:r>
      <w:r w:rsidRPr="00C81641">
        <w:rPr>
          <w:rFonts w:ascii="Arial" w:hAnsi="Arial" w:cs="Arial"/>
          <w:caps/>
        </w:rPr>
        <w:t xml:space="preserve"> </w:t>
      </w:r>
      <w:r w:rsidRPr="00C81641">
        <w:rPr>
          <w:rFonts w:ascii="Arial" w:hAnsi="Arial" w:cs="Arial"/>
        </w:rPr>
        <w:t>„využívajúcom“.</w:t>
      </w:r>
    </w:p>
    <w:p w:rsidR="00C81641" w:rsidRPr="00C81641" w:rsidP="00C81641">
      <w:pPr>
        <w:tabs>
          <w:tab w:val="left" w:pos="-851"/>
        </w:tabs>
        <w:spacing w:line="276" w:lineRule="auto"/>
        <w:ind w:left="2268"/>
        <w:jc w:val="both"/>
        <w:rPr>
          <w:rFonts w:ascii="Arial" w:hAnsi="Arial" w:cs="Arial"/>
        </w:rPr>
      </w:pPr>
      <w:r w:rsidRPr="00C81641">
        <w:rPr>
          <w:rFonts w:ascii="Arial" w:hAnsi="Arial" w:cs="Arial"/>
        </w:rPr>
        <w:t>Ide o gramatickú úpravu</w:t>
      </w:r>
      <w:r w:rsidRPr="00C81641">
        <w:rPr>
          <w:rFonts w:ascii="Arial" w:hAnsi="Arial" w:cs="Arial"/>
        </w:rPr>
        <w:t xml:space="preserve"> textu v záujme jazykovej  správnosti, štylistickej primeranosti a  </w:t>
      </w:r>
      <w:r w:rsidRPr="00C81641">
        <w:rPr>
          <w:rFonts w:ascii="Arial" w:eastAsia="CharterItcTOT-Regular" w:hAnsi="Arial" w:cs="Arial"/>
          <w:color w:val="000000"/>
        </w:rPr>
        <w:t>terminologickej presnosti</w:t>
      </w:r>
      <w:r w:rsidRPr="00C81641">
        <w:rPr>
          <w:rFonts w:ascii="Arial" w:hAnsi="Arial" w:cs="Arial"/>
        </w:rPr>
        <w:t xml:space="preserve">; slovo „využívajúci“ sa vzťahuje k „zariadeniu“. </w:t>
      </w:r>
    </w:p>
    <w:p w:rsidR="00C81641" w:rsidRPr="00C81641" w:rsidP="00C81641">
      <w:pPr>
        <w:spacing w:line="276" w:lineRule="auto"/>
        <w:jc w:val="both"/>
        <w:rPr>
          <w:rFonts w:ascii="Arial" w:hAnsi="Arial" w:cs="Arial"/>
        </w:rPr>
      </w:pPr>
    </w:p>
    <w:p w:rsidR="00C81641" w:rsidRPr="00C81641" w:rsidP="00C81641">
      <w:pPr>
        <w:numPr>
          <w:ilvl w:val="0"/>
          <w:numId w:val="16"/>
        </w:numPr>
        <w:tabs>
          <w:tab w:val="left" w:pos="284"/>
        </w:tabs>
        <w:suppressAutoHyphens/>
        <w:jc w:val="both"/>
        <w:rPr>
          <w:rFonts w:ascii="Arial" w:hAnsi="Arial" w:cs="Arial"/>
        </w:rPr>
      </w:pPr>
      <w:r w:rsidRPr="00C81641">
        <w:rPr>
          <w:rFonts w:ascii="Arial" w:hAnsi="Arial" w:cs="Arial"/>
          <w:u w:val="single"/>
        </w:rPr>
        <w:t>V</w:t>
      </w:r>
      <w:r w:rsidRPr="00C81641">
        <w:rPr>
          <w:rFonts w:ascii="Arial" w:hAnsi="Arial" w:cs="Arial"/>
          <w:caps/>
          <w:u w:val="single"/>
        </w:rPr>
        <w:t> </w:t>
      </w:r>
      <w:r w:rsidRPr="00C81641">
        <w:rPr>
          <w:rFonts w:ascii="Arial" w:hAnsi="Arial" w:cs="Arial"/>
          <w:u w:val="single"/>
        </w:rPr>
        <w:t xml:space="preserve">čl. </w:t>
      </w:r>
      <w:r w:rsidRPr="00C81641">
        <w:rPr>
          <w:rFonts w:ascii="Arial" w:hAnsi="Arial" w:cs="Arial"/>
          <w:caps/>
          <w:u w:val="single"/>
        </w:rPr>
        <w:t xml:space="preserve">I, </w:t>
      </w:r>
      <w:r w:rsidRPr="00C81641">
        <w:rPr>
          <w:rFonts w:ascii="Arial" w:hAnsi="Arial" w:cs="Arial"/>
          <w:u w:val="single"/>
        </w:rPr>
        <w:t>5. bode sa v § 3 ods. 8 písm. a)</w:t>
      </w:r>
      <w:r w:rsidRPr="00C81641">
        <w:rPr>
          <w:rFonts w:ascii="Arial" w:hAnsi="Arial" w:cs="Arial"/>
        </w:rPr>
        <w:t xml:space="preserve"> slová „nespĺňa parametre kvality“ nahrádzajú slovami „nespĺňa požiada</w:t>
      </w:r>
      <w:r w:rsidRPr="00C81641">
        <w:rPr>
          <w:rFonts w:ascii="Arial" w:hAnsi="Arial" w:cs="Arial"/>
        </w:rPr>
        <w:t>vky na kvalitu a parametre“.</w:t>
      </w:r>
    </w:p>
    <w:p w:rsidR="00C81641" w:rsidP="00C81641">
      <w:pPr>
        <w:jc w:val="both"/>
        <w:rPr>
          <w:rFonts w:ascii="Arial" w:hAnsi="Arial" w:cs="Arial"/>
        </w:rPr>
      </w:pPr>
    </w:p>
    <w:p w:rsidR="00C81641" w:rsidRPr="00C81641" w:rsidP="00334254">
      <w:pPr>
        <w:ind w:left="2268"/>
        <w:jc w:val="both"/>
        <w:rPr>
          <w:rFonts w:ascii="Arial" w:hAnsi="Arial" w:cs="Arial"/>
        </w:rPr>
      </w:pPr>
      <w:r w:rsidRPr="00C81641">
        <w:rPr>
          <w:rFonts w:ascii="Arial" w:hAnsi="Arial" w:cs="Arial"/>
        </w:rPr>
        <w:t xml:space="preserve">Ide o legislatívno-technickú úpravu textu; text sa zjednocuje s vnútorným odkazom </w:t>
      </w:r>
      <w:r w:rsidRPr="00C81641">
        <w:rPr>
          <w:rFonts w:ascii="Arial" w:hAnsi="Arial" w:cs="Arial"/>
          <w:i/>
        </w:rPr>
        <w:t xml:space="preserve">[§ 19 ods. 2 písm. h) – 22. </w:t>
      </w:r>
      <w:r w:rsidR="00D81506">
        <w:rPr>
          <w:rFonts w:ascii="Arial" w:hAnsi="Arial" w:cs="Arial"/>
          <w:i/>
        </w:rPr>
        <w:t>b</w:t>
      </w:r>
      <w:r w:rsidRPr="00C81641">
        <w:rPr>
          <w:rFonts w:ascii="Arial" w:hAnsi="Arial" w:cs="Arial"/>
          <w:i/>
        </w:rPr>
        <w:t>od návrhu].</w:t>
      </w:r>
    </w:p>
    <w:p w:rsidR="00C81641" w:rsidRPr="00C81641" w:rsidP="00C81641">
      <w:pPr>
        <w:tabs>
          <w:tab w:val="left" w:pos="4536"/>
        </w:tabs>
        <w:ind w:left="4536"/>
        <w:jc w:val="both"/>
        <w:rPr>
          <w:rFonts w:ascii="Arial" w:hAnsi="Arial" w:cs="Arial"/>
        </w:rPr>
      </w:pPr>
    </w:p>
    <w:p w:rsidR="00C81641" w:rsidRPr="00C81641" w:rsidP="00334254">
      <w:pPr>
        <w:numPr>
          <w:ilvl w:val="0"/>
          <w:numId w:val="16"/>
        </w:numPr>
        <w:tabs>
          <w:tab w:val="left" w:pos="284"/>
        </w:tabs>
        <w:suppressAutoHyphens/>
        <w:jc w:val="both"/>
        <w:rPr>
          <w:rFonts w:ascii="Arial" w:hAnsi="Arial" w:cs="Arial"/>
        </w:rPr>
      </w:pPr>
      <w:r w:rsidRPr="00334254">
        <w:rPr>
          <w:rFonts w:ascii="Arial" w:hAnsi="Arial" w:cs="Arial"/>
          <w:u w:val="single"/>
        </w:rPr>
        <w:t>V</w:t>
      </w:r>
      <w:r w:rsidRPr="00334254">
        <w:rPr>
          <w:rFonts w:ascii="Arial" w:hAnsi="Arial" w:cs="Arial"/>
          <w:caps/>
          <w:u w:val="single"/>
        </w:rPr>
        <w:t xml:space="preserve"> </w:t>
      </w:r>
      <w:r w:rsidRPr="00334254">
        <w:rPr>
          <w:rFonts w:ascii="Arial" w:hAnsi="Arial" w:cs="Arial"/>
          <w:u w:val="single"/>
        </w:rPr>
        <w:t xml:space="preserve">čl. </w:t>
      </w:r>
      <w:r w:rsidRPr="00334254">
        <w:rPr>
          <w:rFonts w:ascii="Arial" w:hAnsi="Arial" w:cs="Arial"/>
          <w:caps/>
          <w:u w:val="single"/>
        </w:rPr>
        <w:t>I,</w:t>
      </w:r>
      <w:r w:rsidRPr="00334254">
        <w:rPr>
          <w:rFonts w:ascii="Arial" w:hAnsi="Arial" w:cs="Arial"/>
          <w:u w:val="single"/>
        </w:rPr>
        <w:t xml:space="preserve"> 5. bode sa v § 3 ods. 8 písm. b)</w:t>
      </w:r>
      <w:r w:rsidRPr="00C81641">
        <w:rPr>
          <w:rFonts w:ascii="Arial" w:hAnsi="Arial" w:cs="Arial"/>
        </w:rPr>
        <w:t xml:space="preserve"> na konci pripájajú slová „podľa § 19b ods. 1 písm. a )“. </w:t>
      </w:r>
    </w:p>
    <w:p w:rsidR="00334254" w:rsidP="00334254">
      <w:pPr>
        <w:ind w:left="2268"/>
        <w:jc w:val="both"/>
        <w:rPr>
          <w:rFonts w:ascii="Arial" w:hAnsi="Arial" w:cs="Arial"/>
        </w:rPr>
      </w:pPr>
    </w:p>
    <w:p w:rsidR="00C81641" w:rsidRPr="00C81641" w:rsidP="00334254">
      <w:pPr>
        <w:ind w:left="2268"/>
        <w:jc w:val="both"/>
        <w:rPr>
          <w:rFonts w:ascii="Arial" w:hAnsi="Arial" w:cs="Arial"/>
        </w:rPr>
      </w:pPr>
      <w:r w:rsidRPr="00C81641">
        <w:rPr>
          <w:rFonts w:ascii="Arial" w:hAnsi="Arial" w:cs="Arial"/>
        </w:rPr>
        <w:t xml:space="preserve">Ide o legislatívno-technickú úpravu textu; dopĺňa sa  vnútorný </w:t>
      </w:r>
      <w:r w:rsidRPr="00334254">
        <w:rPr>
          <w:rFonts w:ascii="Arial" w:hAnsi="Arial" w:cs="Arial"/>
        </w:rPr>
        <w:t>odkaz na príslušné ustanovenie zákona.</w:t>
      </w:r>
    </w:p>
    <w:p w:rsidR="00C81641" w:rsidRPr="00C81641" w:rsidP="00C81641">
      <w:pPr>
        <w:ind w:left="2835"/>
        <w:jc w:val="both"/>
        <w:rPr>
          <w:rFonts w:ascii="Arial" w:hAnsi="Arial" w:cs="Arial"/>
        </w:rPr>
      </w:pPr>
    </w:p>
    <w:p w:rsidR="00C81641" w:rsidRPr="00334254" w:rsidP="00334254">
      <w:pPr>
        <w:pStyle w:val="Heading3"/>
        <w:keepNext w:val="0"/>
        <w:numPr>
          <w:ilvl w:val="0"/>
          <w:numId w:val="16"/>
        </w:numPr>
        <w:suppressAutoHyphens/>
        <w:rPr>
          <w:rFonts w:ascii="Arial" w:hAnsi="Arial" w:cs="Arial"/>
          <w:b w:val="0"/>
          <w:color w:val="auto"/>
          <w:szCs w:val="24"/>
          <w:shd w:val="clear" w:color="auto" w:fill="FFFF00"/>
        </w:rPr>
      </w:pPr>
      <w:r w:rsidRPr="00334254">
        <w:rPr>
          <w:rFonts w:ascii="Arial" w:hAnsi="Arial" w:cs="Arial"/>
          <w:b w:val="0"/>
          <w:color w:val="auto"/>
          <w:szCs w:val="24"/>
          <w:u w:val="single"/>
        </w:rPr>
        <w:t>V čl. I sa za 7. bod vkladá nový 8. bod, ktorý znie</w:t>
      </w:r>
      <w:r w:rsidRPr="00334254">
        <w:rPr>
          <w:rFonts w:ascii="Arial" w:hAnsi="Arial" w:cs="Arial"/>
          <w:b w:val="0"/>
          <w:color w:val="auto"/>
          <w:szCs w:val="24"/>
        </w:rPr>
        <w:t>:</w:t>
      </w:r>
    </w:p>
    <w:p w:rsidR="00C81641" w:rsidRPr="00C81641" w:rsidP="00334254">
      <w:pPr>
        <w:pStyle w:val="Heading3"/>
        <w:keepNext w:val="0"/>
        <w:numPr>
          <w:ilvl w:val="1"/>
          <w:numId w:val="20"/>
        </w:numPr>
        <w:tabs>
          <w:tab w:val="clear" w:pos="0"/>
          <w:tab w:val="num" w:pos="284"/>
          <w:tab w:val="left" w:pos="1701"/>
        </w:tabs>
        <w:suppressAutoHyphens/>
        <w:ind w:hanging="9"/>
        <w:rPr>
          <w:rFonts w:ascii="Arial" w:hAnsi="Arial" w:cs="Arial"/>
          <w:b w:val="0"/>
          <w:color w:val="auto"/>
          <w:szCs w:val="24"/>
        </w:rPr>
      </w:pPr>
      <w:r w:rsidRPr="00C81641">
        <w:rPr>
          <w:rFonts w:ascii="Arial" w:hAnsi="Arial" w:cs="Arial"/>
          <w:b w:val="0"/>
          <w:color w:val="auto"/>
          <w:szCs w:val="24"/>
        </w:rPr>
        <w:t xml:space="preserve">  „8. Poznámka pod čiarou k odkazu 9b znie:</w:t>
      </w:r>
    </w:p>
    <w:p w:rsidR="00C81641" w:rsidRPr="00334254" w:rsidP="00334254">
      <w:pPr>
        <w:numPr>
          <w:ilvl w:val="0"/>
          <w:numId w:val="20"/>
        </w:numPr>
        <w:tabs>
          <w:tab w:val="clear" w:pos="0"/>
          <w:tab w:val="num" w:pos="284"/>
        </w:tabs>
        <w:suppressAutoHyphens/>
        <w:ind w:left="709" w:hanging="9"/>
        <w:jc w:val="both"/>
        <w:rPr>
          <w:rFonts w:ascii="Arial" w:hAnsi="Arial" w:cs="Arial"/>
        </w:rPr>
      </w:pPr>
      <w:r w:rsidRPr="00334254">
        <w:rPr>
          <w:rFonts w:ascii="Arial" w:hAnsi="Arial" w:cs="Arial"/>
          <w:vertAlign w:val="superscript"/>
        </w:rPr>
        <w:t>„9b</w:t>
      </w:r>
      <w:r w:rsidRPr="00334254">
        <w:rPr>
          <w:rFonts w:ascii="Arial" w:hAnsi="Arial" w:cs="Arial"/>
        </w:rPr>
        <w:t>) Zákon č. 50/1976 Zb.</w:t>
      </w:r>
    </w:p>
    <w:p w:rsidR="00C81641" w:rsidRPr="00C81641" w:rsidP="00C81641">
      <w:pPr>
        <w:numPr>
          <w:ilvl w:val="0"/>
          <w:numId w:val="20"/>
        </w:numPr>
        <w:tabs>
          <w:tab w:val="clear" w:pos="0"/>
          <w:tab w:val="num" w:pos="284"/>
        </w:tabs>
        <w:suppressAutoHyphens/>
        <w:ind w:left="709" w:hanging="425"/>
        <w:jc w:val="both"/>
        <w:rPr>
          <w:rFonts w:ascii="Arial" w:hAnsi="Arial" w:cs="Arial"/>
        </w:rPr>
      </w:pPr>
      <w:r w:rsidRPr="00C81641">
        <w:rPr>
          <w:rFonts w:ascii="Arial" w:hAnsi="Arial" w:cs="Arial"/>
        </w:rPr>
        <w:t xml:space="preserve">       Zákon č. 251/2012 Z. z.</w:t>
      </w:r>
    </w:p>
    <w:p w:rsidR="00C81641" w:rsidRPr="00C81641" w:rsidP="00C81641">
      <w:pPr>
        <w:pStyle w:val="BodyText"/>
        <w:numPr>
          <w:ilvl w:val="0"/>
          <w:numId w:val="20"/>
        </w:numPr>
        <w:tabs>
          <w:tab w:val="clear" w:pos="0"/>
          <w:tab w:val="num" w:pos="284"/>
        </w:tabs>
        <w:suppressAutoHyphens/>
        <w:spacing w:after="120"/>
        <w:ind w:left="709" w:hanging="283"/>
        <w:rPr>
          <w:rFonts w:ascii="Arial" w:hAnsi="Arial" w:cs="Arial"/>
          <w:szCs w:val="24"/>
        </w:rPr>
      </w:pPr>
      <w:r w:rsidRPr="00C81641">
        <w:rPr>
          <w:rFonts w:ascii="Arial" w:hAnsi="Arial" w:cs="Arial"/>
          <w:szCs w:val="24"/>
        </w:rPr>
        <w:t xml:space="preserve">     Zákon č. 223/2001 Z. z. o odpadoch a o zmene a doplnení niektorých zákonov      v znení   neskorších predpisov.“.“.</w:t>
      </w:r>
    </w:p>
    <w:p w:rsidR="00C81641" w:rsidRPr="00C81641" w:rsidP="00334254">
      <w:pPr>
        <w:suppressAutoHyphens/>
        <w:ind w:left="709"/>
        <w:jc w:val="both"/>
        <w:rPr>
          <w:rFonts w:ascii="Arial" w:hAnsi="Arial" w:cs="Arial"/>
        </w:rPr>
      </w:pPr>
      <w:r w:rsidRPr="00C81641">
        <w:rPr>
          <w:rFonts w:ascii="Arial" w:hAnsi="Arial" w:cs="Arial"/>
        </w:rPr>
        <w:t>Ďalšie body sa primerane prečíslujú.</w:t>
      </w:r>
    </w:p>
    <w:p w:rsidR="00C81641" w:rsidRPr="00C81641" w:rsidP="00C81641">
      <w:pPr>
        <w:numPr>
          <w:ilvl w:val="0"/>
          <w:numId w:val="20"/>
        </w:numPr>
        <w:suppressAutoHyphens/>
        <w:ind w:left="2835" w:firstLine="0"/>
        <w:jc w:val="both"/>
        <w:rPr>
          <w:rFonts w:ascii="Arial" w:hAnsi="Arial" w:cs="Arial"/>
        </w:rPr>
      </w:pPr>
    </w:p>
    <w:p w:rsidR="00C81641" w:rsidRPr="00C81641" w:rsidP="00334254">
      <w:pPr>
        <w:numPr>
          <w:ilvl w:val="0"/>
          <w:numId w:val="20"/>
        </w:numPr>
        <w:suppressAutoHyphens/>
        <w:ind w:left="2268" w:firstLine="0"/>
        <w:jc w:val="both"/>
        <w:rPr>
          <w:rFonts w:ascii="Arial" w:hAnsi="Arial" w:cs="Arial"/>
        </w:rPr>
      </w:pPr>
      <w:r w:rsidRPr="00C81641">
        <w:rPr>
          <w:rFonts w:ascii="Arial" w:hAnsi="Arial" w:cs="Arial"/>
        </w:rPr>
        <w:t>Ide o legislatívno-technickú úpravu; úprava nadväzuje                              na pripomienku</w:t>
      </w:r>
      <w:r w:rsidRPr="00C81641">
        <w:rPr>
          <w:rFonts w:ascii="Arial" w:hAnsi="Arial" w:cs="Arial"/>
        </w:rPr>
        <w:t xml:space="preserve"> v 7. bode </w:t>
      </w:r>
      <w:r w:rsidR="00C36975">
        <w:rPr>
          <w:rFonts w:ascii="Arial" w:hAnsi="Arial" w:cs="Arial"/>
        </w:rPr>
        <w:t>časti „A“ </w:t>
      </w:r>
      <w:r w:rsidRPr="00795BDD" w:rsidR="00C36975">
        <w:rPr>
          <w:rFonts w:ascii="Arial" w:hAnsi="Arial" w:cs="Arial"/>
        </w:rPr>
        <w:t>stanoviska</w:t>
      </w:r>
      <w:r w:rsidR="00C36975">
        <w:rPr>
          <w:rFonts w:ascii="Arial" w:hAnsi="Arial" w:cs="Arial"/>
        </w:rPr>
        <w:t xml:space="preserve"> Odboru legislatívy a aproximácie práva Kancelárie NR SR</w:t>
      </w:r>
      <w:r w:rsidRPr="00C81641">
        <w:rPr>
          <w:rFonts w:ascii="Arial" w:hAnsi="Arial" w:cs="Arial"/>
        </w:rPr>
        <w:t xml:space="preserve">. </w:t>
      </w:r>
    </w:p>
    <w:p w:rsidR="00795BDD" w:rsidRPr="00795BDD" w:rsidP="00795BDD">
      <w:pPr>
        <w:pStyle w:val="ListParagraph"/>
        <w:numPr>
          <w:ilvl w:val="0"/>
          <w:numId w:val="16"/>
        </w:numPr>
        <w:jc w:val="both"/>
        <w:rPr>
          <w:rFonts w:ascii="Arial" w:hAnsi="Arial" w:cs="Arial"/>
          <w:u w:val="single"/>
        </w:rPr>
      </w:pPr>
      <w:r w:rsidRPr="00795BDD">
        <w:rPr>
          <w:rFonts w:ascii="Arial" w:hAnsi="Arial" w:cs="Arial"/>
          <w:u w:val="single"/>
        </w:rPr>
        <w:t>V čl. I, 8. bode odseky 3 až 6 znejú:</w:t>
      </w:r>
    </w:p>
    <w:p w:rsidR="00795BDD" w:rsidRPr="00795BDD" w:rsidP="00795BDD">
      <w:pPr>
        <w:pStyle w:val="Style1"/>
        <w:kinsoku w:val="0"/>
        <w:autoSpaceDE/>
        <w:autoSpaceDN/>
        <w:adjustRightInd/>
        <w:ind w:left="709"/>
        <w:jc w:val="both"/>
        <w:rPr>
          <w:rFonts w:ascii="Arial" w:hAnsi="Arial" w:cs="Arial"/>
          <w:sz w:val="24"/>
          <w:szCs w:val="24"/>
        </w:rPr>
      </w:pPr>
      <w:r w:rsidRPr="00795BDD">
        <w:rPr>
          <w:rFonts w:ascii="Arial" w:hAnsi="Arial" w:cs="Arial"/>
          <w:sz w:val="24"/>
          <w:szCs w:val="24"/>
        </w:rPr>
        <w:t>„(3) Právo na podporu podľa § 3 zaniká pre zariadenie výrobcu elektriny, ak bola výrobcovi elektriny počas 15 ročnej doby podpory pri výrobe elektriny na tomto zariadení dvakrát právoplatne uložená pokuta za závažné porušenie povinnosti výrobcu elektriny na tomto zariadení výrobcu elektriny podľa tohto zákona alebo osobitných predpisov.</w:t>
      </w:r>
      <w:r w:rsidRPr="00795BDD">
        <w:rPr>
          <w:rFonts w:ascii="Arial" w:hAnsi="Arial" w:cs="Arial"/>
          <w:sz w:val="24"/>
          <w:szCs w:val="24"/>
          <w:vertAlign w:val="superscript"/>
        </w:rPr>
        <w:t>9c</w:t>
      </w:r>
      <w:r w:rsidRPr="00795BDD">
        <w:rPr>
          <w:rFonts w:ascii="Arial" w:hAnsi="Arial" w:cs="Arial"/>
          <w:sz w:val="24"/>
          <w:szCs w:val="24"/>
        </w:rPr>
        <w:t>)</w:t>
      </w:r>
    </w:p>
    <w:p w:rsidR="00795BDD" w:rsidRPr="00795BDD" w:rsidP="00795BDD">
      <w:pPr>
        <w:pStyle w:val="Style1"/>
        <w:kinsoku w:val="0"/>
        <w:autoSpaceDE/>
        <w:autoSpaceDN/>
        <w:adjustRightInd/>
        <w:ind w:left="709"/>
        <w:jc w:val="both"/>
        <w:rPr>
          <w:rFonts w:ascii="Arial" w:hAnsi="Arial" w:cs="Arial"/>
          <w:sz w:val="24"/>
          <w:szCs w:val="24"/>
        </w:rPr>
      </w:pPr>
    </w:p>
    <w:p w:rsidR="00795BDD" w:rsidRPr="00795BDD" w:rsidP="00795BDD">
      <w:pPr>
        <w:pStyle w:val="Style1"/>
        <w:kinsoku w:val="0"/>
        <w:autoSpaceDE/>
        <w:autoSpaceDN/>
        <w:adjustRightInd/>
        <w:ind w:left="709"/>
        <w:jc w:val="both"/>
        <w:rPr>
          <w:rFonts w:ascii="Arial" w:hAnsi="Arial" w:cs="Arial"/>
          <w:sz w:val="24"/>
          <w:szCs w:val="24"/>
        </w:rPr>
      </w:pPr>
      <w:r w:rsidRPr="00795BDD">
        <w:rPr>
          <w:rFonts w:ascii="Arial" w:hAnsi="Arial" w:cs="Arial"/>
          <w:sz w:val="24"/>
          <w:szCs w:val="24"/>
        </w:rPr>
        <w:t xml:space="preserve">(4) Závažným porušením povinnosti podľa odseku 3 sa rozumie porušenie povinnosti, za ktoré bola výrobcovi elektriny uložená pokuta, ktorú je možné za takéto porušenie podľa zákona uložiť, minimálne </w:t>
      </w:r>
      <w:r w:rsidR="000A5070">
        <w:rPr>
          <w:rFonts w:ascii="Arial" w:hAnsi="Arial" w:cs="Arial"/>
          <w:sz w:val="24"/>
          <w:szCs w:val="24"/>
        </w:rPr>
        <w:t>vo výške</w:t>
      </w:r>
      <w:r w:rsidRPr="00795BDD">
        <w:rPr>
          <w:rFonts w:ascii="Arial" w:hAnsi="Arial" w:cs="Arial"/>
          <w:sz w:val="24"/>
          <w:szCs w:val="24"/>
        </w:rPr>
        <w:t xml:space="preserve"> 80 000 eur.</w:t>
      </w:r>
    </w:p>
    <w:p w:rsidR="00795BDD" w:rsidRPr="00795BDD" w:rsidP="00795BDD">
      <w:pPr>
        <w:pStyle w:val="Style1"/>
        <w:kinsoku w:val="0"/>
        <w:autoSpaceDE/>
        <w:autoSpaceDN/>
        <w:adjustRightInd/>
        <w:ind w:left="709"/>
        <w:jc w:val="both"/>
        <w:rPr>
          <w:rFonts w:ascii="Arial" w:hAnsi="Arial" w:cs="Arial"/>
          <w:sz w:val="24"/>
          <w:szCs w:val="24"/>
        </w:rPr>
      </w:pPr>
    </w:p>
    <w:p w:rsidR="00795BDD" w:rsidRPr="00795BDD" w:rsidP="00795BDD">
      <w:pPr>
        <w:pStyle w:val="Style1"/>
        <w:kinsoku w:val="0"/>
        <w:autoSpaceDE/>
        <w:autoSpaceDN/>
        <w:adjustRightInd/>
        <w:ind w:left="709" w:right="72" w:firstLine="2"/>
        <w:jc w:val="both"/>
        <w:rPr>
          <w:rFonts w:ascii="Arial" w:hAnsi="Arial" w:cs="Arial"/>
          <w:sz w:val="24"/>
          <w:szCs w:val="24"/>
        </w:rPr>
      </w:pPr>
      <w:r w:rsidRPr="00795BDD">
        <w:rPr>
          <w:rFonts w:ascii="Arial" w:hAnsi="Arial" w:cs="Arial"/>
          <w:sz w:val="24"/>
          <w:szCs w:val="24"/>
        </w:rPr>
        <w:t>(5) Právo na podporu doplatkom podľa § 3 ods. 1 písm. c) zaniká pre zariadenie výrobcu elektriny, ak počas 15 ročnej doby podpory doplatkom podľa § 3 ods. 1 písm. c):</w:t>
      </w:r>
    </w:p>
    <w:p w:rsidR="00795BDD" w:rsidRPr="00795BDD" w:rsidP="00795BDD">
      <w:pPr>
        <w:pStyle w:val="Style2"/>
        <w:kinsoku w:val="0"/>
        <w:autoSpaceDE/>
        <w:autoSpaceDN/>
        <w:ind w:left="709" w:firstLine="0"/>
        <w:rPr>
          <w:rFonts w:ascii="Arial" w:hAnsi="Arial" w:cs="Arial"/>
          <w:b w:val="0"/>
          <w:bCs w:val="0"/>
        </w:rPr>
      </w:pPr>
      <w:r w:rsidRPr="00795BDD">
        <w:rPr>
          <w:rFonts w:ascii="Arial" w:hAnsi="Arial" w:cs="Arial"/>
          <w:b w:val="0"/>
          <w:bCs w:val="0"/>
        </w:rPr>
        <w:t>a) výrobca elektriny neuhradil daňový nedoplatok na dani okrem úroku z omeškania, úroku a pokuty, ani v lehote určenej v daňovej exekučnej výzve správcu dane podľa os</w:t>
      </w:r>
      <w:r w:rsidRPr="00795BDD">
        <w:rPr>
          <w:rFonts w:ascii="Arial" w:hAnsi="Arial" w:cs="Arial"/>
          <w:b w:val="0"/>
          <w:bCs w:val="0"/>
        </w:rPr>
        <w:t xml:space="preserve">obitného predpisu </w:t>
      </w:r>
      <w:r w:rsidRPr="00795BDD">
        <w:rPr>
          <w:rFonts w:ascii="Arial" w:hAnsi="Arial" w:cs="Arial"/>
          <w:b w:val="0"/>
          <w:bCs w:val="0"/>
          <w:vertAlign w:val="superscript"/>
        </w:rPr>
        <w:t>9d</w:t>
      </w:r>
      <w:r w:rsidRPr="00795BDD">
        <w:rPr>
          <w:rFonts w:ascii="Arial" w:hAnsi="Arial" w:cs="Arial"/>
          <w:b w:val="0"/>
          <w:bCs w:val="0"/>
        </w:rPr>
        <w:t xml:space="preserve">), alebo ani v lehote pätnástich dní odo dňa právoplatnosti rozhodnutia o odvolaní výrobcu elektriny proti daňovej exekučnej výzve, ak podal výrobca elektriny odvolanie proti daňovej exekučnej výzve a v rozhodnutí o odvolaní bola potvrdená povinnosť výrobcu elektriny nedoplatok uhradiť, alebo ani v lehote určenej v upovedomení o začatí exekúcie podľa osobitného predpisu </w:t>
      </w:r>
      <w:r w:rsidRPr="00795BDD">
        <w:rPr>
          <w:rFonts w:ascii="Arial" w:hAnsi="Arial" w:cs="Arial"/>
          <w:b w:val="0"/>
          <w:bCs w:val="0"/>
          <w:vertAlign w:val="superscript"/>
        </w:rPr>
        <w:t>9e</w:t>
      </w:r>
      <w:r w:rsidRPr="00795BDD">
        <w:rPr>
          <w:rFonts w:ascii="Arial" w:hAnsi="Arial" w:cs="Arial"/>
          <w:b w:val="0"/>
          <w:bCs w:val="0"/>
        </w:rPr>
        <w:t>), alebo ani v lehote pätnástich dní odo dňa právoplatnosti rozhodnutia o námietkach proti exekúcii alebo právoplatno</w:t>
      </w:r>
      <w:r w:rsidRPr="00795BDD">
        <w:rPr>
          <w:rFonts w:ascii="Arial" w:hAnsi="Arial" w:cs="Arial"/>
          <w:b w:val="0"/>
          <w:bCs w:val="0"/>
        </w:rPr>
        <w:t xml:space="preserve">sti rozhodnutia o odvolaní proti rozhodnutiu, ktorým sa vyhovelo námietkam, ak podal výrobca elektriny námietky proti exekúcii alebo odvolanie proti rozhodnutiu, ktorým sa vyhovelo námietkam, a v rozhodnutí o námietkach alebo v rozhodnutí o odvolaní proti </w:t>
      </w:r>
      <w:r w:rsidRPr="00795BDD">
        <w:rPr>
          <w:rFonts w:ascii="Arial" w:hAnsi="Arial" w:cs="Arial"/>
          <w:b w:val="0"/>
          <w:bCs w:val="0"/>
        </w:rPr>
        <w:t>rozhodnutiu, ktorým sa vyhovelo námietkam, bola potvrdená povinnosť výrobcu elektriny nedoplatok uhradiť,</w:t>
      </w:r>
    </w:p>
    <w:p w:rsidR="00795BDD" w:rsidRPr="00795BDD" w:rsidP="00795BDD">
      <w:pPr>
        <w:pStyle w:val="Style2"/>
        <w:kinsoku w:val="0"/>
        <w:autoSpaceDE/>
        <w:autoSpaceDN/>
        <w:ind w:left="709" w:firstLine="0"/>
        <w:rPr>
          <w:rFonts w:ascii="Arial" w:hAnsi="Arial" w:cs="Arial"/>
          <w:b w:val="0"/>
          <w:bCs w:val="0"/>
        </w:rPr>
      </w:pPr>
    </w:p>
    <w:p w:rsidR="00795BDD" w:rsidRPr="00795BDD" w:rsidP="00795BDD">
      <w:pPr>
        <w:pStyle w:val="Style1"/>
        <w:kinsoku w:val="0"/>
        <w:autoSpaceDE/>
        <w:autoSpaceDN/>
        <w:adjustRightInd/>
        <w:ind w:left="709" w:right="72"/>
        <w:jc w:val="both"/>
        <w:rPr>
          <w:rFonts w:ascii="Arial" w:hAnsi="Arial" w:cs="Arial"/>
          <w:sz w:val="24"/>
          <w:szCs w:val="24"/>
        </w:rPr>
      </w:pPr>
      <w:r w:rsidRPr="00795BDD">
        <w:rPr>
          <w:rFonts w:ascii="Arial" w:hAnsi="Arial" w:cs="Arial"/>
          <w:sz w:val="24"/>
          <w:szCs w:val="24"/>
        </w:rPr>
        <w:t>b) výrobca elektriny neuhradil nedoplatok na poistnom na zdravotné poistenie ani v lehote pätnástich dní odo dňa doručenia právoplatného výkazu nedoplatkov na zdravotné poistenie alebo ani v lehote pätnástich dní odo dňa právoplatnosti rozhodnutia Úradu pre dohľad nad zdravotnou starostlivosťou, ak výrobca elektriny podal námietky proti výkazu nedoplatkov; alebo</w:t>
      </w:r>
    </w:p>
    <w:p w:rsidR="00795BDD" w:rsidRPr="00795BDD" w:rsidP="00795BDD">
      <w:pPr>
        <w:pStyle w:val="Style1"/>
        <w:kinsoku w:val="0"/>
        <w:autoSpaceDE/>
        <w:autoSpaceDN/>
        <w:adjustRightInd/>
        <w:ind w:left="709" w:right="72"/>
        <w:jc w:val="both"/>
        <w:rPr>
          <w:rFonts w:ascii="Arial" w:hAnsi="Arial" w:cs="Arial"/>
          <w:b/>
          <w:bCs/>
          <w:sz w:val="24"/>
          <w:szCs w:val="24"/>
        </w:rPr>
      </w:pPr>
    </w:p>
    <w:p w:rsidR="00795BDD" w:rsidRPr="00795BDD" w:rsidP="00795BDD">
      <w:pPr>
        <w:pStyle w:val="Style2"/>
        <w:kinsoku w:val="0"/>
        <w:autoSpaceDE/>
        <w:autoSpaceDN/>
        <w:ind w:left="709" w:firstLine="0"/>
        <w:rPr>
          <w:rFonts w:ascii="Arial" w:hAnsi="Arial" w:cs="Arial"/>
        </w:rPr>
      </w:pPr>
      <w:r w:rsidRPr="00795BDD">
        <w:rPr>
          <w:rFonts w:ascii="Arial" w:hAnsi="Arial" w:cs="Arial"/>
          <w:b w:val="0"/>
          <w:bCs w:val="0"/>
        </w:rPr>
        <w:t>c) výrobca elektriny neuhradil dlžné sumy na poistnom na sociálne poistenie a dlžné sumy na príspevkoch na starobné dôchodkové sporenie, ani v lehote pätnástich dní odo dňa doručenia predpisu sociálnou poisťovňou podľa osobitného predpisu.</w:t>
      </w:r>
      <w:r w:rsidRPr="00795BDD">
        <w:rPr>
          <w:rFonts w:ascii="Arial" w:hAnsi="Arial" w:cs="Arial"/>
          <w:b w:val="0"/>
          <w:bCs w:val="0"/>
          <w:vertAlign w:val="superscript"/>
        </w:rPr>
        <w:t>9f</w:t>
      </w:r>
      <w:r w:rsidRPr="00795BDD">
        <w:rPr>
          <w:rFonts w:ascii="Arial" w:hAnsi="Arial" w:cs="Arial"/>
          <w:b w:val="0"/>
          <w:bCs w:val="0"/>
        </w:rPr>
        <w:t>)</w:t>
      </w:r>
    </w:p>
    <w:p w:rsidR="00795BDD" w:rsidRPr="00795BDD" w:rsidP="00795BDD">
      <w:pPr>
        <w:pStyle w:val="Style2"/>
        <w:kinsoku w:val="0"/>
        <w:autoSpaceDE/>
        <w:autoSpaceDN/>
        <w:ind w:left="709" w:firstLine="0"/>
        <w:rPr>
          <w:rFonts w:ascii="Arial" w:hAnsi="Arial" w:cs="Arial"/>
          <w:b w:val="0"/>
          <w:bCs w:val="0"/>
        </w:rPr>
      </w:pPr>
    </w:p>
    <w:p w:rsidR="00795BDD" w:rsidRPr="00795BDD" w:rsidP="00795BDD">
      <w:pPr>
        <w:pStyle w:val="Style2"/>
        <w:kinsoku w:val="0"/>
        <w:autoSpaceDE/>
        <w:autoSpaceDN/>
        <w:ind w:left="709" w:firstLine="0"/>
        <w:rPr>
          <w:rFonts w:ascii="Arial" w:hAnsi="Arial" w:cs="Arial"/>
          <w:b w:val="0"/>
          <w:bCs w:val="0"/>
        </w:rPr>
      </w:pPr>
      <w:r w:rsidRPr="00795BDD">
        <w:rPr>
          <w:rFonts w:ascii="Arial" w:hAnsi="Arial" w:cs="Arial"/>
          <w:b w:val="0"/>
          <w:bCs w:val="0"/>
        </w:rPr>
        <w:t>(6) Dňom  zániku podpory je deň márneho uplynutia lehoty na úhradu nedoplatkov alebo dlžných súm podľa odseku 5.“.</w:t>
      </w:r>
    </w:p>
    <w:p w:rsidR="00795BDD" w:rsidRPr="00795BDD" w:rsidP="00795BDD">
      <w:pPr>
        <w:pStyle w:val="Style2"/>
        <w:kinsoku w:val="0"/>
        <w:autoSpaceDE/>
        <w:autoSpaceDN/>
        <w:ind w:left="709" w:firstLine="0"/>
        <w:rPr>
          <w:rFonts w:ascii="Arial" w:hAnsi="Arial" w:cs="Arial"/>
          <w:b w:val="0"/>
          <w:bCs w:val="0"/>
        </w:rPr>
      </w:pPr>
    </w:p>
    <w:p w:rsidR="00795BDD" w:rsidRPr="00795BDD" w:rsidP="00795BDD">
      <w:pPr>
        <w:pStyle w:val="Style1"/>
        <w:kinsoku w:val="0"/>
        <w:autoSpaceDE/>
        <w:autoSpaceDN/>
        <w:adjustRightInd/>
        <w:ind w:left="709"/>
        <w:jc w:val="both"/>
        <w:rPr>
          <w:rFonts w:ascii="Arial" w:hAnsi="Arial" w:cs="Arial"/>
          <w:sz w:val="24"/>
          <w:szCs w:val="24"/>
        </w:rPr>
      </w:pPr>
      <w:r w:rsidRPr="00795BDD">
        <w:rPr>
          <w:rFonts w:ascii="Arial" w:hAnsi="Arial" w:cs="Arial"/>
          <w:sz w:val="24"/>
          <w:szCs w:val="24"/>
        </w:rPr>
        <w:t>Poznámky pod čiarou k odkazom 9d) až 9f) znejú:</w:t>
      </w:r>
    </w:p>
    <w:p w:rsidR="00795BDD" w:rsidRPr="00795BDD" w:rsidP="00795BDD">
      <w:pPr>
        <w:pStyle w:val="Style1"/>
        <w:kinsoku w:val="0"/>
        <w:autoSpaceDE/>
        <w:autoSpaceDN/>
        <w:adjustRightInd/>
        <w:ind w:left="1134" w:hanging="425"/>
        <w:jc w:val="both"/>
        <w:rPr>
          <w:rFonts w:ascii="Arial" w:hAnsi="Arial" w:cs="Arial"/>
          <w:sz w:val="24"/>
          <w:szCs w:val="24"/>
        </w:rPr>
      </w:pPr>
      <w:r w:rsidRPr="00795BDD">
        <w:rPr>
          <w:rFonts w:ascii="Arial" w:hAnsi="Arial" w:cs="Arial"/>
          <w:sz w:val="24"/>
          <w:szCs w:val="24"/>
        </w:rPr>
        <w:t>„</w:t>
      </w:r>
      <w:r w:rsidRPr="00795BDD">
        <w:rPr>
          <w:rFonts w:ascii="Arial" w:hAnsi="Arial" w:cs="Arial"/>
          <w:sz w:val="24"/>
          <w:szCs w:val="24"/>
          <w:vertAlign w:val="superscript"/>
        </w:rPr>
        <w:t>9d</w:t>
      </w:r>
      <w:r w:rsidRPr="00795BDD">
        <w:rPr>
          <w:rFonts w:ascii="Arial" w:hAnsi="Arial" w:cs="Arial"/>
          <w:sz w:val="24"/>
          <w:szCs w:val="24"/>
        </w:rPr>
        <w:t>) § 91 zákona č. 563/2009 Z. z. o správe daní (daňový poriadok) a o zmene a doplnení niektorých zákonov v znení neskorších predpisov.</w:t>
      </w:r>
      <w:r w:rsidRPr="00795BDD">
        <w:rPr>
          <w:rFonts w:ascii="Arial" w:hAnsi="Arial" w:cs="Arial"/>
          <w:color w:val="000000"/>
          <w:sz w:val="24"/>
          <w:szCs w:val="24"/>
        </w:rPr>
        <w:t xml:space="preserve"> </w:t>
      </w:r>
    </w:p>
    <w:p w:rsidR="00795BDD" w:rsidRPr="00795BDD" w:rsidP="00795BDD">
      <w:pPr>
        <w:pStyle w:val="Style1"/>
        <w:kinsoku w:val="0"/>
        <w:autoSpaceDE/>
        <w:autoSpaceDN/>
        <w:adjustRightInd/>
        <w:ind w:left="1134" w:hanging="283"/>
        <w:jc w:val="both"/>
        <w:rPr>
          <w:rFonts w:ascii="Arial" w:hAnsi="Arial" w:cs="Arial"/>
          <w:sz w:val="24"/>
          <w:szCs w:val="24"/>
        </w:rPr>
      </w:pPr>
      <w:r w:rsidRPr="00795BDD">
        <w:rPr>
          <w:rFonts w:ascii="Arial" w:hAnsi="Arial" w:cs="Arial"/>
          <w:sz w:val="24"/>
          <w:szCs w:val="24"/>
          <w:vertAlign w:val="superscript"/>
        </w:rPr>
        <w:t>9e</w:t>
      </w:r>
      <w:r w:rsidRPr="00795BDD">
        <w:rPr>
          <w:rFonts w:ascii="Arial" w:hAnsi="Arial" w:cs="Arial"/>
          <w:sz w:val="24"/>
          <w:szCs w:val="24"/>
        </w:rPr>
        <w:t xml:space="preserve">) Zákon č. 233/1995 Z. z. </w:t>
      </w:r>
      <w:r w:rsidRPr="00795BDD">
        <w:rPr>
          <w:rStyle w:val="h1a1"/>
          <w:rFonts w:ascii="Arial" w:hAnsi="Arial" w:cs="Arial"/>
        </w:rPr>
        <w:t xml:space="preserve">o súdnych exekútoroch a exekučnej činnosti (exekučný poriadok) a o zmene a doplnení ďalších zákonov </w:t>
      </w:r>
      <w:r w:rsidRPr="00795BDD">
        <w:rPr>
          <w:rFonts w:ascii="Arial" w:hAnsi="Arial" w:cs="Arial"/>
          <w:sz w:val="24"/>
          <w:szCs w:val="24"/>
        </w:rPr>
        <w:t>v znení neskorších predpisov.</w:t>
      </w:r>
    </w:p>
    <w:p w:rsidR="00795BDD" w:rsidRPr="00795BDD" w:rsidP="00795BDD">
      <w:pPr>
        <w:pStyle w:val="Style1"/>
        <w:kinsoku w:val="0"/>
        <w:autoSpaceDE/>
        <w:autoSpaceDN/>
        <w:adjustRightInd/>
        <w:ind w:left="1134" w:hanging="425"/>
        <w:jc w:val="both"/>
        <w:rPr>
          <w:rFonts w:ascii="Arial" w:hAnsi="Arial" w:cs="Arial"/>
          <w:sz w:val="24"/>
          <w:szCs w:val="24"/>
        </w:rPr>
      </w:pPr>
      <w:r w:rsidRPr="00795BDD">
        <w:rPr>
          <w:rFonts w:ascii="Arial" w:hAnsi="Arial" w:cs="Arial"/>
          <w:sz w:val="24"/>
          <w:szCs w:val="24"/>
        </w:rPr>
        <w:t xml:space="preserve">  </w:t>
      </w:r>
      <w:r w:rsidRPr="00795BDD">
        <w:rPr>
          <w:rFonts w:ascii="Arial" w:hAnsi="Arial" w:cs="Arial"/>
          <w:sz w:val="24"/>
          <w:szCs w:val="24"/>
          <w:vertAlign w:val="superscript"/>
        </w:rPr>
        <w:t>9f</w:t>
      </w:r>
      <w:r w:rsidRPr="00795BDD">
        <w:rPr>
          <w:rFonts w:ascii="Arial" w:hAnsi="Arial" w:cs="Arial"/>
          <w:sz w:val="24"/>
          <w:szCs w:val="24"/>
        </w:rPr>
        <w:t>) § 144 a § 152a zákona č. 461/2003 Z. z. o sociálnom poistení v znení neskorších predpisov.“.</w:t>
      </w:r>
    </w:p>
    <w:p w:rsidR="00795BDD" w:rsidRPr="00795BDD" w:rsidP="00795BDD">
      <w:pPr>
        <w:pStyle w:val="Style1"/>
        <w:kinsoku w:val="0"/>
        <w:autoSpaceDE/>
        <w:autoSpaceDN/>
        <w:adjustRightInd/>
        <w:ind w:left="144"/>
        <w:jc w:val="both"/>
        <w:rPr>
          <w:rFonts w:ascii="Arial" w:hAnsi="Arial" w:cs="Arial"/>
          <w:sz w:val="24"/>
          <w:szCs w:val="24"/>
        </w:rPr>
      </w:pPr>
    </w:p>
    <w:p w:rsidR="00795BDD" w:rsidRPr="00795BDD" w:rsidP="00334254">
      <w:pPr>
        <w:pStyle w:val="Style1"/>
        <w:kinsoku w:val="0"/>
        <w:autoSpaceDE/>
        <w:autoSpaceDN/>
        <w:adjustRightInd/>
        <w:ind w:left="2268"/>
        <w:jc w:val="both"/>
        <w:rPr>
          <w:rFonts w:ascii="Arial" w:hAnsi="Arial" w:cs="Arial"/>
          <w:sz w:val="24"/>
          <w:szCs w:val="24"/>
        </w:rPr>
      </w:pPr>
      <w:r w:rsidRPr="00795BDD">
        <w:rPr>
          <w:rFonts w:ascii="Arial" w:hAnsi="Arial" w:cs="Arial"/>
          <w:sz w:val="24"/>
          <w:szCs w:val="24"/>
        </w:rPr>
        <w:t>Doplnenie sa navrhuje z dôvodu spresnenia, aby pokuta nebola ukladaná za iné činnosti výrobcu elektriny a by sa dosiahol účel sankcionovať neplatičov.  Z dôvodu väčšej objektivity  určenia závažnosti porušenia zákona je určená hranica v hornej polovici zákonného rozsahu a je zrejmé, že ide o závažné porušenie. V prípadoch, kedy nie je určená minimálna hranica bude nápomocne pôvodné navrhované určenie výšky pokuty, ako sankcie za závažné porušenie. Navrhovaným doplnením sa ma vylúčiť sankcionovanie výrobcov, ktorým nedopatrením vznikne nedoplatok dani alebo odvodoch, ktorý dobrovoľne vysporiadajú. Naopak doplnením sa docieli neposkytovanie podpory výrobcom, ktorí porušujú daňové a odvodové po</w:t>
      </w:r>
      <w:r w:rsidR="00C36975">
        <w:rPr>
          <w:rFonts w:ascii="Arial" w:hAnsi="Arial" w:cs="Arial"/>
          <w:sz w:val="24"/>
          <w:szCs w:val="24"/>
        </w:rPr>
        <w:t>vinnosti tým, že vedome a neuhrá</w:t>
      </w:r>
      <w:r w:rsidRPr="00795BDD">
        <w:rPr>
          <w:rFonts w:ascii="Arial" w:hAnsi="Arial" w:cs="Arial"/>
          <w:sz w:val="24"/>
          <w:szCs w:val="24"/>
        </w:rPr>
        <w:t>dzajú dane a odvody podľa platnej legislatívy. Navrhuje sa tiež oprava termínov, nakoľko zákon o sociálnom poistení nepozná pojem nedoplatok, používa iba pojem dlžné sumy. Po doplnení  mechanizmu na dobrovoľné splnenie nedoplatkov nie je ďalej dôvod ponechať možnosť opakovaného vedomého porušenia zákonov ohľadom platenia dani a odvodov.</w:t>
      </w:r>
    </w:p>
    <w:p w:rsidR="00795BDD" w:rsidRPr="00334254" w:rsidP="00334254">
      <w:pPr>
        <w:pStyle w:val="ListParagraph"/>
        <w:ind w:left="1080"/>
        <w:jc w:val="both"/>
        <w:rPr>
          <w:rFonts w:ascii="Arial" w:hAnsi="Arial" w:cs="Arial"/>
        </w:rPr>
      </w:pPr>
    </w:p>
    <w:p w:rsidR="00334254" w:rsidRPr="00334254" w:rsidP="00334254">
      <w:pPr>
        <w:pStyle w:val="BodyText"/>
        <w:numPr>
          <w:ilvl w:val="0"/>
          <w:numId w:val="16"/>
        </w:numPr>
        <w:rPr>
          <w:rFonts w:ascii="Arial" w:hAnsi="Arial" w:cs="Arial"/>
          <w:szCs w:val="24"/>
          <w:u w:val="single"/>
        </w:rPr>
      </w:pPr>
      <w:r w:rsidRPr="00334254">
        <w:rPr>
          <w:rFonts w:ascii="Arial" w:hAnsi="Arial" w:cs="Arial"/>
          <w:szCs w:val="24"/>
          <w:u w:val="single"/>
        </w:rPr>
        <w:t>V čl. I sa za 8. bod vkladá nový 9. bod, ktorý znie:</w:t>
      </w:r>
    </w:p>
    <w:p w:rsidR="00334254" w:rsidRPr="00334254" w:rsidP="00334254">
      <w:pPr>
        <w:pStyle w:val="Heading3"/>
        <w:keepNext w:val="0"/>
        <w:numPr>
          <w:ilvl w:val="2"/>
          <w:numId w:val="20"/>
        </w:numPr>
        <w:suppressAutoHyphens/>
        <w:ind w:left="709" w:firstLine="0"/>
        <w:rPr>
          <w:rFonts w:ascii="Arial" w:hAnsi="Arial" w:cs="Arial"/>
          <w:b w:val="0"/>
          <w:color w:val="auto"/>
          <w:szCs w:val="24"/>
        </w:rPr>
      </w:pPr>
      <w:r w:rsidRPr="00334254">
        <w:rPr>
          <w:rFonts w:ascii="Arial" w:hAnsi="Arial" w:cs="Arial"/>
          <w:b w:val="0"/>
          <w:color w:val="auto"/>
          <w:szCs w:val="24"/>
        </w:rPr>
        <w:t>„9. Poznámky pod čiarou k odkazom 10 a 11 znejú:</w:t>
      </w:r>
    </w:p>
    <w:p w:rsidR="00334254" w:rsidP="00334254">
      <w:pPr>
        <w:numPr>
          <w:ilvl w:val="0"/>
          <w:numId w:val="20"/>
        </w:numPr>
        <w:suppressAutoHyphens/>
        <w:ind w:left="709" w:firstLine="0"/>
        <w:jc w:val="both"/>
        <w:rPr>
          <w:rFonts w:ascii="Arial" w:hAnsi="Arial" w:cs="Arial"/>
        </w:rPr>
      </w:pPr>
      <w:r w:rsidRPr="00334254">
        <w:rPr>
          <w:rFonts w:ascii="Arial" w:hAnsi="Arial" w:cs="Arial"/>
          <w:vertAlign w:val="superscript"/>
        </w:rPr>
        <w:t xml:space="preserve">    „10</w:t>
      </w:r>
      <w:r w:rsidRPr="00334254">
        <w:rPr>
          <w:rFonts w:ascii="Arial" w:hAnsi="Arial" w:cs="Arial"/>
        </w:rPr>
        <w:t>) § 19 zákona č. 251/2012 Z. z.</w:t>
      </w:r>
    </w:p>
    <w:p w:rsidR="00334254" w:rsidRPr="00334254" w:rsidP="00334254">
      <w:pPr>
        <w:numPr>
          <w:ilvl w:val="0"/>
          <w:numId w:val="20"/>
        </w:numPr>
        <w:suppressAutoHyphens/>
        <w:ind w:left="709" w:firstLine="0"/>
        <w:jc w:val="both"/>
        <w:rPr>
          <w:rFonts w:ascii="Arial" w:hAnsi="Arial" w:cs="Arial"/>
        </w:rPr>
      </w:pPr>
      <w:r w:rsidRPr="00334254">
        <w:rPr>
          <w:rFonts w:ascii="Arial" w:hAnsi="Arial" w:cs="Arial"/>
          <w:vertAlign w:val="superscript"/>
        </w:rPr>
        <w:t xml:space="preserve">      11</w:t>
      </w:r>
      <w:r w:rsidRPr="00334254">
        <w:rPr>
          <w:rFonts w:ascii="Arial" w:hAnsi="Arial" w:cs="Arial"/>
        </w:rPr>
        <w:t>) § 2 písm. b) siedmy bod zákona č. 251/2012 Z. z.“.“.</w:t>
      </w:r>
    </w:p>
    <w:p w:rsidR="00334254" w:rsidP="00334254">
      <w:pPr>
        <w:numPr>
          <w:ilvl w:val="1"/>
          <w:numId w:val="20"/>
        </w:numPr>
        <w:suppressAutoHyphens/>
        <w:jc w:val="both"/>
        <w:rPr>
          <w:rFonts w:ascii="Arial" w:hAnsi="Arial" w:cs="Arial"/>
        </w:rPr>
      </w:pPr>
      <w:r w:rsidRPr="00334254">
        <w:rPr>
          <w:rFonts w:ascii="Arial" w:hAnsi="Arial" w:cs="Arial"/>
        </w:rPr>
        <w:t xml:space="preserve">     </w:t>
      </w:r>
    </w:p>
    <w:p w:rsidR="00334254" w:rsidRPr="00334254" w:rsidP="00334254">
      <w:pPr>
        <w:numPr>
          <w:ilvl w:val="1"/>
          <w:numId w:val="20"/>
        </w:numPr>
        <w:suppressAutoHyphens/>
        <w:ind w:left="709" w:hanging="9"/>
        <w:jc w:val="both"/>
        <w:rPr>
          <w:rFonts w:ascii="Arial" w:hAnsi="Arial" w:cs="Arial"/>
        </w:rPr>
      </w:pPr>
      <w:r w:rsidRPr="00334254">
        <w:rPr>
          <w:rFonts w:ascii="Arial" w:hAnsi="Arial" w:cs="Arial"/>
        </w:rPr>
        <w:t>Ďalšie body sa primerane prečíslujú.</w:t>
      </w:r>
    </w:p>
    <w:p w:rsidR="00334254" w:rsidRPr="00334254" w:rsidP="00334254">
      <w:pPr>
        <w:ind w:left="2835"/>
        <w:jc w:val="both"/>
        <w:rPr>
          <w:rFonts w:ascii="Arial" w:hAnsi="Arial" w:cs="Arial"/>
        </w:rPr>
      </w:pPr>
    </w:p>
    <w:p w:rsidR="00334254" w:rsidRPr="00334254" w:rsidP="00334254">
      <w:pPr>
        <w:ind w:left="2268"/>
        <w:jc w:val="both"/>
        <w:rPr>
          <w:rFonts w:ascii="Arial" w:hAnsi="Arial" w:cs="Arial"/>
        </w:rPr>
      </w:pPr>
      <w:r w:rsidRPr="00334254">
        <w:rPr>
          <w:rFonts w:ascii="Arial" w:hAnsi="Arial" w:cs="Arial"/>
        </w:rPr>
        <w:t xml:space="preserve">Ide o legislatívno-technickú úpravu; úprava nadväzuje                          na pripomienku v 7. bode časti </w:t>
      </w:r>
      <w:r w:rsidR="00C36975">
        <w:rPr>
          <w:rFonts w:ascii="Arial" w:hAnsi="Arial" w:cs="Arial"/>
        </w:rPr>
        <w:t>„A“ </w:t>
      </w:r>
      <w:r w:rsidRPr="00795BDD" w:rsidR="00C36975">
        <w:rPr>
          <w:rFonts w:ascii="Arial" w:hAnsi="Arial" w:cs="Arial"/>
        </w:rPr>
        <w:t>stanoviska</w:t>
      </w:r>
      <w:r w:rsidR="00C36975">
        <w:rPr>
          <w:rFonts w:ascii="Arial" w:hAnsi="Arial" w:cs="Arial"/>
        </w:rPr>
        <w:t xml:space="preserve"> Odboru legislatívy a aproximácie práva Kancelárie NR SR</w:t>
      </w:r>
      <w:r w:rsidRPr="00334254">
        <w:rPr>
          <w:rFonts w:ascii="Arial" w:hAnsi="Arial" w:cs="Arial"/>
        </w:rPr>
        <w:t xml:space="preserve">. </w:t>
      </w:r>
    </w:p>
    <w:p w:rsidR="00334254" w:rsidP="00334254">
      <w:pPr>
        <w:pStyle w:val="BodyText"/>
        <w:ind w:left="284"/>
        <w:rPr>
          <w:rFonts w:ascii="Arial" w:hAnsi="Arial" w:cs="Arial"/>
          <w:szCs w:val="24"/>
        </w:rPr>
      </w:pPr>
    </w:p>
    <w:p w:rsidR="00334254" w:rsidRPr="00060006" w:rsidP="00060006">
      <w:pPr>
        <w:pStyle w:val="BodyText"/>
        <w:numPr>
          <w:ilvl w:val="0"/>
          <w:numId w:val="16"/>
        </w:numPr>
        <w:ind w:left="709" w:hanging="425"/>
        <w:rPr>
          <w:rFonts w:ascii="Arial" w:hAnsi="Arial" w:cs="Arial"/>
          <w:szCs w:val="24"/>
        </w:rPr>
      </w:pPr>
      <w:r w:rsidRPr="00334254">
        <w:rPr>
          <w:rFonts w:ascii="Arial" w:hAnsi="Arial" w:cs="Arial"/>
          <w:szCs w:val="24"/>
          <w:u w:val="single"/>
        </w:rPr>
        <w:t xml:space="preserve">V </w:t>
      </w:r>
      <w:r w:rsidRPr="00060006">
        <w:rPr>
          <w:rFonts w:ascii="Arial" w:hAnsi="Arial" w:cs="Arial"/>
          <w:szCs w:val="24"/>
          <w:u w:val="single"/>
        </w:rPr>
        <w:t>čl. I, 11. bode sa v § 4a ods. 2</w:t>
      </w:r>
      <w:r w:rsidRPr="00060006">
        <w:rPr>
          <w:rFonts w:ascii="Arial" w:hAnsi="Arial" w:cs="Arial"/>
          <w:szCs w:val="24"/>
        </w:rPr>
        <w:t xml:space="preserve">  slová „16 ampérové istenie“ nahrádzajú slovami „istenie 16 A“.</w:t>
      </w:r>
    </w:p>
    <w:p w:rsidR="002808C0" w:rsidP="00334254">
      <w:pPr>
        <w:pStyle w:val="Textkomentra1"/>
        <w:spacing w:after="0" w:line="240" w:lineRule="auto"/>
        <w:ind w:left="2835"/>
        <w:jc w:val="both"/>
        <w:rPr>
          <w:rFonts w:ascii="Arial" w:hAnsi="Arial" w:cs="Arial"/>
          <w:sz w:val="24"/>
          <w:szCs w:val="24"/>
        </w:rPr>
      </w:pPr>
    </w:p>
    <w:p w:rsidR="00334254" w:rsidP="002808C0">
      <w:pPr>
        <w:pStyle w:val="Textkomentra1"/>
        <w:spacing w:after="0" w:line="240" w:lineRule="auto"/>
        <w:ind w:left="2268"/>
        <w:jc w:val="both"/>
        <w:rPr>
          <w:rFonts w:ascii="Arial" w:hAnsi="Arial" w:cs="Arial"/>
          <w:sz w:val="24"/>
          <w:szCs w:val="24"/>
        </w:rPr>
      </w:pPr>
      <w:r w:rsidRPr="00334254">
        <w:rPr>
          <w:rFonts w:ascii="Arial" w:hAnsi="Arial" w:cs="Arial"/>
          <w:sz w:val="24"/>
          <w:szCs w:val="24"/>
        </w:rPr>
        <w:t xml:space="preserve">Ide o legislatívno-technickú úpravu textu v záujme terminologickej presnosti a jednoty. Jednotky SI sústavy sú v zákone označené zavedenými symbolmi </w:t>
      </w:r>
      <w:r w:rsidRPr="00334254">
        <w:rPr>
          <w:rFonts w:ascii="Arial" w:hAnsi="Arial" w:cs="Arial"/>
          <w:i/>
          <w:sz w:val="24"/>
          <w:szCs w:val="24"/>
        </w:rPr>
        <w:t xml:space="preserve">(napr. výkon/watt – kW, MW, mW a pod.). </w:t>
      </w:r>
      <w:r w:rsidRPr="00334254">
        <w:rPr>
          <w:rFonts w:ascii="Arial" w:hAnsi="Arial" w:cs="Arial"/>
          <w:sz w:val="24"/>
          <w:szCs w:val="24"/>
        </w:rPr>
        <w:t>Pre jednotku intenzity prúdu „ampér“ je podľa § 3 ods. 1 písm. a) štvrtý bod zákona č. 142/2000 Z. z</w:t>
      </w:r>
      <w:r w:rsidRPr="00334254">
        <w:rPr>
          <w:rFonts w:ascii="Arial" w:hAnsi="Arial" w:cs="Arial"/>
          <w:i/>
          <w:sz w:val="24"/>
          <w:szCs w:val="24"/>
        </w:rPr>
        <w:t>.</w:t>
      </w:r>
      <w:r w:rsidRPr="00334254">
        <w:rPr>
          <w:rFonts w:ascii="Arial" w:hAnsi="Arial" w:cs="Arial"/>
          <w:sz w:val="24"/>
          <w:szCs w:val="24"/>
        </w:rPr>
        <w:t xml:space="preserve"> zavedený symbol „A“.</w:t>
      </w:r>
    </w:p>
    <w:p w:rsidR="00060006" w:rsidRPr="00334254" w:rsidP="00334254">
      <w:pPr>
        <w:pStyle w:val="Textkomentra1"/>
        <w:spacing w:after="0" w:line="240" w:lineRule="auto"/>
        <w:ind w:left="2835"/>
        <w:jc w:val="both"/>
        <w:rPr>
          <w:rFonts w:ascii="Arial" w:hAnsi="Arial" w:cs="Arial"/>
          <w:sz w:val="24"/>
          <w:szCs w:val="24"/>
        </w:rPr>
      </w:pPr>
    </w:p>
    <w:p w:rsidR="00060006" w:rsidRPr="00060006" w:rsidP="00060006">
      <w:pPr>
        <w:pStyle w:val="BodyText"/>
        <w:numPr>
          <w:ilvl w:val="0"/>
          <w:numId w:val="16"/>
        </w:numPr>
        <w:rPr>
          <w:rFonts w:ascii="Arial" w:hAnsi="Arial" w:cs="Arial"/>
          <w:szCs w:val="24"/>
          <w:u w:val="single"/>
        </w:rPr>
      </w:pPr>
      <w:r w:rsidRPr="00334254">
        <w:rPr>
          <w:rFonts w:ascii="Arial" w:hAnsi="Arial" w:cs="Arial"/>
          <w:szCs w:val="24"/>
          <w:u w:val="single"/>
        </w:rPr>
        <w:t xml:space="preserve">V čl. </w:t>
      </w:r>
      <w:r w:rsidRPr="00060006" w:rsidR="00334254">
        <w:rPr>
          <w:rFonts w:ascii="Arial" w:hAnsi="Arial" w:cs="Arial"/>
          <w:szCs w:val="24"/>
          <w:u w:val="single"/>
        </w:rPr>
        <w:t>I, 11. bode</w:t>
      </w:r>
      <w:r w:rsidRPr="00060006" w:rsidR="00334254">
        <w:rPr>
          <w:rFonts w:ascii="Arial" w:hAnsi="Arial" w:cs="Arial"/>
          <w:szCs w:val="24"/>
        </w:rPr>
        <w:t xml:space="preserve"> sa na konci dopĺňajú slová: „Poznámka pod čiarou k odkazu 11a znie:</w:t>
      </w:r>
      <w:r w:rsidRPr="00060006" w:rsidR="00334254">
        <w:rPr>
          <w:rFonts w:ascii="Arial" w:hAnsi="Arial" w:cs="Arial"/>
          <w:szCs w:val="24"/>
          <w:vertAlign w:val="superscript"/>
        </w:rPr>
        <w:t xml:space="preserve">   </w:t>
      </w:r>
    </w:p>
    <w:p w:rsidR="00334254" w:rsidRPr="00060006" w:rsidP="00060006">
      <w:pPr>
        <w:pStyle w:val="BodyText"/>
        <w:ind w:left="720"/>
        <w:rPr>
          <w:rFonts w:ascii="Arial" w:hAnsi="Arial" w:cs="Arial"/>
          <w:szCs w:val="24"/>
          <w:u w:val="single"/>
        </w:rPr>
      </w:pPr>
      <w:r w:rsidRPr="00060006">
        <w:rPr>
          <w:rFonts w:ascii="Arial" w:hAnsi="Arial" w:cs="Arial"/>
          <w:szCs w:val="24"/>
          <w:vertAlign w:val="superscript"/>
        </w:rPr>
        <w:t xml:space="preserve"> </w:t>
      </w:r>
      <w:r w:rsidRPr="00060006">
        <w:rPr>
          <w:rFonts w:ascii="Arial" w:hAnsi="Arial" w:cs="Arial"/>
          <w:szCs w:val="24"/>
        </w:rPr>
        <w:t>„</w:t>
      </w:r>
      <w:r w:rsidRPr="00060006">
        <w:rPr>
          <w:rFonts w:ascii="Arial" w:hAnsi="Arial" w:cs="Arial"/>
          <w:szCs w:val="24"/>
          <w:vertAlign w:val="superscript"/>
        </w:rPr>
        <w:t>11a</w:t>
      </w:r>
      <w:r w:rsidRPr="00060006">
        <w:rPr>
          <w:rFonts w:ascii="Arial" w:hAnsi="Arial" w:cs="Arial"/>
          <w:szCs w:val="24"/>
        </w:rPr>
        <w:t xml:space="preserve">) § 4 ods. 4 zákona č. 251/2012 Z. z.“.“. </w:t>
      </w:r>
    </w:p>
    <w:p w:rsidR="00334254" w:rsidRPr="00334254" w:rsidP="00334254">
      <w:pPr>
        <w:numPr>
          <w:ilvl w:val="0"/>
          <w:numId w:val="20"/>
        </w:numPr>
        <w:tabs>
          <w:tab w:val="clear" w:pos="0"/>
          <w:tab w:val="num" w:pos="2835"/>
        </w:tabs>
        <w:suppressAutoHyphens/>
        <w:ind w:left="2835" w:firstLine="0"/>
        <w:jc w:val="both"/>
        <w:rPr>
          <w:rFonts w:ascii="Arial" w:hAnsi="Arial" w:cs="Arial"/>
        </w:rPr>
      </w:pPr>
    </w:p>
    <w:p w:rsidR="00334254" w:rsidRPr="00334254" w:rsidP="002808C0">
      <w:pPr>
        <w:numPr>
          <w:ilvl w:val="0"/>
          <w:numId w:val="20"/>
        </w:numPr>
        <w:tabs>
          <w:tab w:val="num" w:pos="-142"/>
          <w:tab w:val="clear" w:pos="0"/>
        </w:tabs>
        <w:suppressAutoHyphens/>
        <w:ind w:left="2268" w:firstLine="0"/>
        <w:jc w:val="both"/>
        <w:rPr>
          <w:rFonts w:ascii="Arial" w:hAnsi="Arial" w:cs="Arial"/>
          <w:strike/>
        </w:rPr>
      </w:pPr>
      <w:r w:rsidR="002808C0">
        <w:rPr>
          <w:rFonts w:ascii="Arial" w:hAnsi="Arial" w:cs="Arial"/>
        </w:rPr>
        <w:t xml:space="preserve">Ide </w:t>
      </w:r>
      <w:r w:rsidRPr="00334254">
        <w:rPr>
          <w:rFonts w:ascii="Arial" w:hAnsi="Arial" w:cs="Arial"/>
        </w:rPr>
        <w:t>o legislatívno-technickú úpravu</w:t>
      </w:r>
      <w:r w:rsidR="002808C0">
        <w:rPr>
          <w:rFonts w:ascii="Arial" w:hAnsi="Arial" w:cs="Arial"/>
        </w:rPr>
        <w:t xml:space="preserve"> </w:t>
      </w:r>
      <w:r w:rsidRPr="00334254">
        <w:rPr>
          <w:rFonts w:ascii="Arial" w:hAnsi="Arial" w:cs="Arial"/>
        </w:rPr>
        <w:t>v</w:t>
      </w:r>
      <w:r w:rsidR="002808C0">
        <w:rPr>
          <w:rFonts w:ascii="Arial" w:hAnsi="Arial" w:cs="Arial"/>
        </w:rPr>
        <w:t> </w:t>
      </w:r>
      <w:r w:rsidRPr="00334254">
        <w:rPr>
          <w:rFonts w:ascii="Arial" w:hAnsi="Arial" w:cs="Arial"/>
        </w:rPr>
        <w:t>súlade</w:t>
      </w:r>
      <w:r w:rsidR="002808C0">
        <w:rPr>
          <w:rFonts w:ascii="Arial" w:hAnsi="Arial" w:cs="Arial"/>
        </w:rPr>
        <w:t xml:space="preserve">  </w:t>
      </w:r>
      <w:r w:rsidRPr="00334254">
        <w:rPr>
          <w:rFonts w:ascii="Arial" w:hAnsi="Arial" w:cs="Arial"/>
        </w:rPr>
        <w:t xml:space="preserve"> s legislatívnymi pravidlami tvorby zákonov </w:t>
      </w:r>
      <w:r w:rsidRPr="00334254">
        <w:rPr>
          <w:rFonts w:ascii="Arial" w:hAnsi="Arial" w:cs="Arial"/>
          <w:i/>
        </w:rPr>
        <w:t>(33. bod)</w:t>
      </w:r>
      <w:r w:rsidRPr="00334254">
        <w:rPr>
          <w:rFonts w:ascii="Arial" w:hAnsi="Arial" w:cs="Arial"/>
        </w:rPr>
        <w:t xml:space="preserve"> sa poznámka pod čiarou k novému odkazu dopĺňa. </w:t>
      </w:r>
    </w:p>
    <w:p w:rsidR="00334254" w:rsidRPr="00334254" w:rsidP="00334254">
      <w:pPr>
        <w:pStyle w:val="Heading3"/>
        <w:numPr>
          <w:ilvl w:val="0"/>
          <w:numId w:val="0"/>
        </w:numPr>
        <w:ind w:left="720" w:hanging="720"/>
        <w:rPr>
          <w:rFonts w:ascii="Arial" w:hAnsi="Arial" w:cs="Arial"/>
          <w:b w:val="0"/>
          <w:strike/>
          <w:color w:val="auto"/>
          <w:szCs w:val="24"/>
        </w:rPr>
      </w:pPr>
    </w:p>
    <w:p w:rsidR="00334254" w:rsidRPr="00060006" w:rsidP="00060006">
      <w:pPr>
        <w:pStyle w:val="Heading3"/>
        <w:keepNext w:val="0"/>
        <w:numPr>
          <w:ilvl w:val="0"/>
          <w:numId w:val="16"/>
        </w:numPr>
        <w:suppressAutoHyphens/>
        <w:rPr>
          <w:rFonts w:ascii="Arial" w:hAnsi="Arial" w:cs="Arial"/>
          <w:color w:val="auto"/>
          <w:szCs w:val="24"/>
          <w:u w:val="single"/>
        </w:rPr>
      </w:pPr>
      <w:r w:rsidRPr="00060006">
        <w:rPr>
          <w:rFonts w:ascii="Arial" w:hAnsi="Arial" w:cs="Arial"/>
          <w:b w:val="0"/>
          <w:color w:val="auto"/>
          <w:szCs w:val="24"/>
          <w:u w:val="single"/>
        </w:rPr>
        <w:t>V čl. I, sa za 11. bod vkladá nový 12. bod ktorý znie:</w:t>
      </w:r>
    </w:p>
    <w:p w:rsidR="00334254" w:rsidRPr="00334254" w:rsidP="00060006">
      <w:pPr>
        <w:pStyle w:val="Heading3"/>
        <w:keepNext w:val="0"/>
        <w:numPr>
          <w:ilvl w:val="2"/>
          <w:numId w:val="20"/>
        </w:numPr>
        <w:tabs>
          <w:tab w:val="num" w:pos="-142"/>
          <w:tab w:val="clear" w:pos="0"/>
        </w:tabs>
        <w:suppressAutoHyphens/>
        <w:ind w:left="709" w:hanging="284"/>
        <w:rPr>
          <w:rFonts w:ascii="Arial" w:hAnsi="Arial" w:cs="Arial"/>
          <w:color w:val="auto"/>
          <w:szCs w:val="24"/>
        </w:rPr>
      </w:pPr>
      <w:r w:rsidRPr="00334254">
        <w:rPr>
          <w:rFonts w:ascii="Arial" w:hAnsi="Arial" w:cs="Arial"/>
          <w:b w:val="0"/>
          <w:color w:val="auto"/>
          <w:szCs w:val="24"/>
        </w:rPr>
        <w:t xml:space="preserve">     „12. Poznámky pod čiarou k odkazom 12 až 15 znejú:   </w:t>
      </w:r>
    </w:p>
    <w:p w:rsidR="00334254" w:rsidRPr="00334254" w:rsidP="00060006">
      <w:pPr>
        <w:tabs>
          <w:tab w:val="num" w:pos="0"/>
        </w:tabs>
        <w:autoSpaceDE w:val="0"/>
        <w:autoSpaceDN w:val="0"/>
        <w:adjustRightInd w:val="0"/>
        <w:ind w:left="709"/>
        <w:jc w:val="both"/>
        <w:rPr>
          <w:rFonts w:ascii="Arial" w:hAnsi="Arial" w:cs="Arial"/>
        </w:rPr>
      </w:pPr>
      <w:r w:rsidRPr="00334254">
        <w:rPr>
          <w:rFonts w:ascii="Arial" w:hAnsi="Arial" w:cs="Arial"/>
          <w:vertAlign w:val="superscript"/>
        </w:rPr>
        <w:t>„12</w:t>
      </w:r>
      <w:r w:rsidRPr="00334254">
        <w:rPr>
          <w:rFonts w:ascii="Arial" w:hAnsi="Arial" w:cs="Arial"/>
        </w:rPr>
        <w:t xml:space="preserve">) § 11 ods. 1 zákona č. 250/2012 Z. z. </w:t>
      </w:r>
    </w:p>
    <w:p w:rsidR="00060006" w:rsidP="00060006">
      <w:pPr>
        <w:tabs>
          <w:tab w:val="num" w:pos="0"/>
        </w:tabs>
        <w:autoSpaceDE w:val="0"/>
        <w:autoSpaceDN w:val="0"/>
        <w:adjustRightInd w:val="0"/>
        <w:ind w:left="709"/>
        <w:jc w:val="both"/>
        <w:rPr>
          <w:rFonts w:ascii="Arial" w:hAnsi="Arial" w:cs="Arial"/>
        </w:rPr>
      </w:pPr>
      <w:r w:rsidRPr="00334254" w:rsidR="00334254">
        <w:rPr>
          <w:rFonts w:ascii="Arial" w:hAnsi="Arial" w:cs="Arial"/>
          <w:vertAlign w:val="superscript"/>
        </w:rPr>
        <w:t>13</w:t>
      </w:r>
      <w:r w:rsidRPr="00334254" w:rsidR="00334254">
        <w:rPr>
          <w:rFonts w:ascii="Arial" w:hAnsi="Arial" w:cs="Arial"/>
        </w:rPr>
        <w:t>) § 12 zákona č. 251/2012 Z. z.</w:t>
      </w:r>
    </w:p>
    <w:p w:rsidR="00334254" w:rsidRPr="00334254" w:rsidP="00060006">
      <w:pPr>
        <w:tabs>
          <w:tab w:val="num" w:pos="0"/>
        </w:tabs>
        <w:autoSpaceDE w:val="0"/>
        <w:autoSpaceDN w:val="0"/>
        <w:adjustRightInd w:val="0"/>
        <w:ind w:left="709"/>
        <w:jc w:val="both"/>
        <w:rPr>
          <w:rFonts w:ascii="Arial" w:hAnsi="Arial" w:cs="Arial"/>
        </w:rPr>
      </w:pPr>
      <w:r w:rsidRPr="00334254">
        <w:rPr>
          <w:rFonts w:ascii="Arial" w:hAnsi="Arial" w:cs="Arial"/>
          <w:vertAlign w:val="superscript"/>
        </w:rPr>
        <w:t>14</w:t>
      </w:r>
      <w:r w:rsidRPr="00334254">
        <w:rPr>
          <w:rFonts w:ascii="Arial" w:hAnsi="Arial" w:cs="Arial"/>
        </w:rPr>
        <w:t>) § 31 ods. 1 písm. h) zákona č. 251/2012 Z. z.</w:t>
      </w:r>
    </w:p>
    <w:p w:rsidR="00334254" w:rsidRPr="00334254" w:rsidP="00060006">
      <w:pPr>
        <w:pStyle w:val="Heading3"/>
        <w:keepNext w:val="0"/>
        <w:numPr>
          <w:ilvl w:val="2"/>
          <w:numId w:val="20"/>
        </w:numPr>
        <w:suppressAutoHyphens/>
        <w:ind w:left="709" w:firstLine="0"/>
        <w:rPr>
          <w:rFonts w:ascii="Arial" w:hAnsi="Arial" w:cs="Arial"/>
          <w:b w:val="0"/>
          <w:color w:val="auto"/>
          <w:szCs w:val="24"/>
        </w:rPr>
      </w:pPr>
      <w:r w:rsidRPr="00334254">
        <w:rPr>
          <w:rFonts w:ascii="Arial" w:hAnsi="Arial" w:cs="Arial"/>
          <w:b w:val="0"/>
          <w:color w:val="auto"/>
          <w:szCs w:val="24"/>
          <w:vertAlign w:val="superscript"/>
        </w:rPr>
        <w:t>15</w:t>
      </w:r>
      <w:r w:rsidRPr="00334254">
        <w:rPr>
          <w:rFonts w:ascii="Arial" w:hAnsi="Arial" w:cs="Arial"/>
          <w:b w:val="0"/>
          <w:color w:val="auto"/>
          <w:szCs w:val="24"/>
        </w:rPr>
        <w:t>) § 6 ods. 2 zákona č. 251/2012 Z. z.“.“.</w:t>
      </w:r>
    </w:p>
    <w:p w:rsidR="00060006" w:rsidP="00334254">
      <w:pPr>
        <w:numPr>
          <w:ilvl w:val="4"/>
          <w:numId w:val="20"/>
        </w:numPr>
        <w:suppressAutoHyphens/>
        <w:jc w:val="both"/>
        <w:rPr>
          <w:rFonts w:ascii="Arial" w:hAnsi="Arial" w:cs="Arial"/>
        </w:rPr>
      </w:pPr>
      <w:r w:rsidRPr="00334254" w:rsidR="00334254">
        <w:rPr>
          <w:rFonts w:ascii="Arial" w:hAnsi="Arial" w:cs="Arial"/>
        </w:rPr>
        <w:t xml:space="preserve">     </w:t>
      </w:r>
    </w:p>
    <w:p w:rsidR="00334254" w:rsidRPr="00334254" w:rsidP="00060006">
      <w:pPr>
        <w:numPr>
          <w:ilvl w:val="4"/>
          <w:numId w:val="20"/>
        </w:numPr>
        <w:suppressAutoHyphens/>
        <w:ind w:hanging="299"/>
        <w:jc w:val="both"/>
        <w:rPr>
          <w:rFonts w:ascii="Arial" w:hAnsi="Arial" w:cs="Arial"/>
        </w:rPr>
      </w:pPr>
      <w:r w:rsidRPr="00334254">
        <w:rPr>
          <w:rFonts w:ascii="Arial" w:hAnsi="Arial" w:cs="Arial"/>
        </w:rPr>
        <w:t>Ďalšie body sa primerane prečíslujú.</w:t>
      </w:r>
    </w:p>
    <w:p w:rsidR="00334254" w:rsidRPr="00334254" w:rsidP="00334254">
      <w:pPr>
        <w:ind w:left="2835"/>
        <w:jc w:val="both"/>
        <w:rPr>
          <w:rFonts w:ascii="Arial" w:hAnsi="Arial" w:cs="Arial"/>
        </w:rPr>
      </w:pPr>
    </w:p>
    <w:p w:rsidR="00334254" w:rsidRPr="00334254" w:rsidP="00060006">
      <w:pPr>
        <w:numPr>
          <w:ilvl w:val="0"/>
          <w:numId w:val="20"/>
        </w:numPr>
        <w:suppressAutoHyphens/>
        <w:ind w:left="2268" w:firstLine="0"/>
        <w:jc w:val="both"/>
        <w:rPr>
          <w:rFonts w:ascii="Arial" w:hAnsi="Arial" w:cs="Arial"/>
        </w:rPr>
      </w:pPr>
      <w:r w:rsidRPr="00334254">
        <w:rPr>
          <w:rFonts w:ascii="Arial" w:hAnsi="Arial" w:cs="Arial"/>
        </w:rPr>
        <w:t xml:space="preserve">Ide o legislatívno-technickú úpravu; úprava nadväzuje                          na pripomienku v 7. bode časti </w:t>
      </w:r>
      <w:r w:rsidR="00C36975">
        <w:rPr>
          <w:rFonts w:ascii="Arial" w:hAnsi="Arial" w:cs="Arial"/>
        </w:rPr>
        <w:t>„A“ </w:t>
      </w:r>
      <w:r w:rsidRPr="00795BDD" w:rsidR="00C36975">
        <w:rPr>
          <w:rFonts w:ascii="Arial" w:hAnsi="Arial" w:cs="Arial"/>
        </w:rPr>
        <w:t>stanoviska</w:t>
      </w:r>
      <w:r w:rsidR="00C36975">
        <w:rPr>
          <w:rFonts w:ascii="Arial" w:hAnsi="Arial" w:cs="Arial"/>
        </w:rPr>
        <w:t xml:space="preserve"> Odboru legislatívy a aproximácie práva Kancelárie NR SR</w:t>
      </w:r>
      <w:r w:rsidRPr="00334254">
        <w:rPr>
          <w:rFonts w:ascii="Arial" w:hAnsi="Arial" w:cs="Arial"/>
        </w:rPr>
        <w:t xml:space="preserve">. </w:t>
      </w:r>
    </w:p>
    <w:p w:rsidR="00334254" w:rsidRPr="00334254" w:rsidP="00334254">
      <w:pPr>
        <w:pStyle w:val="BodyText"/>
        <w:rPr>
          <w:rFonts w:ascii="Arial" w:hAnsi="Arial" w:cs="Arial"/>
          <w:szCs w:val="24"/>
        </w:rPr>
      </w:pPr>
    </w:p>
    <w:p w:rsidR="00334254" w:rsidRPr="00334254" w:rsidP="00060006">
      <w:pPr>
        <w:pStyle w:val="BodyText"/>
        <w:numPr>
          <w:ilvl w:val="0"/>
          <w:numId w:val="16"/>
        </w:numPr>
        <w:rPr>
          <w:rFonts w:ascii="Arial" w:hAnsi="Arial" w:cs="Arial"/>
          <w:b/>
          <w:szCs w:val="24"/>
        </w:rPr>
      </w:pPr>
      <w:r w:rsidRPr="00060006">
        <w:rPr>
          <w:rFonts w:ascii="Arial" w:hAnsi="Arial" w:cs="Arial"/>
          <w:szCs w:val="24"/>
          <w:u w:val="single"/>
        </w:rPr>
        <w:t>V čl. I, 12. bode sa pred poznámku pod čiarou k odkazu 15aa</w:t>
      </w:r>
      <w:r w:rsidRPr="00334254">
        <w:rPr>
          <w:rFonts w:ascii="Arial" w:hAnsi="Arial" w:cs="Arial"/>
          <w:szCs w:val="24"/>
        </w:rPr>
        <w:t xml:space="preserve"> vkladá poznámka pod čiarou k odkazu 15a, ktorá znie: </w:t>
      </w:r>
    </w:p>
    <w:p w:rsidR="00334254" w:rsidRPr="00334254" w:rsidP="00060006">
      <w:pPr>
        <w:tabs>
          <w:tab w:val="num" w:pos="-284"/>
        </w:tabs>
        <w:autoSpaceDE w:val="0"/>
        <w:autoSpaceDN w:val="0"/>
        <w:adjustRightInd w:val="0"/>
        <w:ind w:left="709"/>
        <w:jc w:val="both"/>
        <w:rPr>
          <w:rFonts w:ascii="Arial" w:hAnsi="Arial" w:cs="Arial"/>
        </w:rPr>
      </w:pPr>
      <w:r w:rsidRPr="00334254">
        <w:rPr>
          <w:rFonts w:ascii="Arial" w:hAnsi="Arial" w:cs="Arial"/>
          <w:vertAlign w:val="superscript"/>
        </w:rPr>
        <w:t>„15a</w:t>
      </w:r>
      <w:r w:rsidRPr="00334254">
        <w:rPr>
          <w:rFonts w:ascii="Arial" w:hAnsi="Arial" w:cs="Arial"/>
        </w:rPr>
        <w:t>) § 4 ods. 2 zákona č. 137/2010 Z. z. o ovzduší.“.</w:t>
      </w:r>
    </w:p>
    <w:p w:rsidR="00334254" w:rsidRPr="00334254" w:rsidP="00334254">
      <w:pPr>
        <w:pStyle w:val="BodyText"/>
        <w:tabs>
          <w:tab w:val="num" w:pos="284"/>
        </w:tabs>
        <w:ind w:left="60"/>
        <w:rPr>
          <w:rFonts w:ascii="Arial" w:hAnsi="Arial" w:cs="Arial"/>
          <w:b/>
          <w:szCs w:val="24"/>
        </w:rPr>
      </w:pPr>
    </w:p>
    <w:p w:rsidR="00334254" w:rsidRPr="00334254" w:rsidP="00060006">
      <w:pPr>
        <w:ind w:left="2268"/>
        <w:jc w:val="both"/>
        <w:rPr>
          <w:rFonts w:ascii="Arial" w:hAnsi="Arial" w:cs="Arial"/>
        </w:rPr>
      </w:pPr>
      <w:r w:rsidRPr="00334254">
        <w:rPr>
          <w:rFonts w:ascii="Arial" w:hAnsi="Arial" w:cs="Arial"/>
        </w:rPr>
        <w:t xml:space="preserve">Ide o legislatívno-technickú úpravu; úprava nadväzuje                            na pripomienku v 7. bode časti </w:t>
      </w:r>
      <w:r w:rsidR="00C36975">
        <w:rPr>
          <w:rFonts w:ascii="Arial" w:hAnsi="Arial" w:cs="Arial"/>
        </w:rPr>
        <w:t>„A“ </w:t>
      </w:r>
      <w:r w:rsidRPr="00795BDD" w:rsidR="00C36975">
        <w:rPr>
          <w:rFonts w:ascii="Arial" w:hAnsi="Arial" w:cs="Arial"/>
        </w:rPr>
        <w:t>stanoviska</w:t>
      </w:r>
      <w:r w:rsidR="00C36975">
        <w:rPr>
          <w:rFonts w:ascii="Arial" w:hAnsi="Arial" w:cs="Arial"/>
        </w:rPr>
        <w:t xml:space="preserve"> Odboru legislatívy a aproximácie práva Kancelárie NR SR</w:t>
      </w:r>
      <w:r w:rsidRPr="00334254">
        <w:rPr>
          <w:rFonts w:ascii="Arial" w:hAnsi="Arial" w:cs="Arial"/>
        </w:rPr>
        <w:t xml:space="preserve">. </w:t>
      </w:r>
    </w:p>
    <w:p w:rsidR="00334254" w:rsidP="00334254">
      <w:pPr>
        <w:pStyle w:val="BodyText"/>
        <w:tabs>
          <w:tab w:val="num" w:pos="284"/>
        </w:tabs>
        <w:ind w:left="60"/>
        <w:rPr>
          <w:rFonts w:ascii="Arial" w:hAnsi="Arial" w:cs="Arial"/>
          <w:b/>
          <w:szCs w:val="24"/>
        </w:rPr>
      </w:pPr>
    </w:p>
    <w:p w:rsidR="00060006" w:rsidRPr="00060006" w:rsidP="00060006">
      <w:pPr>
        <w:pStyle w:val="BodyText"/>
        <w:numPr>
          <w:ilvl w:val="0"/>
          <w:numId w:val="16"/>
        </w:numPr>
        <w:rPr>
          <w:rFonts w:ascii="Arial" w:hAnsi="Arial" w:cs="Arial"/>
          <w:szCs w:val="24"/>
          <w:u w:val="single"/>
        </w:rPr>
      </w:pPr>
      <w:r>
        <w:rPr>
          <w:rFonts w:ascii="Arial" w:hAnsi="Arial" w:cs="Arial"/>
          <w:szCs w:val="24"/>
          <w:u w:val="single"/>
        </w:rPr>
        <w:t xml:space="preserve">V čl. </w:t>
      </w:r>
      <w:r w:rsidRPr="00060006" w:rsidR="00334254">
        <w:rPr>
          <w:rFonts w:ascii="Arial" w:hAnsi="Arial" w:cs="Arial"/>
          <w:szCs w:val="24"/>
          <w:u w:val="single"/>
        </w:rPr>
        <w:t>I sa za  14. bod vkladá nový 15. bod, ktorý znie:</w:t>
      </w:r>
    </w:p>
    <w:p w:rsidR="00334254" w:rsidRPr="00060006" w:rsidP="00060006">
      <w:pPr>
        <w:pStyle w:val="Heading3"/>
        <w:keepNext w:val="0"/>
        <w:numPr>
          <w:ilvl w:val="0"/>
          <w:numId w:val="0"/>
        </w:numPr>
        <w:tabs>
          <w:tab w:val="num" w:pos="-709"/>
        </w:tabs>
        <w:suppressAutoHyphens/>
        <w:ind w:left="709"/>
        <w:rPr>
          <w:rFonts w:ascii="Arial" w:hAnsi="Arial" w:cs="Arial"/>
          <w:b w:val="0"/>
          <w:color w:val="auto"/>
          <w:szCs w:val="24"/>
        </w:rPr>
      </w:pPr>
      <w:r w:rsidRPr="00060006">
        <w:rPr>
          <w:rFonts w:ascii="Arial" w:hAnsi="Arial" w:cs="Arial"/>
          <w:b w:val="0"/>
          <w:color w:val="auto"/>
          <w:szCs w:val="24"/>
        </w:rPr>
        <w:t>„15. Poznámky pod čiarou k odkazom 15c a 15d znejú:</w:t>
      </w:r>
    </w:p>
    <w:p w:rsidR="00334254" w:rsidRPr="00334254" w:rsidP="00060006">
      <w:pPr>
        <w:tabs>
          <w:tab w:val="num" w:pos="709"/>
        </w:tabs>
        <w:ind w:left="709"/>
        <w:jc w:val="both"/>
        <w:rPr>
          <w:rFonts w:ascii="Arial" w:hAnsi="Arial" w:cs="Arial"/>
        </w:rPr>
      </w:pPr>
      <w:r w:rsidRPr="00334254">
        <w:rPr>
          <w:rFonts w:ascii="Arial" w:hAnsi="Arial" w:cs="Arial"/>
          <w:iCs/>
          <w:vertAlign w:val="superscript"/>
        </w:rPr>
        <w:t>„15c</w:t>
      </w:r>
      <w:r w:rsidRPr="00334254">
        <w:rPr>
          <w:rFonts w:ascii="Arial" w:hAnsi="Arial" w:cs="Arial"/>
          <w:iCs/>
        </w:rPr>
        <w:t>)</w:t>
      </w:r>
      <w:r w:rsidRPr="00334254">
        <w:rPr>
          <w:rFonts w:ascii="Arial" w:hAnsi="Arial" w:cs="Arial"/>
        </w:rPr>
        <w:t xml:space="preserve"> § 3 písm. b) šiesty bod zákona č. 251/2012 Z. z.</w:t>
      </w:r>
    </w:p>
    <w:p w:rsidR="00334254" w:rsidRPr="00334254" w:rsidP="00060006">
      <w:pPr>
        <w:tabs>
          <w:tab w:val="num" w:pos="709"/>
        </w:tabs>
        <w:ind w:left="709"/>
        <w:jc w:val="both"/>
        <w:rPr>
          <w:rFonts w:ascii="Arial" w:hAnsi="Arial" w:cs="Arial"/>
        </w:rPr>
      </w:pPr>
      <w:r w:rsidRPr="00334254">
        <w:rPr>
          <w:rFonts w:ascii="Arial" w:hAnsi="Arial" w:cs="Arial"/>
          <w:vertAlign w:val="superscript"/>
        </w:rPr>
        <w:t xml:space="preserve"> 15d</w:t>
      </w:r>
      <w:r w:rsidRPr="00334254">
        <w:rPr>
          <w:rFonts w:ascii="Arial" w:hAnsi="Arial" w:cs="Arial"/>
        </w:rPr>
        <w:t>) § 3 písm. b) ôsmy bod zákona č. 251/2012 Z. z.“.“.</w:t>
      </w:r>
    </w:p>
    <w:p w:rsidR="00060006" w:rsidP="00060006">
      <w:pPr>
        <w:tabs>
          <w:tab w:val="num" w:pos="284"/>
          <w:tab w:val="num" w:pos="709"/>
        </w:tabs>
        <w:ind w:left="709"/>
        <w:jc w:val="both"/>
        <w:rPr>
          <w:rFonts w:ascii="Arial" w:hAnsi="Arial" w:cs="Arial"/>
        </w:rPr>
      </w:pPr>
    </w:p>
    <w:p w:rsidR="00334254" w:rsidRPr="00334254" w:rsidP="00060006">
      <w:pPr>
        <w:tabs>
          <w:tab w:val="num" w:pos="284"/>
          <w:tab w:val="num" w:pos="709"/>
        </w:tabs>
        <w:ind w:left="709"/>
        <w:jc w:val="both"/>
        <w:rPr>
          <w:rFonts w:ascii="Arial" w:hAnsi="Arial" w:cs="Arial"/>
        </w:rPr>
      </w:pPr>
      <w:r w:rsidRPr="00334254">
        <w:rPr>
          <w:rFonts w:ascii="Arial" w:hAnsi="Arial" w:cs="Arial"/>
        </w:rPr>
        <w:t>Ďalšie body sa primerane prečíslujú.</w:t>
      </w:r>
    </w:p>
    <w:p w:rsidR="00334254" w:rsidRPr="00334254" w:rsidP="00334254">
      <w:pPr>
        <w:ind w:left="2835"/>
        <w:jc w:val="both"/>
        <w:rPr>
          <w:rFonts w:ascii="Arial" w:hAnsi="Arial" w:cs="Arial"/>
        </w:rPr>
      </w:pPr>
    </w:p>
    <w:p w:rsidR="00334254" w:rsidRPr="00334254" w:rsidP="00060006">
      <w:pPr>
        <w:ind w:left="2268"/>
        <w:jc w:val="both"/>
        <w:rPr>
          <w:rFonts w:ascii="Arial" w:hAnsi="Arial" w:cs="Arial"/>
        </w:rPr>
      </w:pPr>
      <w:r w:rsidRPr="00334254">
        <w:rPr>
          <w:rFonts w:ascii="Arial" w:hAnsi="Arial" w:cs="Arial"/>
        </w:rPr>
        <w:t xml:space="preserve">Ide o legislatívno-technickú úpravu; úprava nadväzuje                            na pripomienku v 7. bode časti </w:t>
      </w:r>
      <w:r w:rsidR="00C36975">
        <w:rPr>
          <w:rFonts w:ascii="Arial" w:hAnsi="Arial" w:cs="Arial"/>
        </w:rPr>
        <w:t>„A“ </w:t>
      </w:r>
      <w:r w:rsidRPr="00795BDD" w:rsidR="00C36975">
        <w:rPr>
          <w:rFonts w:ascii="Arial" w:hAnsi="Arial" w:cs="Arial"/>
        </w:rPr>
        <w:t>stanoviska</w:t>
      </w:r>
      <w:r w:rsidR="00C36975">
        <w:rPr>
          <w:rFonts w:ascii="Arial" w:hAnsi="Arial" w:cs="Arial"/>
        </w:rPr>
        <w:t xml:space="preserve"> Odboru legislatívy a aproximácie práva Kancelárie NR SR</w:t>
      </w:r>
      <w:r w:rsidRPr="00334254">
        <w:rPr>
          <w:rFonts w:ascii="Arial" w:hAnsi="Arial" w:cs="Arial"/>
        </w:rPr>
        <w:t xml:space="preserve">. </w:t>
      </w:r>
    </w:p>
    <w:p w:rsidR="00334254" w:rsidRPr="00334254" w:rsidP="00334254">
      <w:pPr>
        <w:pStyle w:val="BodyText"/>
        <w:rPr>
          <w:rFonts w:ascii="Arial" w:hAnsi="Arial" w:cs="Arial"/>
          <w:szCs w:val="24"/>
        </w:rPr>
      </w:pPr>
    </w:p>
    <w:p w:rsidR="00334254" w:rsidRPr="00334254" w:rsidP="005617F8">
      <w:pPr>
        <w:numPr>
          <w:ilvl w:val="0"/>
          <w:numId w:val="16"/>
        </w:numPr>
        <w:jc w:val="both"/>
        <w:rPr>
          <w:rFonts w:ascii="Arial" w:hAnsi="Arial" w:cs="Arial"/>
        </w:rPr>
      </w:pPr>
      <w:r w:rsidRPr="005617F8">
        <w:rPr>
          <w:rFonts w:ascii="Arial" w:hAnsi="Arial" w:cs="Arial"/>
          <w:u w:val="single"/>
        </w:rPr>
        <w:t>V čl. I sa za  15. bod vkladá nový 16. bod, ktorý znie</w:t>
      </w:r>
      <w:r w:rsidRPr="00334254">
        <w:rPr>
          <w:rFonts w:ascii="Arial" w:hAnsi="Arial" w:cs="Arial"/>
        </w:rPr>
        <w:t xml:space="preserve">: </w:t>
      </w:r>
    </w:p>
    <w:p w:rsidR="00334254" w:rsidRPr="00334254" w:rsidP="005617F8">
      <w:pPr>
        <w:tabs>
          <w:tab w:val="num" w:pos="709"/>
        </w:tabs>
        <w:ind w:left="709"/>
        <w:jc w:val="both"/>
        <w:rPr>
          <w:rFonts w:ascii="Arial" w:hAnsi="Arial" w:cs="Arial"/>
        </w:rPr>
      </w:pPr>
      <w:r w:rsidRPr="00334254">
        <w:rPr>
          <w:rFonts w:ascii="Arial" w:hAnsi="Arial" w:cs="Arial"/>
        </w:rPr>
        <w:t>„16. Poznámka pod čiarou k odkazu 16 znie:</w:t>
      </w:r>
    </w:p>
    <w:p w:rsidR="00334254" w:rsidRPr="00334254" w:rsidP="005617F8">
      <w:pPr>
        <w:tabs>
          <w:tab w:val="num" w:pos="709"/>
        </w:tabs>
        <w:ind w:left="709"/>
        <w:jc w:val="both"/>
        <w:rPr>
          <w:rFonts w:ascii="Arial" w:hAnsi="Arial" w:cs="Arial"/>
        </w:rPr>
      </w:pPr>
      <w:r w:rsidRPr="00334254">
        <w:rPr>
          <w:rFonts w:ascii="Arial" w:hAnsi="Arial" w:cs="Arial"/>
        </w:rPr>
        <w:t xml:space="preserve"> „</w:t>
      </w:r>
      <w:r w:rsidRPr="00334254">
        <w:rPr>
          <w:rFonts w:ascii="Arial" w:hAnsi="Arial" w:cs="Arial"/>
          <w:vertAlign w:val="superscript"/>
        </w:rPr>
        <w:t>16</w:t>
      </w:r>
      <w:r w:rsidRPr="00334254">
        <w:rPr>
          <w:rFonts w:ascii="Arial" w:hAnsi="Arial" w:cs="Arial"/>
        </w:rPr>
        <w:t>) § 64 zákona č. 251/2012 Z. z.“.“.</w:t>
      </w:r>
    </w:p>
    <w:p w:rsidR="005617F8" w:rsidP="005617F8">
      <w:pPr>
        <w:tabs>
          <w:tab w:val="num" w:pos="284"/>
          <w:tab w:val="num" w:pos="709"/>
        </w:tabs>
        <w:ind w:left="709"/>
        <w:jc w:val="both"/>
        <w:rPr>
          <w:rFonts w:ascii="Arial" w:hAnsi="Arial" w:cs="Arial"/>
        </w:rPr>
      </w:pPr>
    </w:p>
    <w:p w:rsidR="00334254" w:rsidRPr="00334254" w:rsidP="005617F8">
      <w:pPr>
        <w:tabs>
          <w:tab w:val="num" w:pos="284"/>
          <w:tab w:val="num" w:pos="709"/>
        </w:tabs>
        <w:ind w:left="709"/>
        <w:jc w:val="both"/>
        <w:rPr>
          <w:rFonts w:ascii="Arial" w:hAnsi="Arial" w:cs="Arial"/>
        </w:rPr>
      </w:pPr>
      <w:r w:rsidRPr="00334254">
        <w:rPr>
          <w:rFonts w:ascii="Arial" w:hAnsi="Arial" w:cs="Arial"/>
        </w:rPr>
        <w:t>Ďalšie body sa primerane prečíslujú.</w:t>
      </w:r>
    </w:p>
    <w:p w:rsidR="00334254" w:rsidRPr="00334254" w:rsidP="00334254">
      <w:pPr>
        <w:ind w:left="2835"/>
        <w:jc w:val="both"/>
        <w:rPr>
          <w:rFonts w:ascii="Arial" w:hAnsi="Arial" w:cs="Arial"/>
        </w:rPr>
      </w:pPr>
    </w:p>
    <w:p w:rsidR="00334254" w:rsidP="005617F8">
      <w:pPr>
        <w:ind w:left="2268"/>
        <w:jc w:val="both"/>
        <w:rPr>
          <w:rFonts w:ascii="Arial" w:hAnsi="Arial" w:cs="Arial"/>
        </w:rPr>
      </w:pPr>
      <w:r w:rsidRPr="00334254">
        <w:rPr>
          <w:rFonts w:ascii="Arial" w:hAnsi="Arial" w:cs="Arial"/>
        </w:rPr>
        <w:t xml:space="preserve">Ide o legislatívno-technickú úpravu; úprava nadväzuje                                   na pripomienku v 7. bode časti </w:t>
      </w:r>
      <w:r w:rsidR="00C36975">
        <w:rPr>
          <w:rFonts w:ascii="Arial" w:hAnsi="Arial" w:cs="Arial"/>
        </w:rPr>
        <w:t>„A“ </w:t>
      </w:r>
      <w:r w:rsidRPr="00795BDD" w:rsidR="00C36975">
        <w:rPr>
          <w:rFonts w:ascii="Arial" w:hAnsi="Arial" w:cs="Arial"/>
        </w:rPr>
        <w:t>stanoviska</w:t>
      </w:r>
      <w:r w:rsidR="00C36975">
        <w:rPr>
          <w:rFonts w:ascii="Arial" w:hAnsi="Arial" w:cs="Arial"/>
        </w:rPr>
        <w:t xml:space="preserve"> Odboru legislatívy a aproximácie práva Kancelárie NR SR</w:t>
      </w:r>
      <w:r w:rsidRPr="00334254">
        <w:rPr>
          <w:rFonts w:ascii="Arial" w:hAnsi="Arial" w:cs="Arial"/>
        </w:rPr>
        <w:t xml:space="preserve">. </w:t>
      </w:r>
    </w:p>
    <w:p w:rsidR="00374608" w:rsidP="005617F8">
      <w:pPr>
        <w:ind w:left="2268"/>
        <w:jc w:val="both"/>
        <w:rPr>
          <w:rFonts w:ascii="Arial" w:hAnsi="Arial" w:cs="Arial"/>
        </w:rPr>
      </w:pPr>
    </w:p>
    <w:p w:rsidR="00374608" w:rsidP="005617F8">
      <w:pPr>
        <w:ind w:left="2268"/>
        <w:jc w:val="both"/>
        <w:rPr>
          <w:rFonts w:ascii="Arial" w:hAnsi="Arial" w:cs="Arial"/>
        </w:rPr>
      </w:pPr>
    </w:p>
    <w:p w:rsidR="00374608" w:rsidP="005617F8">
      <w:pPr>
        <w:ind w:left="2268"/>
        <w:jc w:val="both"/>
        <w:rPr>
          <w:rFonts w:ascii="Arial" w:hAnsi="Arial" w:cs="Arial"/>
        </w:rPr>
      </w:pPr>
    </w:p>
    <w:p w:rsidR="00374608" w:rsidP="005617F8">
      <w:pPr>
        <w:ind w:left="2268"/>
        <w:jc w:val="both"/>
        <w:rPr>
          <w:rFonts w:ascii="Arial" w:hAnsi="Arial" w:cs="Arial"/>
        </w:rPr>
      </w:pPr>
    </w:p>
    <w:p w:rsidR="00374608" w:rsidRPr="00334254" w:rsidP="005617F8">
      <w:pPr>
        <w:ind w:left="2268"/>
        <w:jc w:val="both"/>
        <w:rPr>
          <w:rFonts w:ascii="Arial" w:hAnsi="Arial" w:cs="Arial"/>
        </w:rPr>
      </w:pPr>
    </w:p>
    <w:p w:rsidR="00795BDD" w:rsidRPr="00795BDD" w:rsidP="00795BDD">
      <w:pPr>
        <w:pStyle w:val="ListParagraph"/>
        <w:numPr>
          <w:ilvl w:val="0"/>
          <w:numId w:val="16"/>
        </w:numPr>
        <w:jc w:val="both"/>
        <w:rPr>
          <w:rFonts w:ascii="Arial" w:hAnsi="Arial" w:cs="Arial"/>
          <w:u w:val="single"/>
        </w:rPr>
      </w:pPr>
      <w:r w:rsidRPr="00795BDD">
        <w:rPr>
          <w:rFonts w:ascii="Arial" w:hAnsi="Arial" w:cs="Arial"/>
          <w:u w:val="single"/>
        </w:rPr>
        <w:t>V čl. I, 16. bod znie:</w:t>
      </w:r>
    </w:p>
    <w:p w:rsidR="00795BDD" w:rsidRPr="00795BDD" w:rsidP="00795BDD">
      <w:pPr>
        <w:ind w:left="360" w:firstLine="348"/>
        <w:jc w:val="both"/>
        <w:rPr>
          <w:rFonts w:ascii="Arial" w:hAnsi="Arial" w:cs="Arial"/>
        </w:rPr>
      </w:pPr>
      <w:r w:rsidRPr="00795BDD">
        <w:rPr>
          <w:rFonts w:ascii="Arial" w:hAnsi="Arial" w:cs="Arial"/>
        </w:rPr>
        <w:t>„</w:t>
      </w:r>
      <w:r w:rsidRPr="005617F8">
        <w:rPr>
          <w:rFonts w:ascii="Arial" w:hAnsi="Arial" w:cs="Arial"/>
        </w:rPr>
        <w:t>16.</w:t>
      </w:r>
      <w:r w:rsidRPr="00795BDD">
        <w:rPr>
          <w:rFonts w:ascii="Arial" w:hAnsi="Arial" w:cs="Arial"/>
        </w:rPr>
        <w:t xml:space="preserve"> V § 11a odseky 2 a 3 znejú:</w:t>
      </w:r>
    </w:p>
    <w:p w:rsidR="00795BDD" w:rsidRPr="00795BDD" w:rsidP="002808C0">
      <w:pPr>
        <w:tabs>
          <w:tab w:val="num" w:pos="-142"/>
        </w:tabs>
        <w:ind w:left="709"/>
        <w:jc w:val="both"/>
        <w:rPr>
          <w:rFonts w:ascii="Arial" w:hAnsi="Arial" w:cs="Arial"/>
        </w:rPr>
      </w:pPr>
      <w:r w:rsidRPr="00795BDD">
        <w:rPr>
          <w:rFonts w:ascii="Arial" w:hAnsi="Arial" w:cs="Arial"/>
        </w:rPr>
        <w:t>„(2) Za prípojku sa považujú technické a technologické zariadenia, ktoré slúžia na dopravu biometánu do distribučnej siete a začínajú po zariadení na úpravu bioplynu na biometán, okrem zariadenia na úpravu tlaku a kvality biometánu.</w:t>
      </w:r>
    </w:p>
    <w:p w:rsidR="00795BDD" w:rsidRPr="00795BDD" w:rsidP="00795BDD">
      <w:pPr>
        <w:tabs>
          <w:tab w:val="num" w:pos="1134"/>
        </w:tabs>
        <w:ind w:left="1134"/>
        <w:jc w:val="both"/>
        <w:rPr>
          <w:rFonts w:ascii="Arial" w:hAnsi="Arial" w:cs="Arial"/>
        </w:rPr>
      </w:pPr>
      <w:r w:rsidRPr="00795BDD">
        <w:rPr>
          <w:rFonts w:ascii="Arial" w:hAnsi="Arial" w:cs="Arial"/>
        </w:rPr>
        <w:t xml:space="preserve"> </w:t>
      </w:r>
    </w:p>
    <w:p w:rsidR="00795BDD" w:rsidRPr="00795BDD" w:rsidP="002808C0">
      <w:pPr>
        <w:tabs>
          <w:tab w:val="num" w:pos="0"/>
        </w:tabs>
        <w:ind w:left="709"/>
        <w:jc w:val="both"/>
        <w:rPr>
          <w:rFonts w:ascii="Arial" w:hAnsi="Arial" w:cs="Arial"/>
        </w:rPr>
      </w:pPr>
      <w:r w:rsidRPr="00795BDD">
        <w:rPr>
          <w:rFonts w:ascii="Arial" w:hAnsi="Arial" w:cs="Arial"/>
        </w:rPr>
        <w:t>(3) Prípojku zriaďuje prevádzkovateľ distribučnej siete alebo žiadateľ. Prípojka je po kolaudácii a finančnom vyrovnaní nákladov podľa odseku 1 v majetku prevádzkovateľa distribučnej siete.“.“</w:t>
      </w:r>
    </w:p>
    <w:p w:rsidR="00795BDD" w:rsidRPr="00795BDD" w:rsidP="00795BDD">
      <w:pPr>
        <w:pStyle w:val="ListParagraph"/>
        <w:jc w:val="both"/>
        <w:rPr>
          <w:rFonts w:ascii="Arial" w:hAnsi="Arial" w:cs="Arial"/>
          <w:u w:val="single"/>
        </w:rPr>
      </w:pPr>
    </w:p>
    <w:p w:rsidR="00795BDD" w:rsidRPr="00795BDD" w:rsidP="005617F8">
      <w:pPr>
        <w:pStyle w:val="ListParagraph"/>
        <w:ind w:left="2268" w:hanging="2"/>
        <w:jc w:val="both"/>
        <w:rPr>
          <w:rFonts w:ascii="Arial" w:hAnsi="Arial" w:cs="Arial"/>
        </w:rPr>
      </w:pPr>
      <w:r w:rsidRPr="00795BDD">
        <w:rPr>
          <w:rFonts w:ascii="Arial" w:hAnsi="Arial" w:cs="Arial"/>
        </w:rPr>
        <w:t>Spresňuje sa ustanovenie, že zariadenia na úpravu tlaku a kvality biometánu nie sú súčasťou prípojky.</w:t>
      </w:r>
    </w:p>
    <w:p w:rsidR="005617F8" w:rsidRPr="005617F8" w:rsidP="005617F8">
      <w:pPr>
        <w:pStyle w:val="ListParagraph"/>
        <w:jc w:val="both"/>
        <w:rPr>
          <w:rFonts w:ascii="Arial" w:hAnsi="Arial" w:cs="Arial"/>
          <w:u w:val="single"/>
        </w:rPr>
      </w:pPr>
    </w:p>
    <w:p w:rsidR="005617F8" w:rsidRPr="005617F8" w:rsidP="005617F8">
      <w:pPr>
        <w:numPr>
          <w:ilvl w:val="0"/>
          <w:numId w:val="16"/>
        </w:numPr>
        <w:autoSpaceDE w:val="0"/>
        <w:jc w:val="both"/>
        <w:rPr>
          <w:rFonts w:ascii="Arial" w:hAnsi="Arial" w:cs="Arial"/>
        </w:rPr>
      </w:pPr>
      <w:r w:rsidRPr="009942C3">
        <w:rPr>
          <w:rFonts w:ascii="Arial" w:hAnsi="Arial" w:cs="Arial"/>
          <w:u w:val="single"/>
        </w:rPr>
        <w:t>V čl. I, 18. bode sa v § 14a ods. 3</w:t>
      </w:r>
      <w:r w:rsidRPr="005617F8">
        <w:rPr>
          <w:rFonts w:ascii="Arial" w:hAnsi="Arial" w:cs="Arial"/>
        </w:rPr>
        <w:t xml:space="preserve"> slová „v technickom predpise upravujúcom“ nahrádzajú slovami „v technickej norme upravujúcej“ a slová „v súlade s technickým predpisom“ nahrádzajú slovami „v súlade s technickou normou“.   </w:t>
      </w:r>
    </w:p>
    <w:p w:rsidR="005617F8" w:rsidRPr="005617F8" w:rsidP="005617F8">
      <w:pPr>
        <w:autoSpaceDE w:val="0"/>
        <w:ind w:left="2835"/>
        <w:jc w:val="both"/>
        <w:rPr>
          <w:rFonts w:ascii="Arial" w:hAnsi="Arial" w:cs="Arial"/>
        </w:rPr>
      </w:pPr>
    </w:p>
    <w:p w:rsidR="005617F8" w:rsidRPr="005617F8" w:rsidP="009942C3">
      <w:pPr>
        <w:autoSpaceDE w:val="0"/>
        <w:ind w:left="2268"/>
        <w:jc w:val="both"/>
        <w:rPr>
          <w:rFonts w:ascii="Arial" w:hAnsi="Arial" w:cs="Arial"/>
        </w:rPr>
      </w:pPr>
      <w:r w:rsidRPr="005617F8">
        <w:rPr>
          <w:rFonts w:ascii="Arial" w:hAnsi="Arial" w:cs="Arial"/>
        </w:rPr>
        <w:t xml:space="preserve">Ide o legislatívno-technickú úpravu; poznámky pod čiarou k odkazom 17e a 17f sa týkajú technických noriem a nie technických predpisov; v zákone č. 264/1999 Z. z. pre technickú normu a technický predpis rozdielne vymedzenia. </w:t>
      </w:r>
    </w:p>
    <w:p w:rsidR="005617F8" w:rsidRPr="005617F8" w:rsidP="005617F8">
      <w:pPr>
        <w:tabs>
          <w:tab w:val="num" w:pos="284"/>
        </w:tabs>
        <w:ind w:left="426" w:hanging="426"/>
        <w:jc w:val="both"/>
        <w:rPr>
          <w:rFonts w:ascii="Arial" w:hAnsi="Arial" w:cs="Arial"/>
        </w:rPr>
      </w:pPr>
    </w:p>
    <w:p w:rsidR="005617F8" w:rsidRPr="009942C3" w:rsidP="009942C3">
      <w:pPr>
        <w:numPr>
          <w:ilvl w:val="0"/>
          <w:numId w:val="16"/>
        </w:numPr>
        <w:jc w:val="both"/>
        <w:rPr>
          <w:rFonts w:ascii="Arial" w:hAnsi="Arial" w:cs="Arial"/>
          <w:u w:val="single"/>
        </w:rPr>
      </w:pPr>
      <w:r w:rsidRPr="009942C3">
        <w:rPr>
          <w:rFonts w:ascii="Arial" w:hAnsi="Arial" w:cs="Arial"/>
          <w:u w:val="single"/>
        </w:rPr>
        <w:t xml:space="preserve">V čl. I sa za  19. bod vkladá nový 20. bod, ktorý znie: </w:t>
      </w:r>
    </w:p>
    <w:p w:rsidR="005617F8" w:rsidRPr="005617F8" w:rsidP="009942C3">
      <w:pPr>
        <w:autoSpaceDE w:val="0"/>
        <w:ind w:left="709"/>
        <w:jc w:val="both"/>
        <w:rPr>
          <w:rFonts w:ascii="Arial" w:hAnsi="Arial" w:cs="Arial"/>
        </w:rPr>
      </w:pPr>
      <w:r w:rsidRPr="005617F8">
        <w:rPr>
          <w:rFonts w:ascii="Arial" w:hAnsi="Arial" w:cs="Arial"/>
        </w:rPr>
        <w:t xml:space="preserve"> „20. Poznámka pod čiarou k odkazu 18 znie:</w:t>
      </w:r>
    </w:p>
    <w:p w:rsidR="005617F8" w:rsidRPr="005617F8" w:rsidP="009942C3">
      <w:pPr>
        <w:tabs>
          <w:tab w:val="num" w:pos="284"/>
        </w:tabs>
        <w:ind w:left="709"/>
        <w:jc w:val="both"/>
        <w:rPr>
          <w:rFonts w:ascii="Arial" w:hAnsi="Arial" w:cs="Arial"/>
        </w:rPr>
      </w:pPr>
      <w:r w:rsidRPr="005617F8">
        <w:rPr>
          <w:rFonts w:ascii="Arial" w:hAnsi="Arial" w:cs="Arial"/>
          <w:vertAlign w:val="superscript"/>
        </w:rPr>
        <w:t>„18</w:t>
      </w:r>
      <w:r w:rsidRPr="005617F8">
        <w:rPr>
          <w:rFonts w:ascii="Arial" w:hAnsi="Arial" w:cs="Arial"/>
        </w:rPr>
        <w:t>) § 89 zákona č. 251/2012 Z. z.“.“.</w:t>
      </w:r>
    </w:p>
    <w:p w:rsidR="009942C3" w:rsidP="009942C3">
      <w:pPr>
        <w:tabs>
          <w:tab w:val="num" w:pos="284"/>
        </w:tabs>
        <w:ind w:left="709"/>
        <w:jc w:val="both"/>
        <w:rPr>
          <w:rFonts w:ascii="Arial" w:hAnsi="Arial" w:cs="Arial"/>
        </w:rPr>
      </w:pPr>
    </w:p>
    <w:p w:rsidR="005617F8" w:rsidRPr="005617F8" w:rsidP="009942C3">
      <w:pPr>
        <w:tabs>
          <w:tab w:val="num" w:pos="284"/>
        </w:tabs>
        <w:ind w:left="709"/>
        <w:jc w:val="both"/>
        <w:rPr>
          <w:rFonts w:ascii="Arial" w:hAnsi="Arial" w:cs="Arial"/>
        </w:rPr>
      </w:pPr>
      <w:r w:rsidRPr="005617F8">
        <w:rPr>
          <w:rFonts w:ascii="Arial" w:hAnsi="Arial" w:cs="Arial"/>
        </w:rPr>
        <w:t>Ďalšie body sa primerane prečíslujú.</w:t>
      </w:r>
    </w:p>
    <w:p w:rsidR="005617F8" w:rsidRPr="005617F8" w:rsidP="005617F8">
      <w:pPr>
        <w:ind w:left="2835"/>
        <w:jc w:val="both"/>
        <w:rPr>
          <w:rFonts w:ascii="Arial" w:hAnsi="Arial" w:cs="Arial"/>
        </w:rPr>
      </w:pPr>
    </w:p>
    <w:p w:rsidR="005617F8" w:rsidRPr="005617F8" w:rsidP="009942C3">
      <w:pPr>
        <w:ind w:left="2268"/>
        <w:jc w:val="both"/>
        <w:rPr>
          <w:rFonts w:ascii="Arial" w:hAnsi="Arial" w:cs="Arial"/>
        </w:rPr>
      </w:pPr>
      <w:r w:rsidRPr="005617F8">
        <w:rPr>
          <w:rFonts w:ascii="Arial" w:hAnsi="Arial" w:cs="Arial"/>
        </w:rPr>
        <w:t xml:space="preserve">Ide o legislatívno-technickú úpravu; úprava nadväzuje                         na pripomienku v 7. bode časti </w:t>
      </w:r>
      <w:r w:rsidR="00C36975">
        <w:rPr>
          <w:rFonts w:ascii="Arial" w:hAnsi="Arial" w:cs="Arial"/>
        </w:rPr>
        <w:t>„A“ </w:t>
      </w:r>
      <w:r w:rsidRPr="00795BDD" w:rsidR="00C36975">
        <w:rPr>
          <w:rFonts w:ascii="Arial" w:hAnsi="Arial" w:cs="Arial"/>
        </w:rPr>
        <w:t>stanoviska</w:t>
      </w:r>
      <w:r w:rsidR="00C36975">
        <w:rPr>
          <w:rFonts w:ascii="Arial" w:hAnsi="Arial" w:cs="Arial"/>
        </w:rPr>
        <w:t xml:space="preserve"> Odboru legislatívy a aproximácie práva Kancelárie NR SR</w:t>
      </w:r>
      <w:r w:rsidRPr="005617F8">
        <w:rPr>
          <w:rFonts w:ascii="Arial" w:hAnsi="Arial" w:cs="Arial"/>
        </w:rPr>
        <w:t xml:space="preserve">. </w:t>
      </w:r>
    </w:p>
    <w:p w:rsidR="005617F8" w:rsidRPr="00795BDD" w:rsidP="00795BDD">
      <w:pPr>
        <w:pStyle w:val="ListParagraph"/>
        <w:jc w:val="both"/>
        <w:rPr>
          <w:rFonts w:ascii="Arial" w:hAnsi="Arial" w:cs="Arial"/>
          <w:u w:val="single"/>
        </w:rPr>
      </w:pPr>
    </w:p>
    <w:p w:rsidR="00795BDD" w:rsidRPr="00795BDD" w:rsidP="00795BDD">
      <w:pPr>
        <w:pStyle w:val="ListParagraph"/>
        <w:numPr>
          <w:ilvl w:val="0"/>
          <w:numId w:val="16"/>
        </w:numPr>
        <w:jc w:val="both"/>
        <w:rPr>
          <w:rFonts w:ascii="Arial" w:hAnsi="Arial" w:cs="Arial"/>
          <w:u w:val="single"/>
        </w:rPr>
      </w:pPr>
      <w:r w:rsidRPr="00795BDD">
        <w:rPr>
          <w:rFonts w:ascii="Arial" w:hAnsi="Arial" w:cs="Arial"/>
          <w:u w:val="single"/>
        </w:rPr>
        <w:t>V čl. I sa 20. bod  vypúšťa.</w:t>
      </w:r>
    </w:p>
    <w:p w:rsidR="00795BDD" w:rsidRPr="00795BDD" w:rsidP="00795BDD">
      <w:pPr>
        <w:pStyle w:val="ListParagraph"/>
        <w:ind w:firstLine="696"/>
        <w:jc w:val="both"/>
        <w:rPr>
          <w:rFonts w:ascii="Arial" w:hAnsi="Arial" w:cs="Arial"/>
          <w:b/>
        </w:rPr>
      </w:pPr>
    </w:p>
    <w:p w:rsidR="00795BDD" w:rsidRPr="00795BDD" w:rsidP="009942C3">
      <w:pPr>
        <w:pStyle w:val="ListParagraph"/>
        <w:ind w:left="2268"/>
        <w:jc w:val="both"/>
        <w:rPr>
          <w:rFonts w:ascii="Arial" w:hAnsi="Arial" w:cs="Arial"/>
        </w:rPr>
      </w:pPr>
      <w:r w:rsidRPr="00795BDD">
        <w:rPr>
          <w:rFonts w:ascii="Arial" w:hAnsi="Arial" w:cs="Arial"/>
        </w:rPr>
        <w:t xml:space="preserve">Vypúšťa sa navrhovaná úprava  plynúcej lehoty v prechodnom ustanovení (§ 18c ods. 3), ktoré je účinné od 1. mája 2011, z dôvodu, že sa má vzťahovať na zmenené podmienky podpory. Uvedené predĺženie lehoty sa navrhuje riešiť v samostatnom prechodnom ustanovení (§ 18e ods. 4). </w:t>
      </w:r>
    </w:p>
    <w:p w:rsidR="00795BDD" w:rsidRPr="00795BDD" w:rsidP="00795BDD">
      <w:pPr>
        <w:pStyle w:val="ListParagraph"/>
        <w:rPr>
          <w:rFonts w:ascii="Arial" w:hAnsi="Arial" w:cs="Arial"/>
          <w:iCs/>
        </w:rPr>
      </w:pPr>
    </w:p>
    <w:p w:rsidR="00795BDD" w:rsidRPr="00795BDD" w:rsidP="00795BDD">
      <w:pPr>
        <w:pStyle w:val="ListParagraph"/>
        <w:numPr>
          <w:ilvl w:val="0"/>
          <w:numId w:val="16"/>
        </w:numPr>
        <w:jc w:val="both"/>
        <w:rPr>
          <w:rFonts w:ascii="Arial" w:hAnsi="Arial" w:cs="Arial"/>
        </w:rPr>
      </w:pPr>
      <w:r w:rsidRPr="00795BDD">
        <w:rPr>
          <w:rFonts w:ascii="Arial" w:hAnsi="Arial" w:cs="Arial"/>
          <w:u w:val="single"/>
        </w:rPr>
        <w:t>V Čl. I, 21. bod  sa dopĺňa odsekmi 4 a 5, ktoré znejú:</w:t>
      </w:r>
    </w:p>
    <w:p w:rsidR="00795BDD" w:rsidRPr="00795BDD" w:rsidP="00795BDD">
      <w:pPr>
        <w:pStyle w:val="Style4"/>
        <w:kinsoku w:val="0"/>
        <w:autoSpaceDE/>
        <w:autoSpaceDN/>
        <w:spacing w:line="240" w:lineRule="auto"/>
        <w:ind w:left="709"/>
        <w:rPr>
          <w:rFonts w:ascii="Arial" w:hAnsi="Arial" w:cs="Arial"/>
          <w:sz w:val="24"/>
          <w:szCs w:val="24"/>
        </w:rPr>
      </w:pPr>
      <w:r w:rsidRPr="00795BDD">
        <w:rPr>
          <w:rFonts w:ascii="Arial" w:hAnsi="Arial" w:cs="Arial"/>
          <w:sz w:val="24"/>
          <w:szCs w:val="24"/>
        </w:rPr>
        <w:t>„(4) Právo na doplatok podľa § 3 ods. 4 písm. i) si výrobca elektriny môže uplatniť v období od 1. januára 2014 do 31. decembra 2018.</w:t>
      </w:r>
    </w:p>
    <w:p w:rsidR="00795BDD" w:rsidRPr="00795BDD" w:rsidP="00795BDD">
      <w:pPr>
        <w:pStyle w:val="Style4"/>
        <w:kinsoku w:val="0"/>
        <w:autoSpaceDE/>
        <w:autoSpaceDN/>
        <w:spacing w:line="240" w:lineRule="auto"/>
        <w:ind w:left="709"/>
        <w:rPr>
          <w:rFonts w:ascii="Arial" w:hAnsi="Arial" w:cs="Arial"/>
          <w:sz w:val="24"/>
          <w:szCs w:val="24"/>
        </w:rPr>
      </w:pPr>
      <w:r w:rsidRPr="00795BDD">
        <w:rPr>
          <w:rFonts w:ascii="Arial" w:hAnsi="Arial" w:cs="Arial"/>
          <w:sz w:val="24"/>
          <w:szCs w:val="24"/>
        </w:rPr>
        <w:t xml:space="preserve"> </w:t>
      </w:r>
    </w:p>
    <w:p w:rsidR="00795BDD" w:rsidRPr="00795BDD" w:rsidP="00795BDD">
      <w:pPr>
        <w:pStyle w:val="Style4"/>
        <w:kinsoku w:val="0"/>
        <w:autoSpaceDE/>
        <w:autoSpaceDN/>
        <w:spacing w:line="240" w:lineRule="auto"/>
        <w:ind w:left="709"/>
        <w:rPr>
          <w:rFonts w:ascii="Arial" w:hAnsi="Arial" w:cs="Arial"/>
          <w:sz w:val="24"/>
          <w:szCs w:val="24"/>
        </w:rPr>
      </w:pPr>
      <w:r w:rsidRPr="00795BDD">
        <w:rPr>
          <w:rFonts w:ascii="Arial" w:hAnsi="Arial" w:cs="Arial"/>
          <w:sz w:val="24"/>
          <w:szCs w:val="24"/>
        </w:rPr>
        <w:t>(5) Ustanovenie § 6 ods. 5 sa vzťahuje na výrobcu elektriny, na výstavbu, rekonštrukciu alebo modernizáciu zariadenia ktorého bola poskytnutá podpora z podporných programov financovaných z prostriedkov štátneho rozpočtu po 1. januári 2014.“</w:t>
      </w:r>
    </w:p>
    <w:p w:rsidR="00795BDD" w:rsidRPr="00795BDD" w:rsidP="00795BDD">
      <w:pPr>
        <w:pStyle w:val="Style1"/>
        <w:tabs>
          <w:tab w:val="num" w:pos="864"/>
        </w:tabs>
        <w:kinsoku w:val="0"/>
        <w:autoSpaceDE/>
        <w:autoSpaceDN/>
        <w:adjustRightInd/>
        <w:rPr>
          <w:rStyle w:val="CharacterStyle1"/>
          <w:rFonts w:ascii="Arial" w:hAnsi="Arial" w:cs="Arial"/>
          <w:spacing w:val="6"/>
          <w:sz w:val="24"/>
          <w:szCs w:val="24"/>
        </w:rPr>
      </w:pPr>
    </w:p>
    <w:p w:rsidR="00795BDD" w:rsidRPr="00795BDD" w:rsidP="009942C3">
      <w:pPr>
        <w:ind w:left="2268"/>
        <w:jc w:val="both"/>
        <w:rPr>
          <w:rFonts w:ascii="Arial" w:hAnsi="Arial" w:cs="Arial"/>
        </w:rPr>
      </w:pPr>
      <w:r w:rsidRPr="00795BDD">
        <w:rPr>
          <w:rFonts w:ascii="Arial" w:hAnsi="Arial" w:cs="Arial"/>
        </w:rPr>
        <w:t>Úprava nadväzujúca na vypustenie 20. bodu v čl. I, ktorý posúval  termín na uplatnenie si doplatku. Výrobca elektriny s inštalovaným výkonom nad 5 MW (nové podmienky podpory podľa § 3 ods. 4 písm. i)) si bude môcť právo na doplatok uplatniť do 31. decembra 2018.  Z dôvodu zabránenia retroaktívnej úpravy sa navrhuje doplnenie prechodného ustanovenia. Podpora nebude poskytovaná pre zariadenia, na výstavbu, rekonštrukciu alebo modernizáciu ktorých bola poskytnutá podpora zo štátneho rozpočtu po účinnosti novely.</w:t>
      </w:r>
    </w:p>
    <w:p w:rsidR="00795BDD" w:rsidRPr="00795BDD" w:rsidP="00795BDD">
      <w:pPr>
        <w:pStyle w:val="ListParagraph"/>
        <w:ind w:left="1080"/>
        <w:jc w:val="both"/>
        <w:rPr>
          <w:rFonts w:ascii="Arial" w:hAnsi="Arial" w:cs="Arial"/>
        </w:rPr>
      </w:pPr>
    </w:p>
    <w:p w:rsidR="00795BDD" w:rsidRPr="00795BDD" w:rsidP="00795BDD">
      <w:pPr>
        <w:pStyle w:val="ListParagraph"/>
        <w:numPr>
          <w:ilvl w:val="0"/>
          <w:numId w:val="16"/>
        </w:numPr>
        <w:jc w:val="both"/>
        <w:rPr>
          <w:rFonts w:ascii="Arial" w:hAnsi="Arial" w:cs="Arial"/>
          <w:u w:val="single"/>
        </w:rPr>
      </w:pPr>
      <w:r w:rsidRPr="00795BDD">
        <w:rPr>
          <w:rFonts w:ascii="Arial" w:hAnsi="Arial" w:cs="Arial"/>
          <w:u w:val="single"/>
        </w:rPr>
        <w:t xml:space="preserve">V čl. I sa vypúšťa 25. bod. </w:t>
      </w:r>
    </w:p>
    <w:p w:rsidR="00795BDD" w:rsidRPr="00795BDD" w:rsidP="00795BDD">
      <w:pPr>
        <w:ind w:left="1701"/>
        <w:rPr>
          <w:rFonts w:ascii="Arial" w:hAnsi="Arial" w:cs="Arial"/>
        </w:rPr>
      </w:pPr>
    </w:p>
    <w:p w:rsidR="00795BDD" w:rsidRPr="00795BDD" w:rsidP="009942C3">
      <w:pPr>
        <w:ind w:left="2268"/>
        <w:jc w:val="both"/>
        <w:rPr>
          <w:rFonts w:ascii="Arial" w:hAnsi="Arial" w:cs="Arial"/>
        </w:rPr>
      </w:pPr>
      <w:r w:rsidRPr="00795BDD">
        <w:rPr>
          <w:rFonts w:ascii="Arial" w:hAnsi="Arial" w:cs="Arial"/>
        </w:rPr>
        <w:t xml:space="preserve">Zmenu v trvaní účinnosti § 3 ods. 4 písm. h) nie je možné riešiť úpravou článku o účinnosti v zákone č. 309/2009 Z. z. </w:t>
      </w:r>
      <w:r w:rsidRPr="00795BDD">
        <w:rPr>
          <w:rFonts w:ascii="Arial" w:hAnsi="Arial" w:cs="Arial"/>
          <w:i/>
          <w:iCs/>
        </w:rPr>
        <w:t xml:space="preserve"> (čl. VI zákona), </w:t>
      </w:r>
      <w:r w:rsidRPr="00795BDD">
        <w:rPr>
          <w:rFonts w:ascii="Arial" w:hAnsi="Arial" w:cs="Arial"/>
        </w:rPr>
        <w:t xml:space="preserve">keďže  tento článok upravované slová </w:t>
      </w:r>
      <w:r w:rsidRPr="00795BDD">
        <w:rPr>
          <w:rFonts w:ascii="Arial" w:hAnsi="Arial" w:cs="Arial"/>
          <w:i/>
          <w:iCs/>
        </w:rPr>
        <w:t>(dátum)</w:t>
      </w:r>
      <w:r w:rsidRPr="00795BDD">
        <w:rPr>
          <w:rFonts w:ascii="Arial" w:hAnsi="Arial" w:cs="Arial"/>
        </w:rPr>
        <w:t xml:space="preserve"> neobsahuje. </w:t>
      </w:r>
    </w:p>
    <w:p w:rsidR="00795BDD" w:rsidRPr="00795BDD" w:rsidP="00795BDD">
      <w:pPr>
        <w:pStyle w:val="ListParagraph"/>
        <w:ind w:left="1080"/>
        <w:jc w:val="both"/>
        <w:rPr>
          <w:rFonts w:ascii="Arial" w:hAnsi="Arial" w:cs="Arial"/>
        </w:rPr>
      </w:pPr>
    </w:p>
    <w:p w:rsidR="009942C3" w:rsidRPr="00795BDD" w:rsidP="009942C3">
      <w:pPr>
        <w:pStyle w:val="ListParagraph"/>
        <w:numPr>
          <w:ilvl w:val="0"/>
          <w:numId w:val="16"/>
        </w:numPr>
        <w:jc w:val="both"/>
        <w:rPr>
          <w:rFonts w:ascii="Arial" w:hAnsi="Arial" w:cs="Arial"/>
          <w:u w:val="single"/>
        </w:rPr>
      </w:pPr>
      <w:r w:rsidRPr="00795BDD">
        <w:rPr>
          <w:rFonts w:ascii="Arial" w:hAnsi="Arial" w:cs="Arial"/>
          <w:u w:val="single"/>
        </w:rPr>
        <w:t>V čl. I sa vypúšťa 2</w:t>
      </w:r>
      <w:r>
        <w:rPr>
          <w:rFonts w:ascii="Arial" w:hAnsi="Arial" w:cs="Arial"/>
          <w:u w:val="single"/>
        </w:rPr>
        <w:t>6</w:t>
      </w:r>
      <w:r w:rsidRPr="00795BDD">
        <w:rPr>
          <w:rFonts w:ascii="Arial" w:hAnsi="Arial" w:cs="Arial"/>
          <w:u w:val="single"/>
        </w:rPr>
        <w:t xml:space="preserve">. bod. </w:t>
      </w:r>
    </w:p>
    <w:p w:rsidR="00795BDD" w:rsidP="009942C3">
      <w:pPr>
        <w:pStyle w:val="ListParagraph"/>
        <w:ind w:left="0"/>
        <w:jc w:val="both"/>
        <w:rPr>
          <w:rFonts w:ascii="Arial" w:hAnsi="Arial" w:cs="Arial"/>
        </w:rPr>
      </w:pPr>
    </w:p>
    <w:p w:rsidR="009942C3" w:rsidP="009942C3">
      <w:pPr>
        <w:pStyle w:val="ListParagraph"/>
        <w:ind w:left="2268"/>
        <w:jc w:val="both"/>
        <w:rPr>
          <w:rFonts w:ascii="Arial" w:hAnsi="Arial" w:cs="Arial"/>
        </w:rPr>
      </w:pPr>
      <w:r w:rsidRPr="009942C3">
        <w:rPr>
          <w:rFonts w:ascii="Arial" w:hAnsi="Arial" w:cs="Arial"/>
        </w:rPr>
        <w:t>Ide o legislatívno-technickú úpravu súvisiacu so zaradením poznámok  pod   čiarou do   novely  ako   samostatných   bodov.</w:t>
      </w:r>
    </w:p>
    <w:p w:rsidR="009942C3" w:rsidRPr="009942C3" w:rsidP="009942C3">
      <w:pPr>
        <w:pStyle w:val="ListParagraph"/>
        <w:ind w:left="2268"/>
        <w:jc w:val="both"/>
        <w:rPr>
          <w:rFonts w:ascii="Arial" w:hAnsi="Arial" w:cs="Arial"/>
        </w:rPr>
      </w:pPr>
    </w:p>
    <w:p w:rsidR="00795BDD" w:rsidRPr="00795BDD" w:rsidP="00795BDD">
      <w:pPr>
        <w:pStyle w:val="ListParagraph"/>
        <w:numPr>
          <w:ilvl w:val="0"/>
          <w:numId w:val="16"/>
        </w:numPr>
        <w:jc w:val="both"/>
        <w:rPr>
          <w:rFonts w:ascii="Arial" w:hAnsi="Arial" w:cs="Arial"/>
          <w:u w:val="single"/>
        </w:rPr>
      </w:pPr>
      <w:r w:rsidRPr="00795BDD">
        <w:rPr>
          <w:rFonts w:ascii="Arial" w:hAnsi="Arial" w:cs="Arial"/>
          <w:u w:val="single"/>
        </w:rPr>
        <w:t xml:space="preserve">V čl. II sa vkladá nový 1. bod, ktorý znie: </w:t>
      </w:r>
    </w:p>
    <w:p w:rsidR="00795BDD" w:rsidRPr="00795BDD" w:rsidP="00795BDD">
      <w:pPr>
        <w:jc w:val="both"/>
        <w:rPr>
          <w:rFonts w:ascii="Arial" w:hAnsi="Arial" w:cs="Arial"/>
        </w:rPr>
      </w:pPr>
    </w:p>
    <w:p w:rsidR="00795BDD" w:rsidRPr="00795BDD" w:rsidP="00795BDD">
      <w:pPr>
        <w:pStyle w:val="ListParagraph"/>
        <w:ind w:left="709"/>
        <w:jc w:val="both"/>
        <w:rPr>
          <w:rFonts w:ascii="Arial" w:hAnsi="Arial" w:cs="Arial"/>
        </w:rPr>
      </w:pPr>
      <w:r w:rsidRPr="00795BDD">
        <w:rPr>
          <w:rFonts w:ascii="Arial" w:hAnsi="Arial" w:cs="Arial"/>
        </w:rPr>
        <w:t>„</w:t>
      </w:r>
      <w:r w:rsidRPr="00795BDD">
        <w:rPr>
          <w:rFonts w:ascii="Arial" w:hAnsi="Arial" w:cs="Arial"/>
          <w:b/>
        </w:rPr>
        <w:t>1.</w:t>
      </w:r>
      <w:r w:rsidRPr="00795BDD">
        <w:rPr>
          <w:rFonts w:ascii="Arial" w:hAnsi="Arial" w:cs="Arial"/>
        </w:rPr>
        <w:t xml:space="preserve"> V § 27 sa za odsek 2 vkladá nový odsek 3, ktorý znie:</w:t>
      </w:r>
    </w:p>
    <w:p w:rsidR="00795BDD" w:rsidRPr="00795BDD" w:rsidP="00795BDD">
      <w:pPr>
        <w:ind w:left="1134"/>
        <w:jc w:val="both"/>
        <w:rPr>
          <w:rFonts w:ascii="Arial" w:hAnsi="Arial" w:cs="Arial"/>
        </w:rPr>
      </w:pPr>
      <w:r w:rsidRPr="00795BDD">
        <w:rPr>
          <w:rFonts w:ascii="Arial" w:hAnsi="Arial" w:cs="Arial"/>
        </w:rPr>
        <w:t>„(3)  Povinnosti podľa odseku 2 písm. e), f), g), h), i),  k), l) a q) sa nevzťahujú na výrobcu  elektriny z malého zdroja; povinnosti podľa odseku 2 písm. j) sa nevzťahuje na výrobcu elektriny z malého zdroja, ktorý nepodniká v energetike. Pri plnení povinností podľa odseku 2 písm. p) sa vo vzťahu k výrobcovi elektriny z malého zdroja neuplatňuje § 41 ods. 3. “</w:t>
      </w:r>
    </w:p>
    <w:p w:rsidR="00795BDD" w:rsidRPr="00795BDD" w:rsidP="00795BDD">
      <w:pPr>
        <w:ind w:left="720"/>
        <w:jc w:val="both"/>
        <w:rPr>
          <w:rFonts w:ascii="Arial" w:hAnsi="Arial" w:cs="Arial"/>
        </w:rPr>
      </w:pPr>
    </w:p>
    <w:p w:rsidR="00795BDD" w:rsidRPr="00795BDD" w:rsidP="00795BDD">
      <w:pPr>
        <w:ind w:left="709"/>
        <w:jc w:val="both"/>
        <w:rPr>
          <w:rFonts w:ascii="Arial" w:hAnsi="Arial" w:cs="Arial"/>
          <w:bCs/>
        </w:rPr>
      </w:pPr>
      <w:r w:rsidRPr="00795BDD">
        <w:rPr>
          <w:rFonts w:ascii="Arial" w:hAnsi="Arial" w:cs="Arial"/>
          <w:bCs/>
        </w:rPr>
        <w:t>Doterajšie odseky 3 až 4 sa označujú ako odseky 4 až 5.“.</w:t>
      </w:r>
    </w:p>
    <w:p w:rsidR="00795BDD" w:rsidRPr="00795BDD" w:rsidP="00795BDD">
      <w:pPr>
        <w:ind w:left="720"/>
        <w:jc w:val="both"/>
        <w:rPr>
          <w:rFonts w:ascii="Arial" w:hAnsi="Arial" w:cs="Arial"/>
        </w:rPr>
      </w:pPr>
    </w:p>
    <w:p w:rsidR="00795BDD" w:rsidRPr="00795BDD" w:rsidP="009942C3">
      <w:pPr>
        <w:ind w:left="2268"/>
        <w:jc w:val="both"/>
        <w:rPr>
          <w:rFonts w:ascii="Arial" w:hAnsi="Arial" w:cs="Arial"/>
        </w:rPr>
      </w:pPr>
      <w:r w:rsidRPr="00795BDD">
        <w:rPr>
          <w:rFonts w:ascii="Arial" w:hAnsi="Arial" w:cs="Arial"/>
        </w:rPr>
        <w:t>Uvedené povinnosti nie sú odôvodnené pre výrobcov z  malých zdrojov (do 10 kW) a dodržiavanie týchto povinností vyvoláva väčšie náklady a vyvolanú administratívnu záťaž ako je ich potenciálny prínos. Poskytovanie údajov o výrobe z obnoviteľných zdrojov a najmä plán výroby na ďalšie obdobie je v praxi technicky ťažko splniteľný a dá sa efektívnejšie nahradiť súčinnosťou prevádzkovateľa distribučnej sústavy s organizátorom krátkodobého trhu s elektrinou. Celková dodávka elektriny z malých zdrojov predstavovala v roku 2012 len 0,02 % zo všetkej elektriny dodanej do elektrizačnej sústavy SR, ale administratívne to predstavovalo korešpondenciu medzi niekoľkými tisíckami subjektov a prínos tejto činnosti bol zanedbateľný.</w:t>
      </w:r>
    </w:p>
    <w:p w:rsidR="001251A5" w:rsidRPr="00795BDD" w:rsidP="001251A5">
      <w:pPr>
        <w:ind w:left="708" w:firstLine="708"/>
        <w:rPr>
          <w:rFonts w:ascii="Arial" w:hAnsi="Arial" w:cs="Arial"/>
        </w:rPr>
      </w:pPr>
    </w:p>
    <w:p w:rsidR="008872CE" w:rsidRPr="001251A5" w:rsidP="001251A5">
      <w:pPr>
        <w:ind w:left="708" w:firstLine="708"/>
        <w:rPr>
          <w:rFonts w:ascii="Arial" w:hAnsi="Arial" w:cs="Arial"/>
        </w:rPr>
      </w:pPr>
    </w:p>
    <w:sectPr w:rsidSect="00B12DA5">
      <w:footerReference w:type="even" r:id="rId5"/>
      <w:footerReference w:type="defaul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harterItcTOT-Regular">
    <w:altName w:val="MS Mincho"/>
    <w:panose1 w:val="00000000000000000000"/>
    <w:charset w:val="80"/>
    <w:family w:val="auto"/>
    <w:pitch w:val="default"/>
    <w:sig w:usb0="00000000" w:usb1="00000000" w:usb2="00000000" w:usb3="00000000" w:csb0="0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08"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4608" w:rsidP="00B12D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08"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222">
      <w:rPr>
        <w:rStyle w:val="PageNumber"/>
        <w:noProof/>
      </w:rPr>
      <w:t>9</w:t>
    </w:r>
    <w:r>
      <w:rPr>
        <w:rStyle w:val="PageNumber"/>
      </w:rPr>
      <w:fldChar w:fldCharType="end"/>
    </w:r>
  </w:p>
  <w:p w:rsidR="00374608" w:rsidP="00B12DA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5"/>
    <w:multiLevelType w:val="singleLevel"/>
    <w:tmpl w:val="E5BAA876"/>
    <w:lvl w:ilvl="0">
      <w:start w:val="3"/>
      <w:numFmt w:val="decimal"/>
      <w:lvlText w:val="%1."/>
      <w:lvlJc w:val="left"/>
      <w:pPr>
        <w:tabs>
          <w:tab w:val="num" w:pos="0"/>
        </w:tabs>
        <w:ind w:left="420" w:hanging="360"/>
      </w:pPr>
      <w:rPr>
        <w:rFonts w:ascii="Times New Roman" w:hAnsi="Times New Roman" w:cs="Times New Roman" w:hint="default"/>
      </w:rPr>
    </w:lvl>
  </w:abstractNum>
  <w:abstractNum w:abstractNumId="2">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B802C3"/>
    <w:multiLevelType w:val="hybridMultilevel"/>
    <w:tmpl w:val="5E5C6A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F13410"/>
    <w:multiLevelType w:val="hybridMultilevel"/>
    <w:tmpl w:val="111E2F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EF1942"/>
    <w:multiLevelType w:val="hybridMultilevel"/>
    <w:tmpl w:val="5BDCA3E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7">
    <w:nsid w:val="28E8014E"/>
    <w:multiLevelType w:val="hybridMultilevel"/>
    <w:tmpl w:val="4A7CD906"/>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2FF80C97"/>
    <w:multiLevelType w:val="hybridMultilevel"/>
    <w:tmpl w:val="6C961574"/>
    <w:lvl w:ilvl="0" w:tentative="1">
      <w:start w:val="1"/>
      <w:numFmt w:val="lowerRoman"/>
      <w:lvlText w:val="%1."/>
      <w:lvlJc w:val="right"/>
      <w:pPr>
        <w:ind w:left="2160" w:hanging="18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330E14"/>
    <w:multiLevelType w:val="hybridMultilevel"/>
    <w:tmpl w:val="6F8256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D80D81"/>
    <w:multiLevelType w:val="hybridMultilevel"/>
    <w:tmpl w:val="66A64DB2"/>
    <w:lvl w:ilvl="0" w:tentative="1">
      <w:start w:val="1"/>
      <w:numFmt w:val="lowerRoman"/>
      <w:lvlText w:val="%1."/>
      <w:lvlJc w:val="right"/>
      <w:pPr>
        <w:ind w:left="2160" w:hanging="18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383BD5"/>
    <w:multiLevelType w:val="hybridMultilevel"/>
    <w:tmpl w:val="0B7CDFD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14">
    <w:nsid w:val="4B860CBD"/>
    <w:multiLevelType w:val="hybridMultilevel"/>
    <w:tmpl w:val="DD3871E0"/>
    <w:lvl w:ilvl="0">
      <w:start w:val="1"/>
      <w:numFmt w:val="decimal"/>
      <w:lvlText w:val="%1."/>
      <w:lvlJc w:val="left"/>
      <w:pPr>
        <w:ind w:left="719" w:hanging="360"/>
      </w:p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5">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28F033E"/>
    <w:multiLevelType w:val="hybridMultilevel"/>
    <w:tmpl w:val="2702BA56"/>
    <w:lvl w:ilvl="0">
      <w:start w:val="1"/>
      <w:numFmt w:val="upperRoman"/>
      <w:lvlText w:val="%1."/>
      <w:lvlJc w:val="left"/>
      <w:pPr>
        <w:tabs>
          <w:tab w:val="num" w:pos="1260"/>
        </w:tabs>
        <w:ind w:left="1260" w:hanging="720"/>
      </w:pPr>
      <w:rPr>
        <w:rFonts w:cs="Times New Roman"/>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Pr>
    </w:lvl>
    <w:lvl w:ilvl="2">
      <w:start w:val="1"/>
      <w:numFmt w:val="lowerLetter"/>
      <w:lvlText w:val="%3)"/>
      <w:lvlJc w:val="left"/>
      <w:pPr>
        <w:ind w:left="2520" w:hanging="36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7">
    <w:nsid w:val="55672783"/>
    <w:multiLevelType w:val="hybridMultilevel"/>
    <w:tmpl w:val="B60A4FBA"/>
    <w:lvl w:ilvl="0">
      <w:start w:val="3"/>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8">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6D84C1A"/>
    <w:multiLevelType w:val="hybridMultilevel"/>
    <w:tmpl w:val="8C94B0F0"/>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FC533FE"/>
    <w:multiLevelType w:val="hybridMultilevel"/>
    <w:tmpl w:val="C8168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49006E"/>
    <w:multiLevelType w:val="hybridMultilevel"/>
    <w:tmpl w:val="77382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FA37CA"/>
    <w:multiLevelType w:val="hybridMultilevel"/>
    <w:tmpl w:val="F490F6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5075DB1"/>
    <w:multiLevelType w:val="hybridMultilevel"/>
    <w:tmpl w:val="E318D2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19"/>
  </w:num>
  <w:num w:numId="5">
    <w:abstractNumId w:val="18"/>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17"/>
  </w:num>
  <w:num w:numId="11">
    <w:abstractNumId w:val="23"/>
  </w:num>
  <w:num w:numId="12">
    <w:abstractNumId w:val="22"/>
  </w:num>
  <w:num w:numId="13">
    <w:abstractNumId w:val="7"/>
  </w:num>
  <w:num w:numId="14">
    <w:abstractNumId w:val="3"/>
  </w:num>
  <w:num w:numId="15">
    <w:abstractNumId w:val="20"/>
  </w:num>
  <w:num w:numId="16">
    <w:abstractNumId w:val="12"/>
  </w:num>
  <w:num w:numId="17">
    <w:abstractNumId w:val="1"/>
  </w:num>
  <w:num w:numId="18">
    <w:abstractNumId w:val="4"/>
  </w:num>
  <w:num w:numId="19">
    <w:abstractNumId w:val="21"/>
  </w:num>
  <w:num w:numId="20">
    <w:abstractNumId w:val="0"/>
  </w:num>
  <w:num w:numId="21">
    <w:abstractNumId w:val="8"/>
  </w:num>
  <w:num w:numId="22">
    <w:abstractNumId w:val="11"/>
  </w:num>
  <w:num w:numId="23">
    <w:abstractNumId w:val="1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312F"/>
    <w:rsid w:val="00056F29"/>
    <w:rsid w:val="00060006"/>
    <w:rsid w:val="0006389B"/>
    <w:rsid w:val="00070F59"/>
    <w:rsid w:val="00071230"/>
    <w:rsid w:val="00071298"/>
    <w:rsid w:val="00081141"/>
    <w:rsid w:val="000955AC"/>
    <w:rsid w:val="00097B16"/>
    <w:rsid w:val="000A0380"/>
    <w:rsid w:val="000A5070"/>
    <w:rsid w:val="000F2310"/>
    <w:rsid w:val="000F2CA6"/>
    <w:rsid w:val="000F2F76"/>
    <w:rsid w:val="000F7F2B"/>
    <w:rsid w:val="001047F3"/>
    <w:rsid w:val="00106191"/>
    <w:rsid w:val="00106567"/>
    <w:rsid w:val="00106601"/>
    <w:rsid w:val="00122F36"/>
    <w:rsid w:val="001240F4"/>
    <w:rsid w:val="001251A5"/>
    <w:rsid w:val="00140FC5"/>
    <w:rsid w:val="00145D17"/>
    <w:rsid w:val="0015098B"/>
    <w:rsid w:val="00154657"/>
    <w:rsid w:val="001577CB"/>
    <w:rsid w:val="00157E41"/>
    <w:rsid w:val="001831FD"/>
    <w:rsid w:val="0019396E"/>
    <w:rsid w:val="00195D1D"/>
    <w:rsid w:val="001A0B13"/>
    <w:rsid w:val="001A6F11"/>
    <w:rsid w:val="001B0B69"/>
    <w:rsid w:val="001D5CAD"/>
    <w:rsid w:val="001D79F3"/>
    <w:rsid w:val="001E151D"/>
    <w:rsid w:val="001E4FAB"/>
    <w:rsid w:val="001E67C4"/>
    <w:rsid w:val="001F11C0"/>
    <w:rsid w:val="001F2F66"/>
    <w:rsid w:val="001F4E25"/>
    <w:rsid w:val="00202B6F"/>
    <w:rsid w:val="002102AF"/>
    <w:rsid w:val="0021221E"/>
    <w:rsid w:val="0022161D"/>
    <w:rsid w:val="00221A65"/>
    <w:rsid w:val="002301A9"/>
    <w:rsid w:val="002308FA"/>
    <w:rsid w:val="00256B8E"/>
    <w:rsid w:val="002627B9"/>
    <w:rsid w:val="00272FB1"/>
    <w:rsid w:val="00277A33"/>
    <w:rsid w:val="002808C0"/>
    <w:rsid w:val="00280A1F"/>
    <w:rsid w:val="0028139A"/>
    <w:rsid w:val="0028251E"/>
    <w:rsid w:val="002916A2"/>
    <w:rsid w:val="002B11B1"/>
    <w:rsid w:val="002B564A"/>
    <w:rsid w:val="002C0C20"/>
    <w:rsid w:val="002C0CEB"/>
    <w:rsid w:val="002D2A34"/>
    <w:rsid w:val="002D4CAA"/>
    <w:rsid w:val="002E6A6F"/>
    <w:rsid w:val="002F1C84"/>
    <w:rsid w:val="002F40D1"/>
    <w:rsid w:val="002F6DCA"/>
    <w:rsid w:val="00305186"/>
    <w:rsid w:val="0031217B"/>
    <w:rsid w:val="00334254"/>
    <w:rsid w:val="00336BE0"/>
    <w:rsid w:val="0034406B"/>
    <w:rsid w:val="00351F5F"/>
    <w:rsid w:val="003568D1"/>
    <w:rsid w:val="00362FB8"/>
    <w:rsid w:val="00366B6D"/>
    <w:rsid w:val="00374608"/>
    <w:rsid w:val="003777C3"/>
    <w:rsid w:val="003808FF"/>
    <w:rsid w:val="00382BAA"/>
    <w:rsid w:val="00392897"/>
    <w:rsid w:val="00392C06"/>
    <w:rsid w:val="003B28B3"/>
    <w:rsid w:val="003C4821"/>
    <w:rsid w:val="003E1A13"/>
    <w:rsid w:val="003E3BC3"/>
    <w:rsid w:val="003E69BB"/>
    <w:rsid w:val="003F1811"/>
    <w:rsid w:val="003F3D93"/>
    <w:rsid w:val="003F758D"/>
    <w:rsid w:val="0040098A"/>
    <w:rsid w:val="004046B5"/>
    <w:rsid w:val="00411ACA"/>
    <w:rsid w:val="00415004"/>
    <w:rsid w:val="004162A1"/>
    <w:rsid w:val="004217EB"/>
    <w:rsid w:val="004373E8"/>
    <w:rsid w:val="004375D7"/>
    <w:rsid w:val="0044088F"/>
    <w:rsid w:val="00444C9D"/>
    <w:rsid w:val="00447A28"/>
    <w:rsid w:val="00447AF4"/>
    <w:rsid w:val="00450B7B"/>
    <w:rsid w:val="0046375F"/>
    <w:rsid w:val="0047755B"/>
    <w:rsid w:val="00477D15"/>
    <w:rsid w:val="00485C3A"/>
    <w:rsid w:val="00487B16"/>
    <w:rsid w:val="00491694"/>
    <w:rsid w:val="00493643"/>
    <w:rsid w:val="004B21BB"/>
    <w:rsid w:val="004B6E65"/>
    <w:rsid w:val="004B72E6"/>
    <w:rsid w:val="004C22EE"/>
    <w:rsid w:val="004C2B3F"/>
    <w:rsid w:val="004C34C2"/>
    <w:rsid w:val="004C39AC"/>
    <w:rsid w:val="004C47AB"/>
    <w:rsid w:val="004C7FE5"/>
    <w:rsid w:val="004D2FE5"/>
    <w:rsid w:val="004D3E15"/>
    <w:rsid w:val="004D431D"/>
    <w:rsid w:val="004D4552"/>
    <w:rsid w:val="004D6C9E"/>
    <w:rsid w:val="004E5293"/>
    <w:rsid w:val="00521DCA"/>
    <w:rsid w:val="005239A3"/>
    <w:rsid w:val="005242C8"/>
    <w:rsid w:val="00527135"/>
    <w:rsid w:val="0053513E"/>
    <w:rsid w:val="0053793F"/>
    <w:rsid w:val="005605A4"/>
    <w:rsid w:val="005617F8"/>
    <w:rsid w:val="005625A4"/>
    <w:rsid w:val="00567967"/>
    <w:rsid w:val="005719A0"/>
    <w:rsid w:val="00573336"/>
    <w:rsid w:val="00577C1F"/>
    <w:rsid w:val="00585558"/>
    <w:rsid w:val="0059163C"/>
    <w:rsid w:val="005A17FA"/>
    <w:rsid w:val="005A2A79"/>
    <w:rsid w:val="005A4123"/>
    <w:rsid w:val="005A6316"/>
    <w:rsid w:val="005C4064"/>
    <w:rsid w:val="005D17F2"/>
    <w:rsid w:val="005D20AB"/>
    <w:rsid w:val="005D46AC"/>
    <w:rsid w:val="005E0F20"/>
    <w:rsid w:val="005E23DF"/>
    <w:rsid w:val="005E386B"/>
    <w:rsid w:val="005E4D9C"/>
    <w:rsid w:val="005E6C1D"/>
    <w:rsid w:val="005E7471"/>
    <w:rsid w:val="005F2928"/>
    <w:rsid w:val="005F38DC"/>
    <w:rsid w:val="005F4AFB"/>
    <w:rsid w:val="005F6186"/>
    <w:rsid w:val="006000E0"/>
    <w:rsid w:val="006063EB"/>
    <w:rsid w:val="00620445"/>
    <w:rsid w:val="006205E7"/>
    <w:rsid w:val="00620D0B"/>
    <w:rsid w:val="0062481D"/>
    <w:rsid w:val="0063307B"/>
    <w:rsid w:val="00645499"/>
    <w:rsid w:val="00645D97"/>
    <w:rsid w:val="00653716"/>
    <w:rsid w:val="0065771D"/>
    <w:rsid w:val="0066015C"/>
    <w:rsid w:val="00662DCB"/>
    <w:rsid w:val="00662DF3"/>
    <w:rsid w:val="00675CF8"/>
    <w:rsid w:val="00681062"/>
    <w:rsid w:val="00681985"/>
    <w:rsid w:val="006A3860"/>
    <w:rsid w:val="006A6D3F"/>
    <w:rsid w:val="006B79BA"/>
    <w:rsid w:val="006C4A64"/>
    <w:rsid w:val="006D0B0B"/>
    <w:rsid w:val="006D5213"/>
    <w:rsid w:val="006D6597"/>
    <w:rsid w:val="006E4B6F"/>
    <w:rsid w:val="006F4258"/>
    <w:rsid w:val="006F758E"/>
    <w:rsid w:val="006F760E"/>
    <w:rsid w:val="00703CF1"/>
    <w:rsid w:val="0070533C"/>
    <w:rsid w:val="007120C4"/>
    <w:rsid w:val="007206E9"/>
    <w:rsid w:val="00726604"/>
    <w:rsid w:val="00730D0E"/>
    <w:rsid w:val="007324A1"/>
    <w:rsid w:val="00737355"/>
    <w:rsid w:val="0074040B"/>
    <w:rsid w:val="007466EB"/>
    <w:rsid w:val="007528D4"/>
    <w:rsid w:val="0076346A"/>
    <w:rsid w:val="0076601C"/>
    <w:rsid w:val="00795BDD"/>
    <w:rsid w:val="007969F8"/>
    <w:rsid w:val="007A15DD"/>
    <w:rsid w:val="007A3B12"/>
    <w:rsid w:val="007B3230"/>
    <w:rsid w:val="007B4455"/>
    <w:rsid w:val="007C0186"/>
    <w:rsid w:val="007D5A81"/>
    <w:rsid w:val="007D67CC"/>
    <w:rsid w:val="007F10EF"/>
    <w:rsid w:val="007F57B3"/>
    <w:rsid w:val="007F5CB3"/>
    <w:rsid w:val="0080470D"/>
    <w:rsid w:val="008053AD"/>
    <w:rsid w:val="008066D2"/>
    <w:rsid w:val="00811F18"/>
    <w:rsid w:val="0082333D"/>
    <w:rsid w:val="008314AD"/>
    <w:rsid w:val="0083686D"/>
    <w:rsid w:val="00837BBE"/>
    <w:rsid w:val="00842C0B"/>
    <w:rsid w:val="0085008B"/>
    <w:rsid w:val="00852767"/>
    <w:rsid w:val="00863959"/>
    <w:rsid w:val="00867EF1"/>
    <w:rsid w:val="00870897"/>
    <w:rsid w:val="008743DC"/>
    <w:rsid w:val="0088372A"/>
    <w:rsid w:val="008872CE"/>
    <w:rsid w:val="008A5E9A"/>
    <w:rsid w:val="008A77CD"/>
    <w:rsid w:val="008B511D"/>
    <w:rsid w:val="008C10BE"/>
    <w:rsid w:val="008C1ADF"/>
    <w:rsid w:val="008D20B9"/>
    <w:rsid w:val="008D6DE8"/>
    <w:rsid w:val="008E6C16"/>
    <w:rsid w:val="008F2636"/>
    <w:rsid w:val="008F3A50"/>
    <w:rsid w:val="009065BC"/>
    <w:rsid w:val="00911B3A"/>
    <w:rsid w:val="0091432E"/>
    <w:rsid w:val="0091555F"/>
    <w:rsid w:val="00950887"/>
    <w:rsid w:val="00966D12"/>
    <w:rsid w:val="00973C15"/>
    <w:rsid w:val="00983562"/>
    <w:rsid w:val="009846B3"/>
    <w:rsid w:val="00990C7C"/>
    <w:rsid w:val="009942C3"/>
    <w:rsid w:val="009A631C"/>
    <w:rsid w:val="009B25FD"/>
    <w:rsid w:val="009B349B"/>
    <w:rsid w:val="009B6157"/>
    <w:rsid w:val="009C27F1"/>
    <w:rsid w:val="009F053E"/>
    <w:rsid w:val="009F07F2"/>
    <w:rsid w:val="00A014FB"/>
    <w:rsid w:val="00A11E39"/>
    <w:rsid w:val="00A152E2"/>
    <w:rsid w:val="00A24A27"/>
    <w:rsid w:val="00A334CC"/>
    <w:rsid w:val="00A36A70"/>
    <w:rsid w:val="00A436E0"/>
    <w:rsid w:val="00A62B07"/>
    <w:rsid w:val="00A64A66"/>
    <w:rsid w:val="00A7008D"/>
    <w:rsid w:val="00A77B81"/>
    <w:rsid w:val="00A85C47"/>
    <w:rsid w:val="00A92253"/>
    <w:rsid w:val="00A929F2"/>
    <w:rsid w:val="00A96D39"/>
    <w:rsid w:val="00AA36F9"/>
    <w:rsid w:val="00AB1EC9"/>
    <w:rsid w:val="00AD6BE7"/>
    <w:rsid w:val="00AF7FD1"/>
    <w:rsid w:val="00B016C3"/>
    <w:rsid w:val="00B06746"/>
    <w:rsid w:val="00B12DA5"/>
    <w:rsid w:val="00B14EB3"/>
    <w:rsid w:val="00B316CD"/>
    <w:rsid w:val="00B31C1B"/>
    <w:rsid w:val="00B32ADF"/>
    <w:rsid w:val="00B358D4"/>
    <w:rsid w:val="00B37A1A"/>
    <w:rsid w:val="00B4466C"/>
    <w:rsid w:val="00B620A2"/>
    <w:rsid w:val="00B73BB3"/>
    <w:rsid w:val="00B76013"/>
    <w:rsid w:val="00B8497D"/>
    <w:rsid w:val="00B850BE"/>
    <w:rsid w:val="00B91218"/>
    <w:rsid w:val="00B937DA"/>
    <w:rsid w:val="00BA2221"/>
    <w:rsid w:val="00BA43E5"/>
    <w:rsid w:val="00BB2383"/>
    <w:rsid w:val="00BB52C7"/>
    <w:rsid w:val="00BC1EF2"/>
    <w:rsid w:val="00BC4C00"/>
    <w:rsid w:val="00BE1296"/>
    <w:rsid w:val="00BE1444"/>
    <w:rsid w:val="00BF642A"/>
    <w:rsid w:val="00BF71E7"/>
    <w:rsid w:val="00C26E0E"/>
    <w:rsid w:val="00C320FE"/>
    <w:rsid w:val="00C34355"/>
    <w:rsid w:val="00C353C2"/>
    <w:rsid w:val="00C36975"/>
    <w:rsid w:val="00C36F04"/>
    <w:rsid w:val="00C44AE0"/>
    <w:rsid w:val="00C47F34"/>
    <w:rsid w:val="00C53BB0"/>
    <w:rsid w:val="00C62C12"/>
    <w:rsid w:val="00C62D82"/>
    <w:rsid w:val="00C723D9"/>
    <w:rsid w:val="00C74BF4"/>
    <w:rsid w:val="00C81641"/>
    <w:rsid w:val="00C95ADC"/>
    <w:rsid w:val="00CA1DD9"/>
    <w:rsid w:val="00CA4AE1"/>
    <w:rsid w:val="00CA684E"/>
    <w:rsid w:val="00CB4008"/>
    <w:rsid w:val="00CB7AD3"/>
    <w:rsid w:val="00CC4136"/>
    <w:rsid w:val="00CD14B7"/>
    <w:rsid w:val="00CD2A94"/>
    <w:rsid w:val="00CD2F38"/>
    <w:rsid w:val="00CD4930"/>
    <w:rsid w:val="00CE0341"/>
    <w:rsid w:val="00CE2EFA"/>
    <w:rsid w:val="00CE7D5D"/>
    <w:rsid w:val="00D0784E"/>
    <w:rsid w:val="00D113A5"/>
    <w:rsid w:val="00D1453E"/>
    <w:rsid w:val="00D150C5"/>
    <w:rsid w:val="00D22F22"/>
    <w:rsid w:val="00D279F2"/>
    <w:rsid w:val="00D27CF5"/>
    <w:rsid w:val="00D32378"/>
    <w:rsid w:val="00D416F8"/>
    <w:rsid w:val="00D42F6E"/>
    <w:rsid w:val="00D51767"/>
    <w:rsid w:val="00D543FC"/>
    <w:rsid w:val="00D620AE"/>
    <w:rsid w:val="00D643C3"/>
    <w:rsid w:val="00D66442"/>
    <w:rsid w:val="00D81506"/>
    <w:rsid w:val="00D83C58"/>
    <w:rsid w:val="00D90766"/>
    <w:rsid w:val="00DA7877"/>
    <w:rsid w:val="00DA7E83"/>
    <w:rsid w:val="00DB239F"/>
    <w:rsid w:val="00DB395C"/>
    <w:rsid w:val="00DC2F07"/>
    <w:rsid w:val="00DC55BB"/>
    <w:rsid w:val="00DE1D27"/>
    <w:rsid w:val="00DF123F"/>
    <w:rsid w:val="00DF22AD"/>
    <w:rsid w:val="00DF57DD"/>
    <w:rsid w:val="00DF7DAF"/>
    <w:rsid w:val="00E060C2"/>
    <w:rsid w:val="00E24180"/>
    <w:rsid w:val="00E25C38"/>
    <w:rsid w:val="00E27117"/>
    <w:rsid w:val="00E37E48"/>
    <w:rsid w:val="00E40707"/>
    <w:rsid w:val="00E44395"/>
    <w:rsid w:val="00E45025"/>
    <w:rsid w:val="00E46968"/>
    <w:rsid w:val="00E52078"/>
    <w:rsid w:val="00E671FA"/>
    <w:rsid w:val="00E700DA"/>
    <w:rsid w:val="00E73197"/>
    <w:rsid w:val="00E74085"/>
    <w:rsid w:val="00E74956"/>
    <w:rsid w:val="00E80150"/>
    <w:rsid w:val="00E86CCA"/>
    <w:rsid w:val="00E92076"/>
    <w:rsid w:val="00E932FD"/>
    <w:rsid w:val="00E97A9C"/>
    <w:rsid w:val="00EA0F1B"/>
    <w:rsid w:val="00EA5DC2"/>
    <w:rsid w:val="00EB254F"/>
    <w:rsid w:val="00EC6F6C"/>
    <w:rsid w:val="00ED6971"/>
    <w:rsid w:val="00EE6222"/>
    <w:rsid w:val="00EF2148"/>
    <w:rsid w:val="00F00C52"/>
    <w:rsid w:val="00F03CA8"/>
    <w:rsid w:val="00F046BA"/>
    <w:rsid w:val="00F06819"/>
    <w:rsid w:val="00F07CB2"/>
    <w:rsid w:val="00F12772"/>
    <w:rsid w:val="00F15772"/>
    <w:rsid w:val="00F17C0E"/>
    <w:rsid w:val="00F2079E"/>
    <w:rsid w:val="00F234E3"/>
    <w:rsid w:val="00F27129"/>
    <w:rsid w:val="00F431AA"/>
    <w:rsid w:val="00F526D0"/>
    <w:rsid w:val="00F5407E"/>
    <w:rsid w:val="00F636F9"/>
    <w:rsid w:val="00F701FA"/>
    <w:rsid w:val="00F77110"/>
    <w:rsid w:val="00F83392"/>
    <w:rsid w:val="00F83BA5"/>
    <w:rsid w:val="00FA0D68"/>
    <w:rsid w:val="00FA62B0"/>
    <w:rsid w:val="00FC2EF5"/>
    <w:rsid w:val="00FC3E60"/>
    <w:rsid w:val="00FC46BF"/>
    <w:rsid w:val="00FC518D"/>
    <w:rsid w:val="00FC7A13"/>
    <w:rsid w:val="00FD1CAF"/>
    <w:rsid w:val="00FD1F75"/>
    <w:rsid w:val="00FD3D6B"/>
    <w:rsid w:val="00FD730F"/>
    <w:rsid w:val="00FE20AD"/>
    <w:rsid w:val="00FE24D2"/>
    <w:rsid w:val="00FE59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link w:val="ZkladntextChar"/>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TextpoznmkypodiarouChar"/>
    <w:uiPriority w:val="99"/>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styleId="ListParagraph">
    <w:name w:val="List Paragraph"/>
    <w:basedOn w:val="Normal"/>
    <w:uiPriority w:val="34"/>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0">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styleId="Emphasis">
    <w:name w:val="Emphasis"/>
    <w:uiPriority w:val="20"/>
    <w:qFormat/>
    <w:rsid w:val="004C39AC"/>
    <w:rPr>
      <w:rFonts w:cs="Times New Roman"/>
      <w:i/>
      <w:iCs/>
    </w:rPr>
  </w:style>
  <w:style w:type="character" w:styleId="PageNumber">
    <w:name w:val="page number"/>
    <w:basedOn w:val="DefaultParagraphFont"/>
    <w:rsid w:val="00B12DA5"/>
  </w:style>
  <w:style w:type="character" w:styleId="PlaceholderText0">
    <w:name w:val="Placeholder Text"/>
    <w:semiHidden/>
    <w:rsid w:val="004B72E6"/>
    <w:rPr>
      <w:rFonts w:ascii="Times New Roman" w:hAnsi="Times New Roman"/>
      <w:color w:val="80808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TextpoznmkypodiarouChar">
    <w:name w:val="Text poznámky pod čiarou Char"/>
    <w:link w:val="FootnoteText"/>
    <w:uiPriority w:val="99"/>
    <w:semiHidden/>
    <w:locked/>
    <w:rsid w:val="002916A2"/>
  </w:style>
  <w:style w:type="character" w:customStyle="1" w:styleId="ppp-input-value1">
    <w:name w:val="ppp-input-value1"/>
    <w:rsid w:val="001251A5"/>
    <w:rPr>
      <w:rFonts w:ascii="Tahoma" w:hAnsi="Tahoma"/>
      <w:color w:val="837A73"/>
      <w:sz w:val="16"/>
    </w:rPr>
  </w:style>
  <w:style w:type="paragraph" w:styleId="NoSpacing">
    <w:name w:val="No Spacing"/>
    <w:uiPriority w:val="1"/>
    <w:qFormat/>
    <w:rsid w:val="004162A1"/>
    <w:rPr>
      <w:rFonts w:ascii="Calibri" w:eastAsia="Calibri" w:hAnsi="Calibri"/>
      <w:sz w:val="22"/>
      <w:szCs w:val="22"/>
      <w:lang w:val="sk-SK" w:eastAsia="en-US" w:bidi="ar-SA"/>
    </w:rPr>
  </w:style>
  <w:style w:type="paragraph" w:customStyle="1" w:styleId="Style1">
    <w:name w:val="Style 1"/>
    <w:basedOn w:val="Normal"/>
    <w:uiPriority w:val="99"/>
    <w:rsid w:val="00795BDD"/>
    <w:pPr>
      <w:widowControl w:val="0"/>
      <w:autoSpaceDE w:val="0"/>
      <w:autoSpaceDN w:val="0"/>
      <w:adjustRightInd w:val="0"/>
    </w:pPr>
    <w:rPr>
      <w:rFonts w:eastAsia="Times New Roman"/>
      <w:sz w:val="20"/>
      <w:szCs w:val="20"/>
    </w:rPr>
  </w:style>
  <w:style w:type="character" w:customStyle="1" w:styleId="CharacterStyle1">
    <w:name w:val="Character Style 1"/>
    <w:uiPriority w:val="99"/>
    <w:rsid w:val="00795BDD"/>
    <w:rPr>
      <w:sz w:val="20"/>
    </w:rPr>
  </w:style>
  <w:style w:type="paragraph" w:customStyle="1" w:styleId="Style2">
    <w:name w:val="Style 2"/>
    <w:basedOn w:val="Normal"/>
    <w:uiPriority w:val="99"/>
    <w:rsid w:val="00795BDD"/>
    <w:pPr>
      <w:widowControl w:val="0"/>
      <w:autoSpaceDE w:val="0"/>
      <w:autoSpaceDN w:val="0"/>
      <w:ind w:left="864" w:right="72" w:hanging="360"/>
      <w:jc w:val="both"/>
    </w:pPr>
    <w:rPr>
      <w:rFonts w:eastAsia="Times New Roman"/>
      <w:b/>
      <w:bCs/>
    </w:rPr>
  </w:style>
  <w:style w:type="paragraph" w:customStyle="1" w:styleId="Style4">
    <w:name w:val="Style 4"/>
    <w:basedOn w:val="Normal"/>
    <w:uiPriority w:val="99"/>
    <w:rsid w:val="00795BDD"/>
    <w:pPr>
      <w:widowControl w:val="0"/>
      <w:autoSpaceDE w:val="0"/>
      <w:autoSpaceDN w:val="0"/>
      <w:spacing w:line="290" w:lineRule="auto"/>
      <w:jc w:val="both"/>
    </w:pPr>
    <w:rPr>
      <w:rFonts w:eastAsia="Times New Roman"/>
      <w:sz w:val="23"/>
      <w:szCs w:val="23"/>
    </w:rPr>
  </w:style>
  <w:style w:type="character" w:customStyle="1" w:styleId="h1a1">
    <w:name w:val="h1a1"/>
    <w:rsid w:val="00795BDD"/>
    <w:rPr>
      <w:sz w:val="24"/>
      <w:szCs w:val="24"/>
    </w:rPr>
  </w:style>
  <w:style w:type="paragraph" w:customStyle="1" w:styleId="poznamka">
    <w:name w:val="poznamka"/>
    <w:basedOn w:val="Normal"/>
    <w:rsid w:val="00795BDD"/>
    <w:pPr>
      <w:spacing w:before="100" w:beforeAutospacing="1" w:after="100" w:afterAutospacing="1"/>
    </w:pPr>
    <w:rPr>
      <w:rFonts w:ascii="Tahoma" w:hAnsi="Tahoma" w:cs="Tahoma"/>
      <w:color w:val="000060"/>
      <w:sz w:val="20"/>
      <w:szCs w:val="20"/>
    </w:rPr>
  </w:style>
  <w:style w:type="paragraph" w:customStyle="1" w:styleId="Textkomentra1">
    <w:name w:val="Text komentára1"/>
    <w:basedOn w:val="Normal"/>
    <w:rsid w:val="00334254"/>
    <w:pPr>
      <w:suppressAutoHyphens/>
      <w:spacing w:after="200" w:line="276" w:lineRule="auto"/>
    </w:pPr>
    <w:rPr>
      <w:rFonts w:ascii="Calibri" w:hAnsi="Calibri" w:cs="Calibri"/>
      <w:sz w:val="20"/>
      <w:szCs w:val="20"/>
      <w:lang w:eastAsia="ar-SA"/>
    </w:rPr>
  </w:style>
  <w:style w:type="character" w:customStyle="1" w:styleId="ZkladntextChar">
    <w:name w:val="Základný text Char"/>
    <w:link w:val="BodyText"/>
    <w:rsid w:val="00060006"/>
    <w:rPr>
      <w:rFonts w:ascii="AT*Toronto" w:hAnsi="AT*Toronto"/>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9242-CB4D-4BC6-9736-191A4DF6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2760</Words>
  <Characters>15735</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Výbor</vt:lpstr>
    </vt:vector>
  </TitlesOfParts>
  <Company>Kancelaria NR SR</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15</cp:revision>
  <cp:lastPrinted>2013-10-07T10:50:00Z</cp:lastPrinted>
  <dcterms:created xsi:type="dcterms:W3CDTF">2013-09-05T12:14:00Z</dcterms:created>
  <dcterms:modified xsi:type="dcterms:W3CDTF">2013-10-09T11:45:00Z</dcterms:modified>
</cp:coreProperties>
</file>