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0186" w:rsidRPr="00067462" w:rsidP="00790186">
      <w:pPr>
        <w:bidi w:val="0"/>
        <w:jc w:val="center"/>
        <w:rPr>
          <w:rFonts w:ascii="Times New Roman" w:hAnsi="Times New Roman"/>
          <w:sz w:val="28"/>
          <w:szCs w:val="24"/>
        </w:rPr>
      </w:pPr>
      <w:r w:rsidRPr="00067462">
        <w:rPr>
          <w:rFonts w:ascii="Times New Roman" w:hAnsi="Times New Roman"/>
          <w:sz w:val="28"/>
          <w:szCs w:val="24"/>
        </w:rPr>
        <w:t>DÔVODOVÁ SPRÁVA</w:t>
      </w:r>
    </w:p>
    <w:p w:rsidR="00790186" w:rsidP="00790186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0186" w:rsidRPr="00D73D91" w:rsidP="00790186">
      <w:pPr>
        <w:bidi w:val="0"/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73D91">
        <w:rPr>
          <w:rFonts w:ascii="Times New Roman" w:hAnsi="Times New Roman"/>
          <w:sz w:val="28"/>
          <w:szCs w:val="28"/>
          <w:u w:val="single"/>
        </w:rPr>
        <w:t>A. Všeobecná časť</w:t>
      </w:r>
    </w:p>
    <w:p w:rsidR="00790186" w:rsidP="00790186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90186" w:rsidP="00790186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Návrh zákona o protifašistickom odboji, postavení a pôsobnosti Slovenského zväzu protifašistických bojovníkov predkladá na rokovanie Národnej rady Slovenskej republiky skupina poslancov.</w:t>
      </w:r>
    </w:p>
    <w:p w:rsidR="00790186" w:rsidP="00790186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Cieľom tohto návrhu je právnou normou jednotne upraviť mravne – politickú, historicko – spoločenskú, hodnotovú povahu protifašistického odboja na Slovensku v rokoch 1938 – 1945, odbojového partizánskeho hnutia, pôsobenie príslušníkov slovenského národa a národnosti, občanov v domácom a zahraničnom odboji. Obeťami fašizmu sa stalo priamo aj terorizované civilné obyvateľstvo a to perzekvovaním, väznením, vykonávaním nútených vojnových prác, ako aj ich potomkovia, vojnové vdovy, siroty a ďalšie vojnové obete, bez ohľadu na náboženskú, národnostnú a politickú príslušnosť.</w:t>
      </w:r>
    </w:p>
    <w:p w:rsidR="00790186" w:rsidP="00790186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Doterajšia právna úprava je zakotvená v zákonnej úprave bývalého Československa a to najmä v:</w:t>
      </w:r>
    </w:p>
    <w:p w:rsidR="00790186" w:rsidP="00790186">
      <w:pPr>
        <w:pStyle w:val="ListParagraph"/>
        <w:numPr>
          <w:numId w:val="1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zák. č. 34/1946 Zb., ktorým sa vymedzuje pojem „československý partizán“ v znení zák. č. 88/19</w:t>
      </w:r>
      <w:smartTag w:uri="urn:schemas-microsoft-com:office:smarttags" w:element="PersonName">
        <w:r>
          <w:rPr>
            <w:rFonts w:ascii="Times New Roman" w:hAnsi="Times New Roman"/>
            <w:sz w:val="24"/>
            <w:szCs w:val="24"/>
          </w:rPr>
          <w:t>50</w:t>
        </w:r>
      </w:smartTag>
      <w:r>
        <w:rPr>
          <w:rFonts w:ascii="Times New Roman" w:hAnsi="Times New Roman"/>
          <w:sz w:val="24"/>
          <w:szCs w:val="24"/>
        </w:rPr>
        <w:t xml:space="preserve"> Zb. prijatého 14. februára 1946</w:t>
      </w:r>
    </w:p>
    <w:p w:rsidR="00790186" w:rsidP="00790186">
      <w:pPr>
        <w:pStyle w:val="ListParagraph"/>
        <w:numPr>
          <w:numId w:val="1"/>
        </w:num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zák. č. 255/1946 Zb. o príslušníkoch československej armády v zahraničí a o niektorých iných účastníkoch národného boja za oslobodenie v znení zák. č. 101/1964 Zb.</w:t>
      </w:r>
    </w:p>
    <w:p w:rsidR="00790186" w:rsidP="00790186">
      <w:pPr>
        <w:pStyle w:val="ListParagraph"/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0186" w:rsidRPr="0070405A" w:rsidP="00790186">
      <w:pPr>
        <w:pStyle w:val="ListParagraph"/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Postavenie účastníkov protikomunistického odboja je upravené v zák. č. 219/2006 Zb. </w:t>
      </w:r>
    </w:p>
    <w:p w:rsidR="00790186" w:rsidP="00790186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 protikomunistickom odboji.</w:t>
      </w:r>
    </w:p>
    <w:p w:rsidR="00790186" w:rsidP="00790186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Slovenský zväz protifašistických bojovníkov (ďalej len „zväz“) doposiaľ pôsobí na území Slovenskej republiky ako občianske združenie pôsobiace na základe zák. č. 83/1990 Zb. o združovaní občanov v znení neskorších predpisov. Je historickým a právnym nástupcom po bývalom Československom zväze protifašistických bojovníkov v Slovenskej republike. Združuje priamych účastníkov boja za národné oslobodenie a proti fašizmu, za obranu </w:t>
      </w:r>
    </w:p>
    <w:p w:rsidR="00790186" w:rsidP="00790186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demokracie a sociálnu spravodlivosť, ako aj ostatných občanov Slovenskej republiky, ktorí súhlasia s jeho poslaním, cieľmi, programom, zameraním a stanovami.</w:t>
      </w:r>
    </w:p>
    <w:p w:rsidR="00790186" w:rsidP="00790186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Postavenie účastníkov odboja a bojov za oslobodenie upravujú právne normy aj v iných štátoch (Česká republika, Francúzsko, Belgicko, Poľsko, Španielsko, Taliansko, Nemecko, Rakúsko, Holandsko, Grécko, Maďarsko, Bulharsko, Chorvátsko, Slovinsko), ako aj na medzinárodnej úrovni Medzinárodná federácia odbojárov – protifašistická asociácia so sídlom v Berlíne.</w:t>
      </w:r>
    </w:p>
    <w:p w:rsidR="00790186" w:rsidP="00790186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 podmienkach Slovenskej republiky zväz so svojimi organizačnými zložkami vykonáva aj činnosti z pôsobnosti štátnych orgánov a to na úseku rozvoja národného povedomia, presadzovania demokratického a humánneho odkazu národnooslobodzovacieho hnutia, vysvetľovania a vytvárania pravdivého obrazu o odboji a jeho účastníkoch, na údržbe a úprave pamätných pomníkov, tabúľ, cintorínov, hrobov, ale aj pri organizovaní a rozvoji medzinárodných vzťahov s organizáciami odboja v zahraničí.</w:t>
      </w:r>
    </w:p>
    <w:p w:rsidR="00790186" w:rsidP="00790186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Navrhovaná úprava je v súlade s Ústavou Slovenskej republiky, ústavnými zákonmi, zákonmi a všeobecne záväznými právnymi predpismi, medzinárodnými zmluvami, ktorými je Slovenská republika viazaná.</w:t>
      </w:r>
    </w:p>
    <w:p w:rsidR="00790186" w:rsidP="00790186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Predložený návrh nemá priamy vplyv na rozpočet verejnej správy. Celkový vplyv na verejné financovanie je neutrálny. Rovnako návrh právnej úpravy nepredpokladá negatívny dopad na životné prostredie na miestnej, regionálnej i celoslovenskej úrovni. Návrh nezakladá nárok na tvorbu nových pracovných miest vo verejnej správe ani nepredpokladá vplyv na informatizáciu spoločnosti.</w:t>
      </w:r>
    </w:p>
    <w:p w:rsidR="00790186" w:rsidP="00790186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0186" w:rsidRPr="00D73D91" w:rsidP="00790186">
      <w:pPr>
        <w:bidi w:val="0"/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73D91">
        <w:rPr>
          <w:rFonts w:ascii="Times New Roman" w:hAnsi="Times New Roman"/>
          <w:sz w:val="28"/>
          <w:szCs w:val="28"/>
          <w:u w:val="single"/>
        </w:rPr>
        <w:t>B. Osobitná časť</w:t>
      </w:r>
    </w:p>
    <w:p w:rsidR="00790186" w:rsidP="00790186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C4D13">
        <w:rPr>
          <w:rFonts w:ascii="Times New Roman" w:hAnsi="Times New Roman"/>
          <w:sz w:val="24"/>
          <w:szCs w:val="24"/>
          <w:u w:val="single"/>
        </w:rPr>
        <w:t>Preambula</w:t>
      </w:r>
    </w:p>
    <w:p w:rsidR="00790186" w:rsidP="00790186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návrhu zákona stručná preambula akcentuje postoj Národnej rady Slovenskej republiky k zásluhám osôb, ktoré vystupovali v protifašistickom, protinacistickom odboji, v Slovenskom národnom povstaní, partizánskom hnutí, ako aj v domácom a zahraničnom odboji. Zároveň deklaruje potrebu právnej úpravy postavenia, organizácie a činnosti zväzu.</w:t>
      </w:r>
    </w:p>
    <w:p w:rsidR="00790186" w:rsidP="00790186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§ 1 – upresňuje predmet úpravy a postavenia zväzu.</w:t>
      </w:r>
    </w:p>
    <w:p w:rsidR="00790186" w:rsidP="00790186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§ 2 – špecifikuje účastníka odboja, jeho postavenie vo vzťahu k doterajšej právnej úprave.</w:t>
      </w:r>
    </w:p>
    <w:p w:rsidR="00790186" w:rsidP="00790186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§ 3 – návrh bližšie špecifikuje práva účastníka odboja s odkazom na doterajšiu právnu úpravu.</w:t>
      </w:r>
    </w:p>
    <w:p w:rsidR="00790186" w:rsidP="00790186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§ 4 – osobitná pozornosť je venovaná právnej kvalifikácii a z toho vyplývajúcej úpravy postavenia a pôsobnosti zväzu. Nutnosť tejto úpravy je vyvolaná rozsahom činnosti, ktorú zväz realizuje vo výchovnej sfére, pri materiálnej starostlivosti o pamätníky odboja, cintoríny a hroby osôb, ktoré položili svoj život v tomto boji.</w:t>
      </w:r>
    </w:p>
    <w:p w:rsidR="00790186" w:rsidP="00790186">
      <w:pPr>
        <w:bidi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§ 5 – upravuje organizačnú štruktúru zväzu, ako aj členstva a činnosť jeho orgánov, organizácii a odbojových skupín.</w:t>
      </w:r>
    </w:p>
    <w:p w:rsidR="00790186" w:rsidP="00790186">
      <w:pPr>
        <w:bidi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 § 6 – základnou zásadou hospodárenia zväzu je nakladanie s vlastným majetkom, darmi a zvereným majetkom štátu.</w:t>
      </w:r>
    </w:p>
    <w:p w:rsidR="00790186" w:rsidRPr="004C4D13" w:rsidP="00790186">
      <w:pPr>
        <w:bidi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 § 7 – ide o ustanovenie upravujúce účinnosť zákona. </w:t>
      </w: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DOLOŽKA ZLUČITEĽNOSTI</w:t>
      </w:r>
    </w:p>
    <w:p w:rsidR="00790186" w:rsidP="00790186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PRÁVNEHO PREDPISU S PRÁVOM EURÓPSKEJ ÚNIE</w:t>
      </w:r>
    </w:p>
    <w:p w:rsidR="00790186" w:rsidP="0079018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Predkladateľ návrhu právneho predpisu</w:t>
      </w: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Skupina poslancov Národnej rady Slovenskej republiky</w:t>
      </w: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Názov návrhu právneho predpisu</w:t>
      </w: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zákona o protifašistickom odboji, postavení a pôsobnosti Slovenského zväzu protifašistických bojovníkov</w:t>
      </w: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Problematika návrhu právneho predpisu</w:t>
      </w: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je obsiahnutá v judikatúre Súdneho dvora Európskej únie. Vzhľadom na vnútroštátny charakter navrhovaného právneho predpisu je bezpredmetné vyjadrovať sa k ďalším bodom.</w:t>
      </w: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DOLOŽKA VYBRANÝCH VPLYVOV</w:t>
      </w:r>
    </w:p>
    <w:p w:rsidR="00790186" w:rsidP="0079018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A.1 Názov materiálu: Návrh zákona o protifašistickom odboji, postavení a pôsobnosti Slovenského zväzu protifašistických bojovníkov</w:t>
      </w: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A.2 Vplyvy</w:t>
      </w:r>
    </w:p>
    <w:tbl>
      <w:tblPr>
        <w:tblStyle w:val="TableNormal"/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92"/>
        <w:gridCol w:w="1152"/>
        <w:gridCol w:w="993"/>
        <w:gridCol w:w="1275"/>
      </w:tblGrid>
      <w:tr>
        <w:tblPrEx>
          <w:tblW w:w="69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2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90186" w:rsidRPr="00987D1E" w:rsidP="0079018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90186" w:rsidRPr="00987D1E" w:rsidP="0079018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D1E">
              <w:rPr>
                <w:rFonts w:ascii="Times New Roman" w:hAnsi="Times New Roman"/>
                <w:sz w:val="24"/>
                <w:szCs w:val="24"/>
              </w:rPr>
              <w:t>Pozitívne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90186" w:rsidRPr="00987D1E" w:rsidP="0079018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D1E">
              <w:rPr>
                <w:rFonts w:ascii="Times New Roman" w:hAnsi="Times New Roman"/>
                <w:sz w:val="24"/>
                <w:szCs w:val="24"/>
              </w:rPr>
              <w:t>Žiadne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90186" w:rsidRPr="00987D1E" w:rsidP="0079018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D1E">
              <w:rPr>
                <w:rFonts w:ascii="Times New Roman" w:hAnsi="Times New Roman"/>
                <w:sz w:val="24"/>
                <w:szCs w:val="24"/>
              </w:rPr>
              <w:t>Negatívne</w:t>
            </w:r>
          </w:p>
        </w:tc>
      </w:tr>
      <w:tr>
        <w:tblPrEx>
          <w:tblW w:w="6912" w:type="dxa"/>
          <w:tblLayout w:type="fixed"/>
          <w:tblLook w:val="00A0"/>
        </w:tblPrEx>
        <w:trPr>
          <w:trHeight w:val="968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90186" w:rsidRPr="00987D1E" w:rsidP="0079018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D1E">
              <w:rPr>
                <w:rFonts w:ascii="Times New Roman" w:hAnsi="Times New Roman"/>
                <w:sz w:val="24"/>
                <w:szCs w:val="24"/>
              </w:rPr>
              <w:t>1. Vplyvy na rozpočet verejnej správy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90186" w:rsidRPr="00987D1E" w:rsidP="007901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90186" w:rsidRPr="00987D1E" w:rsidP="007901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1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90186" w:rsidRPr="00987D1E" w:rsidP="0079018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6912" w:type="dxa"/>
          <w:tblLayout w:type="fixed"/>
          <w:tblLook w:val="00A0"/>
        </w:tblPrEx>
        <w:trPr>
          <w:trHeight w:val="1022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90186" w:rsidRPr="00987D1E" w:rsidP="0079018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D1E">
              <w:rPr>
                <w:rFonts w:ascii="Times New Roman" w:hAnsi="Times New Roman"/>
                <w:sz w:val="24"/>
                <w:szCs w:val="24"/>
              </w:rPr>
              <w:t>2. Vplyvy na podnikateľské prostredie – dochádza k zvýšeniu regulačného zaťaženia?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90186" w:rsidRPr="00987D1E" w:rsidP="007901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90186" w:rsidRPr="00987D1E" w:rsidP="007901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1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90186" w:rsidRPr="00987D1E" w:rsidP="0079018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6912" w:type="dxa"/>
          <w:tblLayout w:type="fixed"/>
          <w:tblLook w:val="00A0"/>
        </w:tblPrEx>
        <w:trPr>
          <w:trHeight w:val="968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90186" w:rsidRPr="00987D1E" w:rsidP="0079018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D1E">
              <w:rPr>
                <w:rFonts w:ascii="Times New Roman" w:hAnsi="Times New Roman"/>
                <w:sz w:val="24"/>
                <w:szCs w:val="24"/>
              </w:rPr>
              <w:t>3. Sociálne vplyvy</w:t>
            </w:r>
          </w:p>
          <w:p w:rsidR="00790186" w:rsidRPr="00987D1E" w:rsidP="0079018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D1E">
              <w:rPr>
                <w:rFonts w:ascii="Times New Roman" w:hAnsi="Times New Roman"/>
                <w:sz w:val="24"/>
                <w:szCs w:val="24"/>
              </w:rPr>
              <w:t>- hospodárenie obyvateľstva</w:t>
            </w:r>
          </w:p>
          <w:p w:rsidR="00790186" w:rsidRPr="00987D1E" w:rsidP="0079018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D1E">
              <w:rPr>
                <w:rFonts w:ascii="Times New Roman" w:hAnsi="Times New Roman"/>
                <w:sz w:val="24"/>
                <w:szCs w:val="24"/>
              </w:rPr>
              <w:t>- sociálna exklúzia</w:t>
            </w:r>
          </w:p>
          <w:p w:rsidR="00790186" w:rsidRPr="00987D1E" w:rsidP="0079018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D1E">
              <w:rPr>
                <w:rFonts w:ascii="Times New Roman" w:hAnsi="Times New Roman"/>
                <w:sz w:val="24"/>
                <w:szCs w:val="24"/>
              </w:rPr>
              <w:t xml:space="preserve">- rovnosť príležitostí a rodová   </w:t>
            </w:r>
          </w:p>
          <w:p w:rsidR="00790186" w:rsidRPr="00987D1E" w:rsidP="0079018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D1E">
              <w:rPr>
                <w:rFonts w:ascii="Times New Roman" w:hAnsi="Times New Roman"/>
                <w:sz w:val="24"/>
                <w:szCs w:val="24"/>
              </w:rPr>
              <w:t xml:space="preserve">  rovnosť a vplyvy na  </w:t>
            </w:r>
          </w:p>
          <w:p w:rsidR="00790186" w:rsidRPr="00987D1E" w:rsidP="0079018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D1E">
              <w:rPr>
                <w:rFonts w:ascii="Times New Roman" w:hAnsi="Times New Roman"/>
                <w:sz w:val="24"/>
                <w:szCs w:val="24"/>
              </w:rPr>
              <w:t xml:space="preserve">  nezamestnanosť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90186" w:rsidRPr="00987D1E" w:rsidP="007901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1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90186" w:rsidRPr="00987D1E" w:rsidP="007901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1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90186" w:rsidRPr="00987D1E" w:rsidP="0079018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6912" w:type="dxa"/>
          <w:tblLayout w:type="fixed"/>
          <w:tblLook w:val="00A0"/>
        </w:tblPrEx>
        <w:trPr>
          <w:trHeight w:val="1022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90186" w:rsidRPr="00987D1E" w:rsidP="0079018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D1E">
              <w:rPr>
                <w:rFonts w:ascii="Times New Roman" w:hAnsi="Times New Roman"/>
                <w:sz w:val="24"/>
                <w:szCs w:val="24"/>
              </w:rPr>
              <w:t>4. Vplyvy na životné prostredie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90186" w:rsidRPr="00987D1E" w:rsidP="007901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90186" w:rsidRPr="00987D1E" w:rsidP="007901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1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90186" w:rsidRPr="00987D1E" w:rsidP="0079018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6912" w:type="dxa"/>
          <w:tblLayout w:type="fixed"/>
          <w:tblLook w:val="00A0"/>
        </w:tblPrEx>
        <w:trPr>
          <w:trHeight w:val="1022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90186" w:rsidRPr="00987D1E" w:rsidP="0079018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7D1E">
              <w:rPr>
                <w:rFonts w:ascii="Times New Roman" w:hAnsi="Times New Roman"/>
                <w:sz w:val="24"/>
                <w:szCs w:val="24"/>
              </w:rPr>
              <w:t>5. Vplyvy na informatizáciu spoločnosti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90186" w:rsidRPr="00987D1E" w:rsidP="007901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90186" w:rsidRPr="00987D1E" w:rsidP="0079018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1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90186" w:rsidRPr="00987D1E" w:rsidP="0079018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0186" w:rsidP="00790186">
      <w:pPr>
        <w:bidi w:val="0"/>
        <w:rPr>
          <w:rFonts w:ascii="Times New Roman" w:hAnsi="Times New Roman"/>
          <w:sz w:val="24"/>
          <w:szCs w:val="24"/>
        </w:rPr>
      </w:pP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A.3 Poznámky</w:t>
      </w: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  <w:tab/>
        <w:t>Bezpredmetné</w:t>
      </w: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A.4 Alternatívne riešenia</w:t>
      </w: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Nepredkladajú sa</w:t>
      </w: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A.5 Stanovisko gestorov</w:t>
      </w: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Bezpredmetné</w:t>
      </w:r>
    </w:p>
    <w:p w:rsidR="00790186" w:rsidP="00790186">
      <w:pPr>
        <w:bidi w:val="0"/>
        <w:rPr>
          <w:rFonts w:ascii="Times New Roman" w:hAnsi="Times New Roman"/>
          <w:sz w:val="24"/>
          <w:szCs w:val="24"/>
        </w:rPr>
      </w:pPr>
    </w:p>
    <w:p w:rsidR="00790186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66C3F"/>
    <w:multiLevelType w:val="hybridMultilevel"/>
    <w:tmpl w:val="0810D2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90186"/>
    <w:rsid w:val="00067462"/>
    <w:rsid w:val="004C4D13"/>
    <w:rsid w:val="0070405A"/>
    <w:rsid w:val="00790186"/>
    <w:rsid w:val="00987D1E"/>
    <w:rsid w:val="009F3868"/>
    <w:rsid w:val="00D73D9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0186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rsid w:val="00790186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861</Words>
  <Characters>4913</Characters>
  <Application>Microsoft Office Word</Application>
  <DocSecurity>0</DocSecurity>
  <Lines>0</Lines>
  <Paragraphs>0</Paragraphs>
  <ScaleCrop>false</ScaleCrop>
  <Company>Kancelaria NR SR</Company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Knapp Ján</dc:creator>
  <cp:lastModifiedBy>V</cp:lastModifiedBy>
  <cp:revision>2</cp:revision>
  <dcterms:created xsi:type="dcterms:W3CDTF">2013-09-27T19:22:00Z</dcterms:created>
  <dcterms:modified xsi:type="dcterms:W3CDTF">2013-09-27T19:22:00Z</dcterms:modified>
</cp:coreProperties>
</file>