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ind w:right="-114"/>
        <w:jc w:val="center"/>
        <w:rPr>
          <w:rFonts w:ascii="TimesNewRomanPSMT" w:hAnsi="TimesNewRomanPSMT" w:cs="TimesNewRomanPSMT"/>
          <w:b/>
          <w:color w:val="auto"/>
          <w:sz w:val="28"/>
        </w:rPr>
      </w:pPr>
      <w:r>
        <w:rPr>
          <w:rFonts w:ascii="TimesNewRomanPSMT" w:hAnsi="TimesNewRomanPSMT" w:cs="TimesNewRomanPSMT"/>
          <w:b/>
          <w:color w:val="auto"/>
          <w:sz w:val="28"/>
        </w:rPr>
        <w:t>Doložka vybraných vplyvov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A.1. Názov materiálu:</w:t>
      </w:r>
      <w:r>
        <w:rPr>
          <w:rFonts w:ascii="TimesNewRomanPSMT" w:hAnsi="TimesNewRomanPSMT" w:cs="TimesNewRomanPSMT"/>
          <w:b w:val="0"/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Návrh ústavného zákona o stabilite da</w:t>
      </w:r>
      <w:r>
        <w:rPr>
          <w:rFonts w:ascii="TimesNewRomanPSMT" w:hAnsi="TimesNewRomanPSMT" w:cs="TimesNewRomanPSMT"/>
          <w:b w:val="0"/>
          <w:color w:val="auto"/>
        </w:rPr>
        <w:t>ňového systému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rPr>
          <w:rFonts w:ascii="TimesNewRomanPSMT" w:hAnsi="TimesNewRomanPSMT" w:cs="TimesNewRomanPSMT"/>
          <w:b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A.2. Vplyvy: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rPr>
          <w:rFonts w:ascii="TimesNewRomanPSMT" w:hAnsi="TimesNewRomanPSMT" w:cs="TimesNewRomanPSMT"/>
          <w:b w:val="0"/>
          <w:color w:val="auto"/>
        </w:rPr>
      </w:pPr>
    </w:p>
    <w:tbl>
      <w:tblPr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2268"/>
        <w:gridCol w:w="2160"/>
        <w:gridCol w:w="2160"/>
        <w:gridCol w:w="2160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</w:rPr>
              <w:t>Pozitívne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superscript"/>
              </w:rPr>
              <w:t>*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Žiadne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Negatívne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superscript"/>
              </w:rPr>
              <w:t>*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1. Vplyvy na rozpo</w:t>
            </w:r>
            <w:r>
              <w:rPr>
                <w:rFonts w:ascii="TimesNewRomanPSMT" w:hAnsi="TimesNewRomanPSMT" w:cs="TimesNewRomanPSMT"/>
                <w:b w:val="0"/>
                <w:color w:val="auto"/>
                <w:vertAlign w:val="baseline"/>
              </w:rPr>
              <w:t>čet verejnej správy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2. Vplyvy na podnikate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 xml:space="preserve">3. Sociálne vplyvy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– vplyvy  na hospodárenie obyvate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ľstva,</w:t>
            </w:r>
          </w:p>
          <w:p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- sociálnu exklúziu,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- rovnos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5. Vplyvy na informatizáciu spolo</w:t>
            </w: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  <w:r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right w:w="100" w:type="dxa"/>
            </w:tcMar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280" w:lineRule="atLeast"/>
              <w:ind w:right="-6"/>
              <w:jc w:val="center"/>
              <w:rPr>
                <w:rFonts w:ascii="TimesNewRomanPSMT" w:hAnsi="TimesNewRomanPSMT" w:cs="TimesNewRomanPSMT"/>
                <w:b w:val="0"/>
                <w:i w:val="0"/>
                <w:color w:val="auto"/>
                <w:vertAlign w:val="baseline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line="280" w:lineRule="atLeast"/>
        <w:ind w:right="0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sz w:val="16"/>
          <w:vertAlign w:val="baseline"/>
        </w:rPr>
        <w:t>*</w:t>
      </w:r>
      <w:r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  <w:t xml:space="preserve"> Predkladate</w:t>
      </w:r>
      <w:r>
        <w:rPr>
          <w:rFonts w:ascii="TimesNewRomanPSMT" w:hAnsi="TimesNewRomanPSMT" w:cs="TimesNewRomanPSMT"/>
          <w:b w:val="0"/>
          <w:i w:val="0"/>
          <w:color w:val="auto"/>
          <w:sz w:val="16"/>
          <w:vertAlign w:val="baseline"/>
        </w:rPr>
        <w:t>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 xml:space="preserve">A.3. Poznámky  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Nepredpokladá sa, že navrhovaná právna úprava bude ma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ť vplyv  na rozpočet verejnej správy, nakoľko navrhovaná právna úprava neprináša žiadne zmeny v daňovom systéme, iba potvrdzuje súčasný stav úpravy daňového zaťaženia fyzických a právnických osôb v Slovenskej republike.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Navrhovaný ústavný zákon bude ma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ť pozitívny vplyv na podnikateľské prostredie nakoľko stanovenie maximálnej sadzby vybraných daní vysiela podnikateľom pozitívny signál o stabilite daňového systému v Slovenskej republike.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Stabilný a preh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ľadný daňový systém pozitívne ovplyvní zamestnanosť v Slovenskej republike.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Nepredpokladá sa, že navrhovaná právna úprava bude ma</w:t>
      </w: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 xml:space="preserve">ť vplyv na životné prostredie a na informatizáciu spoločnosti.  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>A.4. Alternatívne riešenia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 w:val="0"/>
          <w:i w:val="0"/>
          <w:color w:val="auto"/>
          <w:vertAlign w:val="baseline"/>
        </w:rPr>
        <w:t>Žiadne.</w:t>
      </w: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 w:val="0"/>
          <w:i w:val="0"/>
          <w:color w:val="auto"/>
          <w:vertAlign w:val="baseline"/>
        </w:rPr>
      </w:pPr>
    </w:p>
    <w:p>
      <w:pPr>
        <w:widowControl w:val="0"/>
        <w:autoSpaceDE w:val="0"/>
        <w:autoSpaceDN w:val="0"/>
        <w:adjustRightInd w:val="0"/>
        <w:spacing w:line="280" w:lineRule="atLeast"/>
        <w:ind w:right="-6"/>
        <w:jc w:val="both"/>
        <w:rPr>
          <w:rFonts w:ascii="TimesNewRomanPSMT" w:hAnsi="TimesNewRomanPSMT" w:cs="TimesNewRomanPSMT"/>
          <w:b/>
          <w:i w:val="0"/>
          <w:color w:val="auto"/>
          <w:vertAlign w:val="baseline"/>
        </w:rPr>
      </w:pPr>
      <w:r>
        <w:rPr>
          <w:rFonts w:ascii="TimesNewRomanPSMT" w:hAnsi="TimesNewRomanPSMT" w:cs="TimesNewRomanPSMT"/>
          <w:b/>
          <w:i w:val="0"/>
          <w:color w:val="auto"/>
          <w:vertAlign w:val="baseline"/>
        </w:rPr>
        <w:t>A.5. Stanovisko gestorov</w:t>
      </w:r>
    </w:p>
    <w:sectPr>
      <w:pgSz w:w="11900" w:h="16840"/>
      <w:pgMar w:top="1417" w:right="1417" w:bottom="1417" w:left="1417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charset w:val="00"/>
    <w:family w:val="roma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akss</dc:creator>
  <cp:revision>0</cp:revision>
</cp:coreProperties>
</file>