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o:bwmode="white" filled="t"/>
  </w:background>
  <w:body>
    <w:p w:rsidR="005D5DEA" w:rsidRPr="00686CB8">
      <w:pPr>
        <w:bidi w:val="0"/>
        <w:spacing w:line="240" w:lineRule="auto"/>
        <w:contextualSpacing w:val="0"/>
        <w:jc w:val="center"/>
        <w:rPr>
          <w:sz w:val="24"/>
          <w:szCs w:val="24"/>
        </w:rPr>
      </w:pPr>
      <w:r w:rsidRPr="00686CB8" w:rsidR="007D60ED">
        <w:rPr>
          <w:rFonts w:ascii="Times New Roman" w:hAnsi="Times New Roman" w:cs="Times New Roman"/>
          <w:b/>
          <w:smallCaps/>
          <w:sz w:val="24"/>
          <w:szCs w:val="24"/>
        </w:rPr>
        <w:t>DOLOŽKA</w:t>
      </w:r>
    </w:p>
    <w:p w:rsidR="005D5DEA" w:rsidRPr="00686CB8">
      <w:pPr>
        <w:bidi w:val="0"/>
        <w:spacing w:line="240" w:lineRule="auto"/>
        <w:contextualSpacing w:val="0"/>
        <w:jc w:val="center"/>
        <w:rPr>
          <w:sz w:val="24"/>
          <w:szCs w:val="24"/>
        </w:rPr>
      </w:pPr>
      <w:r w:rsidRPr="00686CB8" w:rsidR="007D60ED">
        <w:rPr>
          <w:rFonts w:ascii="Times New Roman" w:hAnsi="Times New Roman" w:cs="Times New Roman"/>
          <w:b/>
          <w:sz w:val="24"/>
          <w:szCs w:val="24"/>
        </w:rPr>
        <w:t>vybraných vplyvov</w:t>
      </w:r>
    </w:p>
    <w:p w:rsidR="005D5DEA">
      <w:pPr>
        <w:bidi w:val="0"/>
        <w:contextualSpacing w:val="0"/>
      </w:pPr>
    </w:p>
    <w:p w:rsidR="005D5DEA">
      <w:pPr>
        <w:bidi w:val="0"/>
        <w:contextualSpacing w:val="0"/>
        <w:jc w:val="both"/>
      </w:pPr>
      <w:r w:rsidR="007D60ED">
        <w:rPr>
          <w:rFonts w:ascii="Times New Roman" w:hAnsi="Times New Roman" w:cs="Times New Roman"/>
          <w:b/>
        </w:rPr>
        <w:t xml:space="preserve">A.1. Názov materiálu: </w:t>
      </w:r>
      <w:r w:rsidR="007D60ED">
        <w:rPr>
          <w:rFonts w:ascii="Times New Roman" w:hAnsi="Times New Roman" w:cs="Times New Roman"/>
        </w:rPr>
        <w:t xml:space="preserve"> Návrh zákona o organizovaní verejných športových podujatí a o zmene a doplnení niektorých zákonov.</w:t>
      </w:r>
    </w:p>
    <w:p w:rsidR="005D5DEA">
      <w:pPr>
        <w:bidi w:val="0"/>
        <w:contextualSpacing w:val="0"/>
        <w:jc w:val="both"/>
      </w:pPr>
    </w:p>
    <w:p w:rsidR="005D5DEA">
      <w:pPr>
        <w:bidi w:val="0"/>
        <w:contextualSpacing w:val="0"/>
        <w:jc w:val="both"/>
      </w:pPr>
      <w:bookmarkStart w:id="0" w:name="h.gjdgxs" w:colFirst="0" w:colLast="0"/>
      <w:bookmarkEnd w:id="0"/>
      <w:r w:rsidR="007D60ED">
        <w:rPr>
          <w:rFonts w:ascii="Times New Roman" w:hAnsi="Times New Roman" w:cs="Times New Roman"/>
          <w:b/>
        </w:rPr>
        <w:t>Termín začatia a ukončenia PPK:</w:t>
      </w:r>
      <w:r w:rsidR="007D60ED">
        <w:rPr>
          <w:rFonts w:ascii="Times New Roman" w:hAnsi="Times New Roman" w:cs="Times New Roman"/>
        </w:rPr>
        <w:t xml:space="preserve"> -  </w:t>
      </w:r>
    </w:p>
    <w:p w:rsidR="005D5DEA">
      <w:pPr>
        <w:bidi w:val="0"/>
        <w:contextualSpacing w:val="0"/>
        <w:jc w:val="both"/>
      </w:pPr>
    </w:p>
    <w:p w:rsidR="005D5DEA">
      <w:pPr>
        <w:bidi w:val="0"/>
        <w:contextualSpacing w:val="0"/>
        <w:jc w:val="both"/>
      </w:pPr>
      <w:r w:rsidR="007D60ED">
        <w:rPr>
          <w:rFonts w:ascii="Times New Roman" w:hAnsi="Times New Roman" w:cs="Times New Roman"/>
          <w:b/>
        </w:rPr>
        <w:t>A.2. Vplyvy:</w:t>
      </w:r>
    </w:p>
    <w:tbl>
      <w:tblPr>
        <w:tblStyle w:val="TableNormal"/>
        <w:tblW w:w="933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Pr>
      <w:tblGrid>
        <w:gridCol w:w="5730"/>
        <w:gridCol w:w="1200"/>
        <w:gridCol w:w="1200"/>
        <w:gridCol w:w="1200"/>
      </w:tblGrid>
      <w:tr>
        <w:tblPrEx>
          <w:tblW w:w="9330" w:type="dxa"/>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 Pozitívne </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 Žiadne </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 Negatívne </w:t>
            </w:r>
          </w:p>
        </w:tc>
      </w:tr>
      <w:tr>
        <w:tblPrEx>
          <w:tblW w:w="9330" w:type="dxa"/>
          <w:tblInd w:w="-2" w:type="dxa"/>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r w:rsidR="007D60ED">
              <w:rPr>
                <w:rFonts w:ascii="Times New Roman" w:hAnsi="Times New Roman" w:cs="Times New Roman"/>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Pr="00EA6C04" w:rsidR="00EA6C04">
              <w:rPr>
                <w:rFonts w:ascii="Times New Roman" w:hAnsi="Times New Roman" w:cs="Times New Roman"/>
              </w:rPr>
              <w:t>x</w:t>
            </w:r>
          </w:p>
        </w:tc>
      </w:tr>
      <w:tr>
        <w:tblPrEx>
          <w:tblW w:w="9330" w:type="dxa"/>
          <w:tblInd w:w="-2" w:type="dxa"/>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r w:rsidR="007D60ED">
              <w:rPr>
                <w:rFonts w:ascii="Times New Roman" w:hAnsi="Times New Roman" w:cs="Times New Roman"/>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r>
      <w:tr>
        <w:tblPrEx>
          <w:tblW w:w="9330" w:type="dxa"/>
          <w:tblInd w:w="-2" w:type="dxa"/>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r w:rsidR="007D60ED">
              <w:rPr>
                <w:rFonts w:ascii="Times New Roman" w:hAnsi="Times New Roman" w:cs="Times New Roman"/>
              </w:rPr>
              <w:t>3. Sociálne vplyvy</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r>
      <w:tr>
        <w:tblPrEx>
          <w:tblW w:w="9330" w:type="dxa"/>
          <w:tblInd w:w="-2" w:type="dxa"/>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numPr>
                <w:numId w:val="4"/>
              </w:numPr>
              <w:bidi w:val="0"/>
              <w:spacing w:after="0"/>
              <w:ind w:hanging="358"/>
              <w:rPr>
                <w:rFonts w:ascii="Times New Roman" w:hAnsi="Times New Roman" w:cs="Times New Roman"/>
              </w:rPr>
            </w:pPr>
            <w:r w:rsidR="007D60ED">
              <w:rPr>
                <w:rFonts w:ascii="Times New Roman" w:hAnsi="Times New Roman" w:cs="Times New Roman"/>
              </w:rPr>
              <w:t>vplyvy na hospodárenie obyvateľstva,</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p>
        </w:tc>
      </w:tr>
      <w:tr>
        <w:tblPrEx>
          <w:tblW w:w="9330" w:type="dxa"/>
          <w:tblInd w:w="-2" w:type="dxa"/>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numPr>
                <w:numId w:val="2"/>
              </w:numPr>
              <w:bidi w:val="0"/>
              <w:spacing w:after="0"/>
              <w:ind w:hanging="358"/>
              <w:rPr>
                <w:rFonts w:ascii="Times New Roman" w:hAnsi="Times New Roman" w:cs="Times New Roman"/>
              </w:rPr>
            </w:pPr>
            <w:r w:rsidR="007D60ED">
              <w:rPr>
                <w:rFonts w:ascii="Times New Roman" w:hAnsi="Times New Roman" w:cs="Times New Roman"/>
              </w:rPr>
              <w:t>sociálnu exklúziu,</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r>
      <w:tr>
        <w:tblPrEx>
          <w:tblW w:w="9330" w:type="dxa"/>
          <w:tblInd w:w="-2" w:type="dxa"/>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numPr>
                <w:numId w:val="3"/>
              </w:numPr>
              <w:bidi w:val="0"/>
              <w:spacing w:after="0"/>
              <w:ind w:hanging="358"/>
              <w:rPr>
                <w:rFonts w:ascii="Times New Roman" w:hAnsi="Times New Roman" w:cs="Times New Roman"/>
              </w:rPr>
            </w:pPr>
            <w:r w:rsidR="007D60ED">
              <w:rPr>
                <w:rFonts w:ascii="Times New Roman" w:hAnsi="Times New Roman" w:cs="Times New Roman"/>
              </w:rPr>
              <w:t>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r>
      <w:tr>
        <w:tblPrEx>
          <w:tblW w:w="9330" w:type="dxa"/>
          <w:tblInd w:w="-2" w:type="dxa"/>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r w:rsidR="007D60ED">
              <w:rPr>
                <w:rFonts w:ascii="Times New Roman" w:hAnsi="Times New Roman" w:cs="Times New Roman"/>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r>
      <w:tr>
        <w:tblPrEx>
          <w:tblW w:w="9330" w:type="dxa"/>
          <w:tblInd w:w="-2" w:type="dxa"/>
          <w:tblLayout w:type="fixed"/>
          <w:tblCellMar>
            <w:left w:w="10" w:type="dxa"/>
            <w:right w:w="10" w:type="dxa"/>
          </w:tblCellMar>
        </w:tblPrEx>
        <w:tc>
          <w:tcPr>
            <w:tcW w:w="573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pPr>
            <w:r w:rsidR="007D60ED">
              <w:rPr>
                <w:rFonts w:ascii="Times New Roman" w:hAnsi="Times New Roman" w:cs="Times New Roman"/>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r w:rsidR="007D60ED">
              <w:rPr>
                <w:rFonts w:ascii="Times New Roman" w:hAnsi="Times New Roman" w:cs="Times New Roman"/>
              </w:rPr>
              <w:t>x</w:t>
            </w: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c>
          <w:tcPr>
            <w:tcW w:w="1200" w:type="dxa"/>
            <w:tcBorders>
              <w:top w:val="single" w:sz="6" w:space="0" w:color="000000"/>
              <w:left w:val="single" w:sz="6" w:space="0" w:color="000000"/>
              <w:bottom w:val="single" w:sz="6" w:space="0" w:color="000000"/>
              <w:right w:val="single" w:sz="6" w:space="0" w:color="000000"/>
            </w:tcBorders>
            <w:tcMar>
              <w:top w:w="100" w:type="dxa"/>
              <w:left w:w="0" w:type="dxa"/>
              <w:bottom w:w="100" w:type="dxa"/>
              <w:right w:w="0" w:type="dxa"/>
            </w:tcMar>
            <w:textDirection w:val="lrTb"/>
            <w:vAlign w:val="center"/>
          </w:tcPr>
          <w:p w:rsidR="005D5DEA">
            <w:pPr>
              <w:bidi w:val="0"/>
              <w:spacing w:after="0"/>
              <w:contextualSpacing w:val="0"/>
              <w:jc w:val="center"/>
            </w:pPr>
          </w:p>
        </w:tc>
      </w:tr>
    </w:tbl>
    <w:p w:rsidR="005D5DEA">
      <w:pPr>
        <w:bidi w:val="0"/>
        <w:contextualSpacing w:val="0"/>
      </w:pPr>
      <w:r w:rsidR="007D60ED">
        <w:rPr>
          <w:rFonts w:ascii="Times New Roman" w:hAnsi="Times New Roman" w:cs="Times New Roman"/>
        </w:rPr>
        <w:t> </w:t>
      </w:r>
    </w:p>
    <w:p w:rsidR="005D5DEA">
      <w:pPr>
        <w:bidi w:val="0"/>
        <w:spacing w:line="360" w:lineRule="auto"/>
        <w:contextualSpacing w:val="0"/>
      </w:pPr>
      <w:r w:rsidR="007D60ED">
        <w:rPr>
          <w:rFonts w:ascii="Times New Roman" w:hAnsi="Times New Roman" w:cs="Times New Roman"/>
          <w:b/>
        </w:rPr>
        <w:t>Analýza vplyvov</w:t>
      </w:r>
    </w:p>
    <w:p w:rsidR="00EA6C04" w:rsidP="00EA6C04">
      <w:pPr>
        <w:bidi w:val="0"/>
        <w:spacing w:after="180"/>
        <w:contextualSpacing w:val="0"/>
        <w:jc w:val="both"/>
        <w:rPr>
          <w:rFonts w:ascii="Times New Roman" w:hAnsi="Times New Roman" w:cs="Times New Roman"/>
        </w:rPr>
      </w:pPr>
      <w:r w:rsidR="007D60ED">
        <w:rPr>
          <w:rFonts w:ascii="Times New Roman" w:hAnsi="Times New Roman" w:cs="Times New Roman"/>
        </w:rPr>
        <w:tab/>
        <w:t xml:space="preserve">Pozitívny dopad na štátny rozpočet bude dôsledkom zníženia počtu rizikových podujatí a počtu príslušníkov Policajného zboru, ktorí budú musieť byť z dôvodu konania podujatí nasadení alebo v pohotovosti (personálne náklady navyše zvyšuje skutočnosť, že tieto podujatia sa konajú väčšinou v deň pracovného pokoja) s čím je spojené zníženie nákladov na prípravu, presun a použitie technických prostriedkov z dôvodu zabezpečenia verejného poriadku na verejných podujatiach, ako aj pri presune fanúšikov. </w:t>
      </w:r>
    </w:p>
    <w:p w:rsidR="005D5DEA" w:rsidP="00EA6C04">
      <w:pPr>
        <w:bidi w:val="0"/>
        <w:spacing w:after="180"/>
        <w:ind w:firstLine="720"/>
        <w:contextualSpacing w:val="0"/>
        <w:jc w:val="both"/>
      </w:pPr>
      <w:r w:rsidR="007D60ED">
        <w:rPr>
          <w:rFonts w:ascii="Times New Roman" w:hAnsi="Times New Roman" w:cs="Times New Roman"/>
        </w:rPr>
        <w:t>Za prínos z pohľadu verejných financií je možné považovať aj to, že Policajný zbor si bude môcť v prípade vynúteného zásahu v športovom zariadení, ktorého dôvodom je hrubé zanedbanie povinnosti organizátora, uplatniť účelne vynaložené náklady na tento zásah. To isté bude platiť aj pri zásahu obecnej polície. Zákon upravuje možnosť, že Policajný zbor alebo obecná polícia budú na základe odplatnej zmluvy poskytovať súčinnosť pri výkone usporiadateľskej služby aj na štadióne (nie iba v jeho okolí) a to najmä pri medzinárodných a rizikových podujatiach.</w:t>
      </w:r>
    </w:p>
    <w:p w:rsidR="005D5DEA" w:rsidP="00EA6C04">
      <w:pPr>
        <w:bidi w:val="0"/>
        <w:spacing w:after="180"/>
        <w:ind w:firstLine="720"/>
        <w:contextualSpacing w:val="0"/>
        <w:jc w:val="both"/>
      </w:pPr>
      <w:r w:rsidR="007D60ED">
        <w:rPr>
          <w:rFonts w:ascii="Times New Roman" w:hAnsi="Times New Roman" w:cs="Times New Roman"/>
        </w:rPr>
        <w:t>Pozitívny dopad na štátny rozpočet bude mať aj to, že v dôsledku presunu právomoci na prejednanie priestupkov diváckeho násilia z obcí na Policajný zbor, a presunu právomoci na konanie o správnych deliktoch organizátorov (klubov), z obcí na okresný úrad, príjmy z pokút uložených za porušenie povinností ustanovených v navrhovanom zákone (za priestupok alebo správny delikt) organizátorovi, členovi usporiadateľskej služby, divákovi a ďalším subjektom zodpovedným za riadny priebeh podujatia, budú príjmom štátneho rozpočtu.</w:t>
      </w:r>
    </w:p>
    <w:p w:rsidR="00EA6C04" w:rsidP="00EA6C04">
      <w:pPr>
        <w:bidi w:val="0"/>
        <w:spacing w:after="180"/>
        <w:contextualSpacing w:val="0"/>
        <w:jc w:val="both"/>
        <w:rPr>
          <w:rFonts w:ascii="Times New Roman" w:hAnsi="Times New Roman" w:cs="Times New Roman"/>
        </w:rPr>
      </w:pPr>
      <w:r w:rsidR="007D60ED">
        <w:rPr>
          <w:rFonts w:ascii="Times New Roman" w:hAnsi="Times New Roman" w:cs="Times New Roman"/>
        </w:rPr>
        <w:tab/>
        <w:t>Polovica z týchto príjmov z pokút, ako aj polovica z príjmov z pokút uložených športovým klubom alebo iným členom SFZ národnými športovými zväzmi v disciplinárnom konaní za hrubé nešportové správanie divákov bude použitá na financovanie informačného systému o bezpečnosti na športových podujatiach. Na druhej strane však vybavovanie tejto agendy Policajným zborom môže priniesť zvýšené personálne nároky.</w:t>
      </w:r>
    </w:p>
    <w:p w:rsidR="005D5DEA" w:rsidP="00EA6C04">
      <w:pPr>
        <w:bidi w:val="0"/>
        <w:spacing w:after="180"/>
        <w:ind w:firstLine="720"/>
        <w:contextualSpacing w:val="0"/>
        <w:jc w:val="both"/>
      </w:pPr>
      <w:r w:rsidRPr="00EA6C04" w:rsidR="00EA6C04">
        <w:rPr>
          <w:rFonts w:ascii="Times New Roman" w:hAnsi="Times New Roman" w:cs="Times New Roman"/>
        </w:rPr>
        <w:t>Prípadný negatívny vplyv na rozpočet verejnej správy bude zabezpečený v rámci schválených limitov výdavkov a počtu zamestnancov dotknutých subjektov rozpočtu verejnej správy na jednotlivé roky bez dodatočných požiadaviek na rozpočet.</w:t>
      </w:r>
    </w:p>
    <w:p w:rsidR="005D5DEA" w:rsidP="00EA6C04">
      <w:pPr>
        <w:bidi w:val="0"/>
        <w:spacing w:after="180"/>
        <w:contextualSpacing w:val="0"/>
        <w:jc w:val="both"/>
      </w:pPr>
      <w:r w:rsidR="007D60ED">
        <w:rPr>
          <w:rFonts w:ascii="Times New Roman" w:hAnsi="Times New Roman" w:cs="Times New Roman"/>
        </w:rPr>
        <w:tab/>
        <w:t>Navrhovaný zákon zrejme bude mať mierny negatívny dopad na rozpočty obcí v dôsledku presunu právomocí na prejednanie priestupkov a správnych deliktov z obcí na Policajný zbor a okresný úrad. Tento presun je však z vecného hľadiska nevyhnutný v dôsledku identifikácie konfliktu záujmov obcí a športových klubov v pomerne bežne vyskytujúcich sa situáciách, keď je obec spolumajiteľom (akcionárom) alebo významným sponzorom organizátora (klubu), ktorý je často podporovaný obcami dotáciami najmä na mládežnícky futbal. To bol zrejme jeden z logických dôvodov toho, že obce športovým klubom pokuty ukladali skôr výnimočne. V systéme regulácie uvedené spôsobilo to, že sankčný nástroj (pokuty) na vytvorenie tlaku na športové kluby zo strany obcí, aby dodržiavali zákon č. 479/2008 Z.z. sa nevyužíval v takom počte prípadov ako sa mohol a mal.</w:t>
      </w:r>
    </w:p>
    <w:p w:rsidR="005D5DEA" w:rsidP="00EA6C04">
      <w:pPr>
        <w:bidi w:val="0"/>
        <w:spacing w:after="180"/>
        <w:ind w:firstLine="720"/>
        <w:contextualSpacing w:val="0"/>
        <w:jc w:val="both"/>
      </w:pPr>
      <w:r w:rsidR="007D60ED">
        <w:rPr>
          <w:rFonts w:ascii="Times New Roman" w:hAnsi="Times New Roman" w:cs="Times New Roman"/>
        </w:rPr>
        <w:t>S ohľadom na počet obcí v Slovenskej republike a najmä na to, že v SR zatiaľ neexistuje efektívny systém zberu dát o uložených sankciách (pokutách) obcami SR organizátorom podujatí (klubom) za správne delikty alebo fanúšikom za priestupky, objektívne nebolo možné vyčísliť negatívny vplyv uvedeného presunu právomoci na rozpočty obcí. V tej súvislosti je potrebné uviesť, že časť priestupkov, ku ktorým dochádzalo v súvislosti so športovými podujatiami bola postihovaná podľa zákona č. 372/1990 Zb. o priestupkoch (ako bežné priestupky proti verejnému poriadku, občianskemu spolunažívaniu alebo majetku) a časť bola postihovaná ako priestupky podľa osobitného zákona č. 479/2008 Z. z. Aj táto skutočnosť mala za následok, že medzi desiatkami tisícov bežných priestupkov proti verejnému poriadku, občianskemu spolunažívaniu alebo majetku bez preskúmania merita každého jedného vydaného rozhodnutia, nebolo možné identifikovať a kvantifikovať počet priestupkov relevantných z pohľadu predmetnej právnej úpravy a ani výšku uložených pokút. Nová právna úprava, resp. informačný systém o bezpečnosti na športových podujatiach prinesie presný prehľad o počte a druhu deliktov, ku ktorým dochádza v súvislosti so  športovými podujatiami, či zo strany divákov alebo aj zo strany organizátorov.</w:t>
      </w:r>
    </w:p>
    <w:p w:rsidR="005D5DEA" w:rsidP="00EA6C04">
      <w:pPr>
        <w:bidi w:val="0"/>
        <w:spacing w:after="180"/>
        <w:ind w:firstLine="720"/>
        <w:contextualSpacing w:val="0"/>
        <w:jc w:val="both"/>
      </w:pPr>
      <w:r w:rsidR="007D60ED">
        <w:rPr>
          <w:rFonts w:ascii="Times New Roman" w:hAnsi="Times New Roman" w:cs="Times New Roman"/>
        </w:rPr>
        <w:t xml:space="preserve">Podľa známych informácií by negatívny vplyv na rozpočty obcí nemal byť zásadný. </w:t>
      </w:r>
    </w:p>
    <w:p w:rsidR="005D5DEA" w:rsidP="00EA6C04">
      <w:pPr>
        <w:bidi w:val="0"/>
        <w:spacing w:after="180"/>
        <w:ind w:firstLine="720"/>
        <w:contextualSpacing w:val="0"/>
        <w:jc w:val="both"/>
      </w:pPr>
      <w:r w:rsidR="007D60ED">
        <w:rPr>
          <w:rFonts w:ascii="Times New Roman" w:hAnsi="Times New Roman" w:cs="Times New Roman"/>
        </w:rPr>
        <w:t>Na druhej strane z hľadiska finančných a personálnych nárokov bude pre obce pozitívne, že už nebudú personálne zabezpečovať vybavovanie agendy správnych deliktov a priestupkov súvisiacich s verejným športovým podujatím svojimi úradníkmi.</w:t>
      </w:r>
    </w:p>
    <w:p w:rsidR="005D5DEA" w:rsidP="00EA6C04">
      <w:pPr>
        <w:bidi w:val="0"/>
        <w:spacing w:after="180"/>
        <w:contextualSpacing w:val="0"/>
        <w:jc w:val="both"/>
      </w:pPr>
      <w:r w:rsidR="007D60ED">
        <w:rPr>
          <w:rFonts w:ascii="Times New Roman" w:hAnsi="Times New Roman" w:cs="Times New Roman"/>
        </w:rPr>
        <w:tab/>
        <w:t>Navrhovaný zákon nebude mať negatívny dopad na rozpočty vyšších územných celkov, na životné prostredie a na zamestnanosť.</w:t>
      </w:r>
    </w:p>
    <w:p w:rsidR="005D5DEA" w:rsidP="00EA6C04">
      <w:pPr>
        <w:bidi w:val="0"/>
        <w:spacing w:after="180"/>
        <w:contextualSpacing w:val="0"/>
        <w:jc w:val="both"/>
      </w:pPr>
      <w:r w:rsidR="007D60ED">
        <w:rPr>
          <w:rFonts w:ascii="Times New Roman" w:hAnsi="Times New Roman" w:cs="Times New Roman"/>
        </w:rPr>
        <w:tab/>
        <w:t>Analýzu vplyvov na rozpočet verejnej správy nie je možné vypracovať z dôvodu absencie údajov z minulých období, ktoré sú potrebné na vyčíslenie vplyvov v súlade s Jednotnou metodikou na posudzovanie vybraných vplyvov.</w:t>
      </w:r>
    </w:p>
    <w:p w:rsidR="005D5DEA">
      <w:pPr>
        <w:bidi w:val="0"/>
        <w:contextualSpacing w:val="0"/>
      </w:pPr>
    </w:p>
    <w:tbl>
      <w:tblPr>
        <w:tblStyle w:val="TableNormal"/>
        <w:tblW w:w="9366"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Pr>
      <w:tblGrid>
        <w:gridCol w:w="3696"/>
        <w:gridCol w:w="5670"/>
      </w:tblGrid>
      <w:tr>
        <w:tblPrEx>
          <w:tblW w:w="9366"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PrEx>
        <w:trPr>
          <w:trHeight w:val="600"/>
        </w:trPr>
        <w:tc>
          <w:tcPr>
            <w:tcW w:w="3696" w:type="dxa"/>
            <w:tcBorders>
              <w:top w:val="single" w:sz="8" w:space="0" w:color="000000"/>
              <w:left w:val="single" w:sz="8" w:space="0" w:color="000000"/>
              <w:bottom w:val="single" w:sz="8" w:space="0" w:color="000000"/>
              <w:right w:val="single" w:sz="8" w:space="0" w:color="000000"/>
            </w:tcBorders>
            <w:shd w:val="clear" w:color="auto" w:fill="000000"/>
            <w:tcMar>
              <w:top w:w="100" w:type="dxa"/>
              <w:left w:w="70" w:type="dxa"/>
              <w:bottom w:w="100" w:type="dxa"/>
              <w:right w:w="70" w:type="dxa"/>
            </w:tcMar>
            <w:textDirection w:val="lrTb"/>
            <w:vAlign w:val="center"/>
          </w:tcPr>
          <w:p w:rsidR="005D5DEA">
            <w:pPr>
              <w:bidi w:val="0"/>
              <w:spacing w:after="0"/>
              <w:contextualSpacing w:val="0"/>
              <w:jc w:val="center"/>
            </w:pPr>
            <w:r w:rsidR="007D60ED">
              <w:rPr>
                <w:rFonts w:ascii="Times New Roman" w:hAnsi="Times New Roman" w:cs="Times New Roman"/>
                <w:b/>
                <w:color w:val="FFFFFF"/>
              </w:rPr>
              <w:t>Vplyvy na podnikateľské prostredie</w:t>
            </w:r>
          </w:p>
        </w:tc>
        <w:tc>
          <w:tcPr>
            <w:tcW w:w="5670"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top"/>
          </w:tcPr>
          <w:p w:rsidR="005D5DEA">
            <w:pPr>
              <w:bidi w:val="0"/>
              <w:spacing w:after="200"/>
              <w:contextualSpacing w:val="0"/>
            </w:pPr>
          </w:p>
        </w:tc>
      </w:tr>
      <w:tr>
        <w:tblPrEx>
          <w:tblW w:w="9366" w:type="dxa"/>
          <w:tblInd w:w="60" w:type="dxa"/>
          <w:tblLayout w:type="fixed"/>
          <w:tblCellMar>
            <w:left w:w="10" w:type="dxa"/>
            <w:right w:w="10" w:type="dxa"/>
          </w:tblCellMar>
        </w:tblPrEx>
        <w:trPr>
          <w:trHeight w:val="600"/>
        </w:trPr>
        <w:tc>
          <w:tcPr>
            <w:tcW w:w="3696"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center"/>
          </w:tcPr>
          <w:p w:rsidR="005D5DEA">
            <w:pPr>
              <w:bidi w:val="0"/>
              <w:spacing w:after="0"/>
              <w:contextualSpacing w:val="0"/>
            </w:pPr>
            <w:bookmarkStart w:id="1" w:name="h.30j0zll" w:colFirst="0" w:colLast="0"/>
            <w:bookmarkEnd w:id="1"/>
            <w:r w:rsidR="007D60ED">
              <w:rPr>
                <w:rFonts w:ascii="Times New Roman" w:hAnsi="Times New Roman" w:cs="Times New Roman"/>
                <w:b/>
              </w:rPr>
              <w:t>1</w:t>
            </w:r>
            <w:r w:rsidR="007D60ED">
              <w:rPr>
                <w:rFonts w:ascii="Times New Roman" w:hAnsi="Times New Roman" w:cs="Times New Roman"/>
              </w:rPr>
              <w:t>. Ktoré podnikateľské subjekty budú predkladaným návrhom ovplyvnené a aký je ich počet?</w:t>
            </w:r>
          </w:p>
        </w:tc>
        <w:tc>
          <w:tcPr>
            <w:tcW w:w="5670"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top"/>
          </w:tcPr>
          <w:p w:rsidR="005D5DEA">
            <w:pPr>
              <w:bidi w:val="0"/>
              <w:spacing w:after="0" w:line="240" w:lineRule="auto"/>
              <w:contextualSpacing w:val="0"/>
            </w:pPr>
            <w:r w:rsidR="007D60ED">
              <w:rPr>
                <w:rFonts w:ascii="Times New Roman" w:hAnsi="Times New Roman" w:cs="Times New Roman"/>
              </w:rPr>
              <w:t>Predpokladá sa mierny pozitívny dopad aj na podnikateľské prostredie (počet ovplyvnených podnikateľských subjektov nie je možné presne určiť), nakoľko v dôsledku eliminácie incidentov počas presunu divákov na podujatie a späť nebude potrebné uzatvoriť na niekoľko hodín všetky prevádzky pohostinských a iných služieb na trase fanúšikov a ani úplne zakázať predaj alkoholických nápojov, ako tomu je pomerne často pri rizikových stretnutiach v súčasnosti. Predpokladá sa negatívny dopad na organizátorov rizikových podujatí spojený s vyššími nákladmi na zabezpečenie bezpečnosti účastníkov týchto podujatí (vstupenky na meno do sektoru hostí).</w:t>
            </w:r>
          </w:p>
          <w:p w:rsidR="005D5DEA">
            <w:pPr>
              <w:bidi w:val="0"/>
              <w:spacing w:after="0" w:line="240" w:lineRule="auto"/>
              <w:contextualSpacing w:val="0"/>
            </w:pPr>
            <w:r w:rsidR="007D60ED">
              <w:rPr>
                <w:rFonts w:ascii="Times New Roman" w:hAnsi="Times New Roman" w:cs="Times New Roman"/>
              </w:rPr>
              <w:t>Zákon by mal napomôcť aj pri eliminácii poškodzovania prostriedkov verejnej dopravy pri preprave fanúšikov, čo pozitívne ovplyvní poskytovateľov služieb verejnej prepravy.</w:t>
            </w:r>
          </w:p>
        </w:tc>
      </w:tr>
      <w:tr>
        <w:tblPrEx>
          <w:tblW w:w="9366" w:type="dxa"/>
          <w:tblInd w:w="60" w:type="dxa"/>
          <w:tblLayout w:type="fixed"/>
          <w:tblCellMar>
            <w:left w:w="10" w:type="dxa"/>
            <w:right w:w="10" w:type="dxa"/>
          </w:tblCellMar>
        </w:tblPrEx>
        <w:trPr>
          <w:trHeight w:val="600"/>
        </w:trPr>
        <w:tc>
          <w:tcPr>
            <w:tcW w:w="3696"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center"/>
          </w:tcPr>
          <w:p w:rsidR="005D5DEA">
            <w:pPr>
              <w:bidi w:val="0"/>
              <w:spacing w:after="0"/>
              <w:contextualSpacing w:val="0"/>
            </w:pPr>
            <w:r w:rsidR="007D60ED">
              <w:rPr>
                <w:rFonts w:ascii="Times New Roman" w:hAnsi="Times New Roman" w:cs="Times New Roman"/>
                <w:b/>
              </w:rPr>
              <w:t>2</w:t>
            </w:r>
            <w:r w:rsidR="007D60ED">
              <w:rPr>
                <w:rFonts w:ascii="Times New Roman" w:hAnsi="Times New Roman" w:cs="Times New Roman"/>
              </w:rPr>
              <w:t>. Aký je predpokladaný charakter a rozsah nákladov a prínosov?</w:t>
            </w:r>
          </w:p>
        </w:tc>
        <w:tc>
          <w:tcPr>
            <w:tcW w:w="5670"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top"/>
          </w:tcPr>
          <w:p w:rsidR="005D5DEA">
            <w:pPr>
              <w:bidi w:val="0"/>
              <w:spacing w:after="0" w:line="240" w:lineRule="auto"/>
              <w:contextualSpacing w:val="0"/>
            </w:pPr>
            <w:r w:rsidR="007D60ED">
              <w:rPr>
                <w:rFonts w:ascii="Times New Roman" w:hAnsi="Times New Roman" w:cs="Times New Roman"/>
              </w:rPr>
              <w:t xml:space="preserve">Najvýznamnejšie náklady bude predstavovať vytvorenie a prevádzkovanie informačného systému o bezpečnosti na športových podujatiach, ktoré bude znášať národný zväz futbalu a národný zväz hokeja. </w:t>
            </w:r>
          </w:p>
          <w:p w:rsidR="005D5DEA">
            <w:pPr>
              <w:bidi w:val="0"/>
              <w:spacing w:after="0" w:line="240" w:lineRule="auto"/>
              <w:contextualSpacing w:val="0"/>
            </w:pPr>
            <w:r w:rsidR="007D60ED">
              <w:rPr>
                <w:rFonts w:ascii="Times New Roman" w:hAnsi="Times New Roman" w:cs="Times New Roman"/>
              </w:rPr>
              <w:t>Návrh zákona by v spojitosti s projektom výstavby a rekonštrukcie 21 slovenských futbalových štadiónov mohol a mal stimulovať organizátorov podujatí (športové kluby) i majiteľov štadiónov (najmä obce) k tomu, aby investovali do bezpečnostných opatrení a vybavenosti  štadiónov, čo by malo zvýšiť návštevnosť podujatí na futbalových štadiónoch a tým aj objem tovarov a služieb, ktoré sa v súvislosti s konaním týchto stretnutí dodávajú.</w:t>
            </w:r>
          </w:p>
        </w:tc>
      </w:tr>
      <w:tr>
        <w:tblPrEx>
          <w:tblW w:w="9366" w:type="dxa"/>
          <w:tblInd w:w="60" w:type="dxa"/>
          <w:tblLayout w:type="fixed"/>
          <w:tblCellMar>
            <w:left w:w="10" w:type="dxa"/>
            <w:right w:w="10" w:type="dxa"/>
          </w:tblCellMar>
        </w:tblPrEx>
        <w:trPr>
          <w:trHeight w:val="600"/>
        </w:trPr>
        <w:tc>
          <w:tcPr>
            <w:tcW w:w="3696"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center"/>
          </w:tcPr>
          <w:p w:rsidR="005D5DEA">
            <w:pPr>
              <w:bidi w:val="0"/>
              <w:spacing w:after="0"/>
              <w:contextualSpacing w:val="0"/>
            </w:pPr>
            <w:r w:rsidR="007D60ED">
              <w:rPr>
                <w:rFonts w:ascii="Times New Roman" w:hAnsi="Times New Roman" w:cs="Times New Roman"/>
                <w:b/>
              </w:rPr>
              <w:t>3</w:t>
            </w:r>
            <w:r w:rsidR="007D60ED">
              <w:rPr>
                <w:rFonts w:ascii="Times New Roman" w:hAnsi="Times New Roman" w:cs="Times New Roman"/>
              </w:rPr>
              <w:t>. Aká je predpokladaná výška administratívnych nákladov, ktoré podniky vynaložia v súvislosti s implementáciou návrhu?</w:t>
            </w:r>
          </w:p>
        </w:tc>
        <w:tc>
          <w:tcPr>
            <w:tcW w:w="5670"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center"/>
          </w:tcPr>
          <w:p w:rsidR="005D5DEA">
            <w:pPr>
              <w:bidi w:val="0"/>
              <w:spacing w:after="0" w:line="240" w:lineRule="auto"/>
              <w:contextualSpacing w:val="0"/>
            </w:pPr>
            <w:r w:rsidR="007D60ED">
              <w:rPr>
                <w:rFonts w:ascii="Times New Roman" w:hAnsi="Times New Roman" w:cs="Times New Roman"/>
              </w:rPr>
              <w:t>Administratívne náklady vzniknú najmä národnému zväzu futbalu a národnému zväzu hokeja v súvislosti so správou a prevádzkou informačného systému o bezpečnosti na športových podujatiach a národným športovým zväzom pri vykonávaní odbornej prípravy a skúšok hlavných usporiadateľov, bezpečnostných manažérov a usporiadateľov.</w:t>
            </w:r>
          </w:p>
        </w:tc>
      </w:tr>
      <w:tr>
        <w:tblPrEx>
          <w:tblW w:w="9366" w:type="dxa"/>
          <w:tblInd w:w="60" w:type="dxa"/>
          <w:tblLayout w:type="fixed"/>
          <w:tblCellMar>
            <w:left w:w="10" w:type="dxa"/>
            <w:right w:w="10" w:type="dxa"/>
          </w:tblCellMar>
        </w:tblPrEx>
        <w:trPr>
          <w:trHeight w:val="600"/>
        </w:trPr>
        <w:tc>
          <w:tcPr>
            <w:tcW w:w="3696"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center"/>
          </w:tcPr>
          <w:p w:rsidR="005D5DEA">
            <w:pPr>
              <w:bidi w:val="0"/>
              <w:spacing w:after="0"/>
              <w:contextualSpacing w:val="0"/>
            </w:pPr>
            <w:r w:rsidR="007D60ED">
              <w:rPr>
                <w:rFonts w:ascii="Times New Roman" w:hAnsi="Times New Roman" w:cs="Times New Roman"/>
                <w:b/>
              </w:rPr>
              <w:t>4</w:t>
            </w:r>
            <w:r w:rsidR="007D60ED">
              <w:rPr>
                <w:rFonts w:ascii="Times New Roman" w:hAnsi="Times New Roman" w:cs="Times New Roman"/>
              </w:rPr>
              <w:t>. Aké sú dôsledky pripravovaného návrhu pre fungovanie podnikateľských subjektov na slovenskom trhu (ako sa zmenia operácie na trhu?)</w:t>
            </w:r>
          </w:p>
        </w:tc>
        <w:tc>
          <w:tcPr>
            <w:tcW w:w="5670"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center"/>
          </w:tcPr>
          <w:p w:rsidR="005D5DEA">
            <w:pPr>
              <w:bidi w:val="0"/>
              <w:spacing w:after="0" w:line="240" w:lineRule="auto"/>
              <w:contextualSpacing w:val="0"/>
            </w:pPr>
            <w:r w:rsidR="007D60ED">
              <w:rPr>
                <w:rFonts w:ascii="Times New Roman" w:hAnsi="Times New Roman" w:cs="Times New Roman"/>
              </w:rPr>
              <w:t>Prístup k vytvorenej databáze vyškolených hlavných usporiadateľov, bezpečnostných manažérov a usporiadateľov uľahčí organizátorom podujatí zabezpečovanie usporiadateľskej služby pre akékoľvek verejné podujatie.</w:t>
            </w:r>
          </w:p>
        </w:tc>
      </w:tr>
      <w:tr>
        <w:tblPrEx>
          <w:tblW w:w="9366" w:type="dxa"/>
          <w:tblInd w:w="60" w:type="dxa"/>
          <w:tblLayout w:type="fixed"/>
          <w:tblCellMar>
            <w:left w:w="10" w:type="dxa"/>
            <w:right w:w="10" w:type="dxa"/>
          </w:tblCellMar>
        </w:tblPrEx>
        <w:trPr>
          <w:trHeight w:val="600"/>
        </w:trPr>
        <w:tc>
          <w:tcPr>
            <w:tcW w:w="3696"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center"/>
          </w:tcPr>
          <w:p w:rsidR="005D5DEA">
            <w:pPr>
              <w:bidi w:val="0"/>
              <w:spacing w:after="0"/>
              <w:contextualSpacing w:val="0"/>
            </w:pPr>
            <w:r w:rsidR="007D60ED">
              <w:rPr>
                <w:rFonts w:ascii="Times New Roman" w:hAnsi="Times New Roman" w:cs="Times New Roman"/>
                <w:b/>
              </w:rPr>
              <w:t>5</w:t>
            </w:r>
            <w:r w:rsidR="007D60ED">
              <w:rPr>
                <w:rFonts w:ascii="Times New Roman" w:hAnsi="Times New Roman" w:cs="Times New Roman"/>
              </w:rPr>
              <w:t>. Aké sú predpokladané spoločensko-ekonomické dôsledky pripravovaných regulácií?</w:t>
            </w:r>
          </w:p>
        </w:tc>
        <w:tc>
          <w:tcPr>
            <w:tcW w:w="5670" w:type="dxa"/>
            <w:tcBorders>
              <w:top w:val="single" w:sz="8" w:space="0" w:color="000000"/>
              <w:left w:val="single" w:sz="8" w:space="0" w:color="000000"/>
              <w:bottom w:val="single" w:sz="8" w:space="0" w:color="000000"/>
              <w:right w:val="single" w:sz="8" w:space="0" w:color="000000"/>
            </w:tcBorders>
            <w:tcMar>
              <w:top w:w="100" w:type="dxa"/>
              <w:left w:w="70" w:type="dxa"/>
              <w:bottom w:w="100" w:type="dxa"/>
              <w:right w:w="70" w:type="dxa"/>
            </w:tcMar>
            <w:textDirection w:val="lrTb"/>
            <w:vAlign w:val="top"/>
          </w:tcPr>
          <w:p w:rsidR="005D5DEA">
            <w:pPr>
              <w:bidi w:val="0"/>
              <w:spacing w:after="0" w:line="240" w:lineRule="auto"/>
              <w:contextualSpacing w:val="0"/>
            </w:pPr>
            <w:r w:rsidR="007D60ED">
              <w:rPr>
                <w:rFonts w:ascii="Times New Roman" w:hAnsi="Times New Roman" w:cs="Times New Roman"/>
              </w:rPr>
              <w:t>Zvýšenie nárokov na organizátora pri organizovaní rizikových podujatí bude spočívať v tom, že v záujme ochrany verejného poriadku budú povinný do sektorov hostí distribuovať vstupenky na meno a priezvisko a zabezpečiť presne stanovený počet členov usporiadateľskej služby, z ktorých polovica musia byť členovia SBS alebo príslušníci obecnej polície prípadne Policajný zbor (na základe odplatnej zmluvy). Predpokladá sa zvýšenie počtu kvalifikovaných odborníkov v oblasti telesnej kultúry pôsobiacich ako organizátori, hlavný usporiadateľ, bezpečnostný manažér a usporiadateľov.</w:t>
            </w:r>
          </w:p>
        </w:tc>
      </w:tr>
    </w:tbl>
    <w:p w:rsidR="005D5DEA">
      <w:pPr>
        <w:bidi w:val="0"/>
        <w:spacing w:line="240" w:lineRule="auto"/>
        <w:contextualSpacing w:val="0"/>
        <w:jc w:val="both"/>
      </w:pPr>
    </w:p>
    <w:p w:rsidR="005D5DEA">
      <w:pPr>
        <w:bidi w:val="0"/>
        <w:contextualSpacing w:val="0"/>
      </w:pPr>
    </w:p>
    <w:tbl>
      <w:tblPr>
        <w:tblStyle w:val="TableNormal"/>
        <w:tblW w:w="9366"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Pr>
      <w:tblGrid>
        <w:gridCol w:w="4405"/>
        <w:gridCol w:w="4961"/>
      </w:tblGrid>
      <w:tr>
        <w:tblPrEx>
          <w:tblW w:w="9366"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PrEx>
        <w:trPr>
          <w:trHeight w:val="660"/>
        </w:trPr>
        <w:tc>
          <w:tcPr>
            <w:tcW w:w="4405" w:type="dxa"/>
            <w:tcBorders>
              <w:top w:val="single" w:sz="4" w:space="0" w:color="000000"/>
              <w:left w:val="single" w:sz="4" w:space="0" w:color="000000"/>
              <w:bottom w:val="single" w:sz="4" w:space="0" w:color="000000"/>
              <w:right w:val="single" w:sz="4" w:space="0" w:color="000000"/>
            </w:tcBorders>
            <w:shd w:val="clear" w:color="auto" w:fill="0C0C0C"/>
            <w:tcMar>
              <w:top w:w="100" w:type="dxa"/>
              <w:left w:w="70" w:type="dxa"/>
              <w:bottom w:w="100" w:type="dxa"/>
              <w:right w:w="70" w:type="dxa"/>
            </w:tcMar>
            <w:textDirection w:val="lrTb"/>
            <w:vAlign w:val="top"/>
          </w:tcPr>
          <w:p w:rsidR="005D5DEA">
            <w:pPr>
              <w:bidi w:val="0"/>
              <w:spacing w:after="0"/>
              <w:contextualSpacing w:val="0"/>
              <w:jc w:val="center"/>
            </w:pPr>
            <w:r w:rsidR="007D60ED">
              <w:rPr>
                <w:rFonts w:ascii="Times New Roman" w:hAnsi="Times New Roman" w:cs="Times New Roman"/>
                <w:b/>
                <w:color w:val="FFFFFF"/>
              </w:rPr>
              <w:t>Sociálne vplyvy predkladaného materiálu -  vplyvy na hospodárenie obyvateľstva, sociálnu exklúziu, rovnosť príležitostí a rodovú rovnosť a vplyvy na zamestnanosť</w:t>
            </w:r>
          </w:p>
        </w:tc>
        <w:tc>
          <w:tcPr>
            <w:tcW w:w="496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top"/>
          </w:tcPr>
          <w:p w:rsidR="005D5DEA">
            <w:pPr>
              <w:bidi w:val="0"/>
              <w:spacing w:after="0"/>
              <w:contextualSpacing w:val="0"/>
            </w:pPr>
          </w:p>
        </w:tc>
      </w:tr>
      <w:tr>
        <w:tblPrEx>
          <w:tblW w:w="9366" w:type="dxa"/>
          <w:tblInd w:w="60" w:type="dxa"/>
          <w:tblLayout w:type="fixed"/>
          <w:tblCellMar>
            <w:left w:w="10" w:type="dxa"/>
            <w:right w:w="10" w:type="dxa"/>
          </w:tblCellMar>
        </w:tblPrEx>
        <w:trPr>
          <w:trHeight w:val="1200"/>
        </w:trPr>
        <w:tc>
          <w:tcPr>
            <w:tcW w:w="440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center"/>
          </w:tcPr>
          <w:p w:rsidR="005D5DEA">
            <w:pPr>
              <w:bidi w:val="0"/>
              <w:spacing w:after="0" w:line="240" w:lineRule="auto"/>
              <w:contextualSpacing w:val="0"/>
            </w:pPr>
            <w:r w:rsidR="007D60ED">
              <w:rPr>
                <w:rFonts w:ascii="Times New Roman" w:hAnsi="Times New Roman" w:cs="Times New Roman"/>
                <w:b/>
              </w:rPr>
              <w:t>1.</w:t>
            </w:r>
            <w:r w:rsidR="007D60ED">
              <w:rPr>
                <w:rFonts w:ascii="Times New Roman" w:hAnsi="Times New Roman" w:cs="Times New Roman"/>
              </w:rPr>
              <w:t xml:space="preserve"> Identifikujte vplyv na hospodárenie domácností a špecifikujte ovplyvnené skupiny domácností, ktoré budú pozitívne/negatívne ovplyvnené.  </w:t>
            </w:r>
          </w:p>
        </w:tc>
        <w:tc>
          <w:tcPr>
            <w:tcW w:w="496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center"/>
          </w:tcPr>
          <w:p w:rsidR="005D5DEA">
            <w:pPr>
              <w:bidi w:val="0"/>
              <w:spacing w:after="0"/>
              <w:contextualSpacing w:val="0"/>
              <w:jc w:val="both"/>
            </w:pPr>
            <w:r w:rsidR="007D60ED">
              <w:rPr>
                <w:rFonts w:ascii="Times New Roman" w:hAnsi="Times New Roman" w:cs="Times New Roman"/>
              </w:rPr>
              <w:t>---</w:t>
            </w:r>
          </w:p>
        </w:tc>
      </w:tr>
      <w:tr>
        <w:tblPrEx>
          <w:tblW w:w="9366" w:type="dxa"/>
          <w:tblInd w:w="60" w:type="dxa"/>
          <w:tblLayout w:type="fixed"/>
          <w:tblCellMar>
            <w:left w:w="10" w:type="dxa"/>
            <w:right w:w="10" w:type="dxa"/>
          </w:tblCellMar>
        </w:tblPrEx>
        <w:trPr>
          <w:trHeight w:val="2380"/>
        </w:trPr>
        <w:tc>
          <w:tcPr>
            <w:tcW w:w="440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center"/>
          </w:tcPr>
          <w:p w:rsidR="005D5DEA">
            <w:pPr>
              <w:bidi w:val="0"/>
              <w:spacing w:after="0" w:line="240" w:lineRule="auto"/>
              <w:contextualSpacing w:val="0"/>
            </w:pPr>
            <w:r w:rsidR="007D60ED">
              <w:rPr>
                <w:rFonts w:ascii="Times New Roman" w:hAnsi="Times New Roman" w:cs="Times New Roman"/>
              </w:rPr>
              <w:t xml:space="preserve">Kvantifikujte: </w:t>
            </w:r>
          </w:p>
          <w:p w:rsidR="005D5DEA">
            <w:pPr>
              <w:numPr>
                <w:numId w:val="1"/>
              </w:numPr>
              <w:bidi w:val="0"/>
              <w:spacing w:after="0" w:line="240" w:lineRule="auto"/>
              <w:ind w:hanging="359"/>
              <w:rPr>
                <w:rFonts w:ascii="Times New Roman" w:hAnsi="Times New Roman" w:cs="Times New Roman"/>
              </w:rPr>
            </w:pPr>
            <w:r w:rsidR="007D60ED">
              <w:rPr>
                <w:rFonts w:ascii="Times New Roman" w:hAnsi="Times New Roman" w:cs="Times New Roman"/>
              </w:rPr>
              <w:t>Rast alebo pokles príjmov/výdavkov na priemerného obyvateľa</w:t>
            </w:r>
          </w:p>
          <w:p w:rsidR="005D5DEA">
            <w:pPr>
              <w:numPr>
                <w:numId w:val="1"/>
              </w:numPr>
              <w:bidi w:val="0"/>
              <w:spacing w:after="0" w:line="240" w:lineRule="auto"/>
              <w:ind w:hanging="359"/>
              <w:rPr>
                <w:rFonts w:ascii="Times New Roman" w:hAnsi="Times New Roman" w:cs="Times New Roman"/>
              </w:rPr>
            </w:pPr>
            <w:r w:rsidR="007D60ED">
              <w:rPr>
                <w:rFonts w:ascii="Times New Roman" w:hAnsi="Times New Roman" w:cs="Times New Roman"/>
              </w:rPr>
              <w:t>Rast alebo pokles príjmov/výdavkov za jednotlivé ovplyvnené  skupiny domácností</w:t>
            </w:r>
          </w:p>
          <w:p w:rsidR="005D5DEA">
            <w:pPr>
              <w:numPr>
                <w:numId w:val="1"/>
              </w:numPr>
              <w:bidi w:val="0"/>
              <w:spacing w:after="0" w:line="240" w:lineRule="auto"/>
              <w:ind w:hanging="359"/>
              <w:rPr>
                <w:rFonts w:ascii="Times New Roman" w:hAnsi="Times New Roman" w:cs="Times New Roman"/>
              </w:rPr>
            </w:pPr>
            <w:r w:rsidR="007D60ED">
              <w:rPr>
                <w:rFonts w:ascii="Times New Roman" w:hAnsi="Times New Roman" w:cs="Times New Roman"/>
              </w:rPr>
              <w:t>Celkový počet obyvateľstva/domácností ovplyvnených predkladaným materiálom</w:t>
            </w:r>
          </w:p>
        </w:tc>
        <w:tc>
          <w:tcPr>
            <w:tcW w:w="496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center"/>
          </w:tcPr>
          <w:p w:rsidR="005D5DEA">
            <w:pPr>
              <w:bidi w:val="0"/>
              <w:spacing w:after="0"/>
              <w:contextualSpacing w:val="0"/>
              <w:jc w:val="both"/>
            </w:pPr>
            <w:r w:rsidR="007D60ED">
              <w:rPr>
                <w:rFonts w:ascii="Times New Roman" w:hAnsi="Times New Roman" w:cs="Times New Roman"/>
              </w:rPr>
              <w:t>---</w:t>
            </w:r>
          </w:p>
        </w:tc>
      </w:tr>
      <w:tr>
        <w:tblPrEx>
          <w:tblW w:w="9366" w:type="dxa"/>
          <w:tblInd w:w="60" w:type="dxa"/>
          <w:tblLayout w:type="fixed"/>
          <w:tblCellMar>
            <w:left w:w="10" w:type="dxa"/>
            <w:right w:w="10" w:type="dxa"/>
          </w:tblCellMar>
        </w:tblPrEx>
        <w:trPr>
          <w:trHeight w:val="1520"/>
        </w:trPr>
        <w:tc>
          <w:tcPr>
            <w:tcW w:w="440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center"/>
          </w:tcPr>
          <w:p w:rsidR="005D5DEA">
            <w:pPr>
              <w:bidi w:val="0"/>
              <w:spacing w:after="0" w:line="240" w:lineRule="auto"/>
              <w:contextualSpacing w:val="0"/>
            </w:pPr>
            <w:r w:rsidR="007D60ED">
              <w:rPr>
                <w:rFonts w:ascii="Times New Roman" w:hAnsi="Times New Roman" w:cs="Times New Roman"/>
                <w:b/>
              </w:rPr>
              <w:t>2.</w:t>
            </w:r>
            <w:r w:rsidR="007D60ED">
              <w:rPr>
                <w:rFonts w:ascii="Times New Roman" w:hAnsi="Times New Roman" w:cs="Times New Roman"/>
              </w:rPr>
              <w:t xml:space="preserve"> Zhodnoťte kvalitatívne (prípadne kvantitatívne) vplyvy na prístup k zdrojom, právam, tovarom a službám u jednotlivých ovplyvnených skupín obyvateľstva.</w:t>
            </w:r>
          </w:p>
        </w:tc>
        <w:tc>
          <w:tcPr>
            <w:tcW w:w="496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center"/>
          </w:tcPr>
          <w:p w:rsidR="005D5DEA">
            <w:pPr>
              <w:bidi w:val="0"/>
              <w:spacing w:after="0"/>
              <w:contextualSpacing w:val="0"/>
              <w:jc w:val="both"/>
            </w:pPr>
            <w:r w:rsidR="007D60ED">
              <w:rPr>
                <w:rFonts w:ascii="Times New Roman" w:hAnsi="Times New Roman" w:cs="Times New Roman"/>
              </w:rPr>
              <w:t>Organizátor podujatia bude povinný zabezpečiť prístupnosť verejného športového podujatia pre osoby so zdravotným postihnutím a osoby so zníženou pohyblivosťou. Za splnenia  predpokladu očakávanej kultivácie prostredia a atmosféry futbalových štadiónov je možné očakávať zvýšenú návštevnosť športových podujatí zo strany mládeže, detí a žien.</w:t>
            </w:r>
          </w:p>
        </w:tc>
      </w:tr>
      <w:tr>
        <w:tblPrEx>
          <w:tblW w:w="9366" w:type="dxa"/>
          <w:tblInd w:w="60" w:type="dxa"/>
          <w:tblLayout w:type="fixed"/>
          <w:tblCellMar>
            <w:left w:w="10" w:type="dxa"/>
            <w:right w:w="10" w:type="dxa"/>
          </w:tblCellMar>
        </w:tblPrEx>
        <w:trPr>
          <w:trHeight w:val="660"/>
        </w:trPr>
        <w:tc>
          <w:tcPr>
            <w:tcW w:w="440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center"/>
          </w:tcPr>
          <w:p w:rsidR="005D5DEA">
            <w:pPr>
              <w:bidi w:val="0"/>
              <w:spacing w:after="0" w:line="240" w:lineRule="auto"/>
              <w:contextualSpacing w:val="0"/>
            </w:pPr>
            <w:r w:rsidR="007D60ED">
              <w:rPr>
                <w:rFonts w:ascii="Times New Roman" w:hAnsi="Times New Roman" w:cs="Times New Roman"/>
                <w:b/>
              </w:rPr>
              <w:t>3.</w:t>
            </w:r>
            <w:r w:rsidR="007D60ED">
              <w:rPr>
                <w:rFonts w:ascii="Times New Roman" w:hAnsi="Times New Roman" w:cs="Times New Roman"/>
              </w:rPr>
              <w:t xml:space="preserve"> Zhodnoťte vplyv na rovnosť príležitostí:</w:t>
            </w:r>
          </w:p>
          <w:p w:rsidR="005D5DEA">
            <w:pPr>
              <w:bidi w:val="0"/>
              <w:spacing w:after="0" w:line="240" w:lineRule="auto"/>
              <w:contextualSpacing w:val="0"/>
            </w:pPr>
            <w:r w:rsidR="007D60ED">
              <w:rPr>
                <w:rFonts w:ascii="Times New Roman" w:hAnsi="Times New Roman" w:cs="Times New Roman"/>
              </w:rPr>
              <w:t xml:space="preserve">    Zhodnoťte vplyv na rodovú rovnosť.</w:t>
            </w:r>
          </w:p>
        </w:tc>
        <w:tc>
          <w:tcPr>
            <w:tcW w:w="496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center"/>
          </w:tcPr>
          <w:p w:rsidR="005D5DEA">
            <w:pPr>
              <w:bidi w:val="0"/>
              <w:spacing w:after="0"/>
              <w:contextualSpacing w:val="0"/>
              <w:jc w:val="both"/>
            </w:pPr>
            <w:r w:rsidR="007D60ED">
              <w:rPr>
                <w:rFonts w:ascii="Times New Roman" w:hAnsi="Times New Roman" w:cs="Times New Roman"/>
              </w:rPr>
              <w:t>---</w:t>
            </w:r>
          </w:p>
        </w:tc>
      </w:tr>
      <w:tr>
        <w:tblPrEx>
          <w:tblW w:w="9366" w:type="dxa"/>
          <w:tblInd w:w="60" w:type="dxa"/>
          <w:tblLayout w:type="fixed"/>
          <w:tblCellMar>
            <w:left w:w="10" w:type="dxa"/>
            <w:right w:w="10" w:type="dxa"/>
          </w:tblCellMar>
        </w:tblPrEx>
        <w:trPr>
          <w:trHeight w:val="2040"/>
        </w:trPr>
        <w:tc>
          <w:tcPr>
            <w:tcW w:w="4405"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top"/>
          </w:tcPr>
          <w:p w:rsidR="005D5DEA">
            <w:pPr>
              <w:bidi w:val="0"/>
              <w:spacing w:after="0"/>
              <w:contextualSpacing w:val="0"/>
            </w:pPr>
            <w:r w:rsidR="007D60ED">
              <w:rPr>
                <w:rFonts w:ascii="Times New Roman" w:hAnsi="Times New Roman" w:cs="Times New Roman"/>
                <w:b/>
              </w:rPr>
              <w:t xml:space="preserve">4. </w:t>
            </w:r>
            <w:r w:rsidR="007D60ED">
              <w:rPr>
                <w:rFonts w:ascii="Times New Roman" w:hAnsi="Times New Roman" w:cs="Times New Roman"/>
              </w:rPr>
              <w:t>Zhodnoťte vplyvy na zamestnanosť.</w:t>
            </w:r>
          </w:p>
          <w:p w:rsidR="005D5DEA">
            <w:pPr>
              <w:bidi w:val="0"/>
              <w:spacing w:after="0"/>
              <w:ind w:left="328"/>
              <w:contextualSpacing w:val="0"/>
            </w:pPr>
            <w:r w:rsidR="007D60ED">
              <w:rPr>
                <w:rFonts w:ascii="Times New Roman" w:hAnsi="Times New Roman" w:cs="Times New Roman"/>
              </w:rPr>
              <w:t>Aké sú  vplyvy na zamestnanosť?</w:t>
            </w:r>
          </w:p>
          <w:p w:rsidR="005D5DEA">
            <w:pPr>
              <w:bidi w:val="0"/>
              <w:spacing w:after="0"/>
              <w:ind w:left="328"/>
              <w:contextualSpacing w:val="0"/>
            </w:pPr>
            <w:r w:rsidR="007D60ED">
              <w:rPr>
                <w:rFonts w:ascii="Times New Roman" w:hAnsi="Times New Roman" w:cs="Times New Roman"/>
              </w:rPr>
              <w:t>Ktoré skupiny zamestnancov budú ohrozené schválením predkladaného materiálu?</w:t>
            </w:r>
          </w:p>
          <w:p w:rsidR="005D5DEA">
            <w:pPr>
              <w:bidi w:val="0"/>
              <w:spacing w:after="0" w:line="240" w:lineRule="auto"/>
              <w:ind w:left="328"/>
              <w:contextualSpacing w:val="0"/>
            </w:pPr>
            <w:r w:rsidR="007D60ED">
              <w:rPr>
                <w:rFonts w:ascii="Times New Roman" w:hAnsi="Times New Roman" w:cs="Times New Roman"/>
              </w:rPr>
              <w:t>Hrozí v prípade schválenia predkladaného materiálu hromadné prepúšťanie?</w:t>
            </w:r>
          </w:p>
        </w:tc>
        <w:tc>
          <w:tcPr>
            <w:tcW w:w="4961" w:type="dxa"/>
            <w:tcBorders>
              <w:top w:val="single" w:sz="4" w:space="0" w:color="000000"/>
              <w:left w:val="single" w:sz="4" w:space="0" w:color="000000"/>
              <w:bottom w:val="single" w:sz="4" w:space="0" w:color="000000"/>
              <w:right w:val="single" w:sz="4" w:space="0" w:color="000000"/>
            </w:tcBorders>
            <w:tcMar>
              <w:top w:w="100" w:type="dxa"/>
              <w:left w:w="70" w:type="dxa"/>
              <w:bottom w:w="100" w:type="dxa"/>
              <w:right w:w="70" w:type="dxa"/>
            </w:tcMar>
            <w:textDirection w:val="lrTb"/>
            <w:vAlign w:val="top"/>
          </w:tcPr>
          <w:p w:rsidR="005D5DEA">
            <w:pPr>
              <w:bidi w:val="0"/>
              <w:spacing w:after="0"/>
              <w:contextualSpacing w:val="0"/>
              <w:jc w:val="both"/>
            </w:pPr>
            <w:r w:rsidR="007D60ED">
              <w:rPr>
                <w:rFonts w:ascii="Times New Roman" w:hAnsi="Times New Roman" w:cs="Times New Roman"/>
              </w:rPr>
              <w:t>Predpokladá sa zvýšenie zamestnanosti kvalifikovaných odborníkov v oblasti telesnej kultúry, ktorých úlohou bude plniť povinnosti zákonom ustanovené pre organizátora podujatia. Žiadne skupiny zamestnancov nebudú ohrozené. Hromadné prepúšťanie nehrozí.</w:t>
            </w:r>
          </w:p>
        </w:tc>
      </w:tr>
    </w:tbl>
    <w:p w:rsidR="005D5DEA">
      <w:pPr>
        <w:bidi w:val="0"/>
        <w:contextualSpacing w:val="0"/>
        <w:jc w:val="both"/>
      </w:pPr>
    </w:p>
    <w:p w:rsidR="005D5DEA">
      <w:pPr>
        <w:bidi w:val="0"/>
        <w:contextualSpacing w:val="0"/>
        <w:jc w:val="both"/>
      </w:pPr>
    </w:p>
    <w:tbl>
      <w:tblPr>
        <w:tblStyle w:val="TableNormal"/>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Pr>
      <w:tblGrid>
        <w:gridCol w:w="4405"/>
        <w:gridCol w:w="4961"/>
      </w:tblGrid>
      <w:tr>
        <w:tblPrEx>
          <w:tblW w:w="936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shd w:val="clear" w:color="auto" w:fill="000000"/>
            <w:tcMar>
              <w:top w:w="28" w:type="dxa"/>
              <w:left w:w="70" w:type="dxa"/>
              <w:bottom w:w="28" w:type="dxa"/>
              <w:right w:w="70" w:type="dxa"/>
            </w:tcMar>
            <w:textDirection w:val="lrTb"/>
            <w:vAlign w:val="center"/>
          </w:tcPr>
          <w:p w:rsidR="005D5DEA">
            <w:pPr>
              <w:bidi w:val="0"/>
              <w:spacing w:after="0"/>
              <w:contextualSpacing w:val="0"/>
              <w:jc w:val="center"/>
            </w:pPr>
            <w:r w:rsidR="007D60ED">
              <w:rPr>
                <w:rFonts w:ascii="Times New Roman" w:hAnsi="Times New Roman" w:cs="Times New Roman"/>
                <w:b/>
                <w:color w:val="FFFFFF"/>
              </w:rPr>
              <w:t>Vplyvy na informatizáciu spoločnosti</w:t>
            </w:r>
          </w:p>
        </w:tc>
        <w:tc>
          <w:tcPr>
            <w:tcW w:w="4961" w:type="dxa"/>
            <w:tcBorders>
              <w:top w:val="single" w:sz="4" w:space="0" w:color="auto"/>
              <w:left w:val="single" w:sz="4" w:space="0" w:color="auto"/>
              <w:bottom w:val="single" w:sz="4" w:space="0" w:color="auto"/>
              <w:right w:val="single" w:sz="4" w:space="0" w:color="auto"/>
            </w:tcBorders>
            <w:tcMar>
              <w:top w:w="100" w:type="dxa"/>
              <w:left w:w="0" w:type="dxa"/>
              <w:bottom w:w="100" w:type="dxa"/>
              <w:right w:w="0" w:type="dxa"/>
            </w:tcMar>
            <w:textDirection w:val="lrTb"/>
            <w:vAlign w:val="top"/>
          </w:tcPr>
          <w:p w:rsidR="005D5DEA">
            <w:pPr>
              <w:bidi w:val="0"/>
              <w:spacing w:after="200"/>
              <w:contextualSpacing w:val="0"/>
            </w:pP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1.</w:t>
            </w:r>
            <w:r w:rsidR="007D60ED">
              <w:rPr>
                <w:rFonts w:ascii="Times New Roman" w:hAnsi="Times New Roman" w:cs="Times New Roman"/>
              </w:rPr>
              <w:t xml:space="preserve"> Rozširujú alebo inovujú  sa existujúce alebo vytvárajú sa či zavádzajú  sa nové elektronické služby?</w:t>
            </w:r>
          </w:p>
          <w:p w:rsidR="005D5DEA">
            <w:pPr>
              <w:bidi w:val="0"/>
              <w:spacing w:after="0"/>
              <w:contextualSpacing w:val="0"/>
            </w:pPr>
            <w:r w:rsidR="007D60ED">
              <w:rPr>
                <w:rFonts w:ascii="Times New Roman" w:hAnsi="Times New Roman" w:cs="Times New Roman"/>
                <w:i/>
              </w:rPr>
              <w:t>(Popíšte ich funkciu a úroveň poskytovania.)</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Áno - predpokladá sa zavedenie informačného systému správy a administrácie priestupkov, správnych deliktov, resp. trestných činov súvisiacich so športovými podujatiami. Zákon prinesie postupné zavedenie elektronických systémov umožňujúcich predaj vstupeniek na meno a priezvisko.</w:t>
            </w:r>
          </w:p>
          <w:p w:rsidR="005D5DEA">
            <w:pPr>
              <w:bidi w:val="0"/>
              <w:spacing w:after="0"/>
              <w:contextualSpacing w:val="0"/>
            </w:pPr>
            <w:r w:rsidR="007D60ED">
              <w:rPr>
                <w:rFonts w:ascii="Times New Roman" w:hAnsi="Times New Roman" w:cs="Times New Roman"/>
              </w:rPr>
              <w:t>V rámci informačného systému o bezpečnosti na športových podujatiach sa vytvára databáza vyškolených hlavných usporiadateľov, bezpečnostných manažérov a usporiadateľov.</w:t>
            </w:r>
          </w:p>
          <w:p w:rsidR="005D5DEA">
            <w:pPr>
              <w:bidi w:val="0"/>
              <w:spacing w:after="0"/>
              <w:contextualSpacing w:val="0"/>
            </w:pPr>
            <w:r w:rsidR="007D60ED">
              <w:rPr>
                <w:rFonts w:ascii="Times New Roman" w:hAnsi="Times New Roman" w:cs="Times New Roman"/>
              </w:rPr>
              <w:t>Príprava a vzdelávanie uchádzačov hlavných usporiadateľov, bezpečnostných manažérov a usporiadateľov bude prebiehať prostredníctvom internetu.</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2.</w:t>
            </w:r>
            <w:r w:rsidR="007D60ED">
              <w:rPr>
                <w:rFonts w:ascii="Times New Roman" w:hAnsi="Times New Roman" w:cs="Times New Roman"/>
              </w:rPr>
              <w:t xml:space="preserve"> Vytvárajú sa podmienky pre sémantickú interoperabilitu.</w:t>
            </w:r>
          </w:p>
          <w:p w:rsidR="005D5DEA">
            <w:pPr>
              <w:bidi w:val="0"/>
              <w:spacing w:after="0"/>
              <w:contextualSpacing w:val="0"/>
            </w:pPr>
            <w:r w:rsidR="007D60ED">
              <w:rPr>
                <w:rFonts w:ascii="Times New Roman" w:hAnsi="Times New Roman" w:cs="Times New Roman"/>
                <w:i/>
              </w:rPr>
              <w:t>(Popíšte spôsob jej zabezpečenia.)</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Áno – informačný systém o bezpečnosti na športových podujatiach sa bude budovať tak, aby bol v budúcnosti dátovo i technicky prepojiteľný s obdobným policajným systémom, ktorý sa používa pri organizovaní medzinárodných športových, najmä futbalových podujatí v rámci EÚ.</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shd w:val="clear" w:color="auto" w:fill="C0C0C0"/>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Ľudia</w:t>
            </w:r>
          </w:p>
        </w:tc>
        <w:tc>
          <w:tcPr>
            <w:tcW w:w="4961" w:type="dxa"/>
            <w:tcBorders>
              <w:top w:val="single" w:sz="4" w:space="0" w:color="auto"/>
              <w:left w:val="single" w:sz="4" w:space="0" w:color="auto"/>
              <w:bottom w:val="single" w:sz="4" w:space="0" w:color="auto"/>
              <w:right w:val="single" w:sz="4" w:space="0" w:color="auto"/>
            </w:tcBorders>
            <w:shd w:val="clear" w:color="auto" w:fill="C0C0C0"/>
            <w:tcMar>
              <w:top w:w="28" w:type="dxa"/>
              <w:left w:w="70" w:type="dxa"/>
              <w:bottom w:w="28" w:type="dxa"/>
              <w:right w:w="70" w:type="dxa"/>
            </w:tcMar>
            <w:textDirection w:val="lrTb"/>
            <w:vAlign w:val="center"/>
          </w:tcPr>
          <w:p w:rsidR="005D5DEA">
            <w:pPr>
              <w:bidi w:val="0"/>
              <w:spacing w:after="0"/>
              <w:contextualSpacing w:val="0"/>
            </w:pPr>
            <w:r w:rsidR="007D60ED">
              <w:rPr>
                <w:rFonts w:ascii="Times New Roman" w:hAnsi="Times New Roman" w:cs="Times New Roman"/>
              </w:rPr>
              <w:t> </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3.</w:t>
            </w:r>
            <w:r w:rsidR="007D60ED">
              <w:rPr>
                <w:rFonts w:ascii="Times New Roman" w:hAnsi="Times New Roman" w:cs="Times New Roman"/>
              </w:rPr>
              <w:t xml:space="preserve"> Zabezpečuje sa vzdelávanie v oblasti počítačovej gramotnosti a rozširovanie vedomostí o IKT?</w:t>
            </w:r>
          </w:p>
          <w:p w:rsidR="005D5DEA">
            <w:pPr>
              <w:bidi w:val="0"/>
              <w:spacing w:after="0"/>
              <w:contextualSpacing w:val="0"/>
            </w:pPr>
            <w:r w:rsidR="007D60ED">
              <w:rPr>
                <w:rFonts w:ascii="Times New Roman" w:hAnsi="Times New Roman" w:cs="Times New Roman"/>
                <w:i/>
              </w:rPr>
              <w:t>(Uveďte spôsob, napr. projekty, školenia.)</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center"/>
          </w:tcPr>
          <w:p w:rsidR="005D5DEA">
            <w:pPr>
              <w:bidi w:val="0"/>
              <w:spacing w:after="0"/>
              <w:contextualSpacing w:val="0"/>
            </w:pPr>
            <w:r w:rsidR="007D60ED">
              <w:rPr>
                <w:rFonts w:ascii="Times New Roman" w:hAnsi="Times New Roman" w:cs="Times New Roman"/>
              </w:rPr>
              <w:t>Áno - nový informačný systém si vyžiada vzdelávanie odborníkov a zamestnancov pracujúcich s týmto systémom. príprava a vzdelávanie hlavných usporiadateľov, bezpečnostných manažérov a usporiadateľov prostredníctvom internetu si vyžiada od uchádzačov znalosť práce s PC, internetom a ďalšími nástrojmi z oblasti IT.</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4.</w:t>
            </w:r>
            <w:r w:rsidR="007D60ED">
              <w:rPr>
                <w:rFonts w:ascii="Times New Roman" w:hAnsi="Times New Roman" w:cs="Times New Roman"/>
              </w:rPr>
              <w:t xml:space="preserve"> Zabezpečuje sa rozvoj elektronického vzdelávania?</w:t>
            </w:r>
          </w:p>
          <w:p w:rsidR="005D5DEA">
            <w:pPr>
              <w:bidi w:val="0"/>
              <w:spacing w:after="0"/>
              <w:contextualSpacing w:val="0"/>
            </w:pPr>
            <w:r w:rsidR="007D60ED">
              <w:rPr>
                <w:rFonts w:ascii="Times New Roman" w:hAnsi="Times New Roman" w:cs="Times New Roman"/>
                <w:i/>
              </w:rPr>
              <w:t>(Uveďte typ a spôsob zabezpečenia vzdelávacích aktivít.)</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Áno – príprava a vzdelávanie hlavných usporiadateľov, bezpečnostných manažérov a usporiadateľov sa bude vykonávať s využitím internetu, poskytnutím prístupu k študijným materiálom a pomocou elektronických testov.</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5.</w:t>
            </w:r>
            <w:r w:rsidR="007D60ED">
              <w:rPr>
                <w:rFonts w:ascii="Times New Roman" w:hAnsi="Times New Roman" w:cs="Times New Roman"/>
              </w:rPr>
              <w:t xml:space="preserve"> Zabezpečuje sa podporná a propagačná aktivita zameraná na zvyšovanie povedomia o informatizácii a IKT?</w:t>
            </w:r>
          </w:p>
          <w:p w:rsidR="005D5DEA">
            <w:pPr>
              <w:bidi w:val="0"/>
              <w:spacing w:after="0"/>
              <w:contextualSpacing w:val="0"/>
            </w:pPr>
            <w:r w:rsidR="007D60ED">
              <w:rPr>
                <w:rFonts w:ascii="Times New Roman" w:hAnsi="Times New Roman" w:cs="Times New Roman"/>
                <w:i/>
              </w:rPr>
              <w:t>(Uveďte typ a spôsob zabezpečenia propagačných aktivít.)</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Nie</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6.</w:t>
            </w:r>
            <w:r w:rsidR="007D60ED">
              <w:rPr>
                <w:rFonts w:ascii="Times New Roman" w:hAnsi="Times New Roman" w:cs="Times New Roman"/>
              </w:rPr>
              <w:t xml:space="preserve"> Zabezpečuje/zohľadňuje/zlepšuje sa prístup znevýhodnených osôb k službám informačnej spoločnosti?</w:t>
            </w:r>
          </w:p>
          <w:p w:rsidR="005D5DEA">
            <w:pPr>
              <w:bidi w:val="0"/>
              <w:spacing w:after="0"/>
              <w:contextualSpacing w:val="0"/>
            </w:pPr>
            <w:r w:rsidR="007D60ED">
              <w:rPr>
                <w:rFonts w:ascii="Times New Roman" w:hAnsi="Times New Roman" w:cs="Times New Roman"/>
                <w:i/>
              </w:rPr>
              <w:t>(Uveďte spôsob sprístupnenia digitálneho prostredia.)</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Nie</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shd w:val="clear" w:color="auto" w:fill="C0C0C0"/>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Infraštruktúra</w:t>
            </w:r>
          </w:p>
        </w:tc>
        <w:tc>
          <w:tcPr>
            <w:tcW w:w="4961" w:type="dxa"/>
            <w:tcBorders>
              <w:top w:val="single" w:sz="4" w:space="0" w:color="auto"/>
              <w:left w:val="single" w:sz="4" w:space="0" w:color="auto"/>
              <w:bottom w:val="single" w:sz="4" w:space="0" w:color="auto"/>
              <w:right w:val="single" w:sz="4" w:space="0" w:color="auto"/>
            </w:tcBorders>
            <w:shd w:val="clear" w:color="auto" w:fill="C0C0C0"/>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 </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7.</w:t>
            </w:r>
            <w:r w:rsidR="007D60ED">
              <w:rPr>
                <w:rFonts w:ascii="Times New Roman" w:hAnsi="Times New Roman" w:cs="Times New Roman"/>
              </w:rPr>
              <w:t xml:space="preserve"> Rozširuje, inovuje, vytvára alebo zavádza sa nový informačný systém?</w:t>
            </w:r>
          </w:p>
          <w:p w:rsidR="005D5DEA">
            <w:pPr>
              <w:bidi w:val="0"/>
              <w:spacing w:after="0"/>
              <w:contextualSpacing w:val="0"/>
            </w:pPr>
            <w:r w:rsidR="007D60ED">
              <w:rPr>
                <w:rFonts w:ascii="Times New Roman" w:hAnsi="Times New Roman" w:cs="Times New Roman"/>
                <w:i/>
              </w:rPr>
              <w:t>(Uveďte jeho funkciu.)</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Áno - predpokladá sa vytvorenie informačného systému o bezpečnosti na športových podujatiach, ktorý bude obsahovať údaje o protiprávnych konaniach (správne delikty, priestupky resp. trestné činy) vykonaných v súvislosti s podujatiami a o osobách, ktoré sa ich dopustili, ako aj evidenciu hlavných usporiadateľov, bezpečnostných manažérov a usporiadateľov.</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8.</w:t>
            </w:r>
            <w:r w:rsidR="007D60ED">
              <w:rPr>
                <w:rFonts w:ascii="Times New Roman" w:hAnsi="Times New Roman" w:cs="Times New Roman"/>
              </w:rPr>
              <w:t xml:space="preserve"> Rozširuje sa prístupnosť k internetu?</w:t>
            </w:r>
          </w:p>
          <w:p w:rsidR="005D5DEA">
            <w:pPr>
              <w:bidi w:val="0"/>
              <w:spacing w:after="0"/>
              <w:contextualSpacing w:val="0"/>
            </w:pPr>
            <w:r w:rsidR="007D60ED">
              <w:rPr>
                <w:rFonts w:ascii="Times New Roman" w:hAnsi="Times New Roman" w:cs="Times New Roman"/>
                <w:i/>
              </w:rPr>
              <w:t>(Uveďte spôsob rozširovania prístupnosti.)</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Nie</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9.</w:t>
            </w:r>
            <w:r w:rsidR="007D60ED">
              <w:rPr>
                <w:rFonts w:ascii="Times New Roman" w:hAnsi="Times New Roman" w:cs="Times New Roman"/>
              </w:rPr>
              <w:t xml:space="preserve"> Rozširuje sa prístupnosť k elektronickým službám?</w:t>
            </w:r>
          </w:p>
          <w:p w:rsidR="005D5DEA">
            <w:pPr>
              <w:bidi w:val="0"/>
              <w:spacing w:after="0"/>
              <w:contextualSpacing w:val="0"/>
            </w:pPr>
            <w:r w:rsidR="007D60ED">
              <w:rPr>
                <w:rFonts w:ascii="Times New Roman" w:hAnsi="Times New Roman" w:cs="Times New Roman"/>
                <w:i/>
              </w:rPr>
              <w:t>(Uveďte spôsob rozširovania prístupnosti.)</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Všetky subjekty, ktoré budú organizovať podujatia budú mať zriadený prístup informačného systému o bezpečnosti na športových podujatiach.</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10.</w:t>
            </w:r>
            <w:r w:rsidR="007D60ED">
              <w:rPr>
                <w:rFonts w:ascii="Times New Roman" w:hAnsi="Times New Roman" w:cs="Times New Roman"/>
              </w:rPr>
              <w:t xml:space="preserve"> Zabezpečuje sa technická interoperabilita?</w:t>
            </w:r>
          </w:p>
          <w:p w:rsidR="005D5DEA">
            <w:pPr>
              <w:bidi w:val="0"/>
              <w:spacing w:after="0"/>
              <w:contextualSpacing w:val="0"/>
            </w:pPr>
            <w:r w:rsidR="007D60ED">
              <w:rPr>
                <w:rFonts w:ascii="Times New Roman" w:hAnsi="Times New Roman" w:cs="Times New Roman"/>
                <w:i/>
              </w:rPr>
              <w:t>(Uveďte spôsob jej zabezpečenia.)</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Áno, všetky IT produkty budú vytvorené v ustanovených štandardoch a bude ich možné využívať s použitím bežne dostupného internetového prehliadača.  IS o BŠP bude prepojený na informačný systém národného futbalového informačného strediska (NFIS)</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11.</w:t>
            </w:r>
            <w:r w:rsidR="007D60ED">
              <w:rPr>
                <w:rFonts w:ascii="Times New Roman" w:hAnsi="Times New Roman" w:cs="Times New Roman"/>
              </w:rPr>
              <w:t xml:space="preserve"> Zvyšuje sa bezpečnosť IT?</w:t>
            </w:r>
          </w:p>
          <w:p w:rsidR="005D5DEA">
            <w:pPr>
              <w:bidi w:val="0"/>
              <w:spacing w:after="0"/>
              <w:contextualSpacing w:val="0"/>
            </w:pPr>
            <w:r w:rsidR="007D60ED">
              <w:rPr>
                <w:rFonts w:ascii="Times New Roman" w:hAnsi="Times New Roman" w:cs="Times New Roman"/>
              </w:rPr>
              <w:t>(</w:t>
            </w:r>
            <w:r w:rsidR="007D60ED">
              <w:rPr>
                <w:rFonts w:ascii="Times New Roman" w:hAnsi="Times New Roman" w:cs="Times New Roman"/>
                <w:i/>
              </w:rPr>
              <w:t>Uveďte spôsob zvýšenia bezpečnosti a ochrany IT.)</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Nie</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12.</w:t>
            </w:r>
            <w:r w:rsidR="007D60ED">
              <w:rPr>
                <w:rFonts w:ascii="Times New Roman" w:hAnsi="Times New Roman" w:cs="Times New Roman"/>
              </w:rPr>
              <w:t xml:space="preserve"> Rozširuje sa technická infraštruktúra?</w:t>
            </w:r>
          </w:p>
          <w:p w:rsidR="005D5DEA">
            <w:pPr>
              <w:bidi w:val="0"/>
              <w:spacing w:after="0"/>
              <w:contextualSpacing w:val="0"/>
            </w:pPr>
            <w:r w:rsidR="007D60ED">
              <w:rPr>
                <w:rFonts w:ascii="Times New Roman" w:hAnsi="Times New Roman" w:cs="Times New Roman"/>
              </w:rPr>
              <w:t>(</w:t>
            </w:r>
            <w:r w:rsidR="007D60ED">
              <w:rPr>
                <w:rFonts w:ascii="Times New Roman" w:hAnsi="Times New Roman" w:cs="Times New Roman"/>
                <w:i/>
              </w:rPr>
              <w:t>Uveďte stručný popis zavádzanej infraštruktúry.)</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Nie</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shd w:val="clear" w:color="auto" w:fill="000000"/>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Riadenie procesu informatizácie</w:t>
            </w:r>
          </w:p>
        </w:tc>
        <w:tc>
          <w:tcPr>
            <w:tcW w:w="4961" w:type="dxa"/>
            <w:tcBorders>
              <w:top w:val="single" w:sz="4" w:space="0" w:color="auto"/>
              <w:left w:val="single" w:sz="4" w:space="0" w:color="auto"/>
              <w:bottom w:val="single" w:sz="4" w:space="0" w:color="auto"/>
              <w:right w:val="single" w:sz="4" w:space="0" w:color="auto"/>
            </w:tcBorders>
            <w:shd w:val="clear" w:color="auto" w:fill="000000"/>
            <w:tcMar>
              <w:top w:w="28" w:type="dxa"/>
              <w:left w:w="70" w:type="dxa"/>
              <w:bottom w:w="28" w:type="dxa"/>
              <w:right w:w="70" w:type="dxa"/>
            </w:tcMar>
            <w:textDirection w:val="lrTb"/>
            <w:vAlign w:val="top"/>
          </w:tcPr>
          <w:p w:rsidR="005D5DEA">
            <w:pPr>
              <w:bidi w:val="0"/>
              <w:spacing w:after="0"/>
              <w:contextualSpacing w:val="0"/>
              <w:jc w:val="center"/>
            </w:pPr>
            <w:r w:rsidR="007D60ED">
              <w:rPr>
                <w:rFonts w:ascii="Times New Roman" w:hAnsi="Times New Roman" w:cs="Times New Roman"/>
              </w:rPr>
              <w:t> </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13.</w:t>
            </w:r>
            <w:r w:rsidR="007D60ED">
              <w:rPr>
                <w:rFonts w:ascii="Times New Roman" w:hAnsi="Times New Roman" w:cs="Times New Roman"/>
              </w:rPr>
              <w:t xml:space="preserve"> Predpokladajú sa zmeny v riadení procesu informatizácie?</w:t>
            </w:r>
          </w:p>
          <w:p w:rsidR="005D5DEA">
            <w:pPr>
              <w:bidi w:val="0"/>
              <w:spacing w:after="0"/>
              <w:contextualSpacing w:val="0"/>
            </w:pPr>
            <w:r w:rsidR="007D60ED">
              <w:rPr>
                <w:rFonts w:ascii="Times New Roman" w:hAnsi="Times New Roman" w:cs="Times New Roman"/>
                <w:i/>
              </w:rPr>
              <w:t>(Uveďte popis zmien.)</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Nie</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shd w:val="clear" w:color="auto" w:fill="000000"/>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Financovanie procesu informatizácie</w:t>
            </w:r>
          </w:p>
        </w:tc>
        <w:tc>
          <w:tcPr>
            <w:tcW w:w="4961" w:type="dxa"/>
            <w:tcBorders>
              <w:top w:val="single" w:sz="4" w:space="0" w:color="auto"/>
              <w:left w:val="single" w:sz="4" w:space="0" w:color="auto"/>
              <w:bottom w:val="single" w:sz="4" w:space="0" w:color="auto"/>
              <w:right w:val="single" w:sz="4" w:space="0" w:color="auto"/>
            </w:tcBorders>
            <w:shd w:val="clear" w:color="auto" w:fill="000000"/>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 </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14.</w:t>
            </w:r>
            <w:r w:rsidR="007D60ED">
              <w:rPr>
                <w:rFonts w:ascii="Times New Roman" w:hAnsi="Times New Roman" w:cs="Times New Roman"/>
              </w:rPr>
              <w:t xml:space="preserve"> Vyžaduje si proces informatizácie finančné investície?</w:t>
            </w:r>
          </w:p>
          <w:p w:rsidR="005D5DEA">
            <w:pPr>
              <w:bidi w:val="0"/>
              <w:spacing w:after="0"/>
              <w:contextualSpacing w:val="0"/>
            </w:pPr>
            <w:r w:rsidR="007D60ED">
              <w:rPr>
                <w:rFonts w:ascii="Times New Roman" w:hAnsi="Times New Roman" w:cs="Times New Roman"/>
                <w:i/>
              </w:rPr>
              <w:t>(Popíšte príslušnú úroveň financovania.)</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Áno.</w:t>
            </w:r>
          </w:p>
          <w:p w:rsidR="005D5DEA">
            <w:pPr>
              <w:bidi w:val="0"/>
              <w:spacing w:after="0"/>
              <w:contextualSpacing w:val="0"/>
            </w:pPr>
            <w:r w:rsidR="007D60ED">
              <w:rPr>
                <w:rFonts w:ascii="Times New Roman" w:hAnsi="Times New Roman" w:cs="Times New Roman"/>
              </w:rPr>
              <w:t>Bude potrebné financovať zriadenie informačného systému o bezpečnosti na športových podujatiach (SFZ a SZĽH) jeho prevádzku a rozvoj (z pokút a iných príjmov).</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shd w:val="clear" w:color="auto" w:fill="000000"/>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Legislatívne prostredie procesu informatizácie</w:t>
            </w:r>
          </w:p>
        </w:tc>
        <w:tc>
          <w:tcPr>
            <w:tcW w:w="4961" w:type="dxa"/>
            <w:tcBorders>
              <w:top w:val="single" w:sz="4" w:space="0" w:color="auto"/>
              <w:left w:val="single" w:sz="4" w:space="0" w:color="auto"/>
              <w:bottom w:val="single" w:sz="4" w:space="0" w:color="auto"/>
              <w:right w:val="single" w:sz="4" w:space="0" w:color="auto"/>
            </w:tcBorders>
            <w:shd w:val="clear" w:color="auto" w:fill="000000"/>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rPr>
              <w:t> </w:t>
            </w:r>
          </w:p>
        </w:tc>
      </w:tr>
      <w:tr>
        <w:tblPrEx>
          <w:tblW w:w="9366" w:type="dxa"/>
          <w:tblInd w:w="60" w:type="dxa"/>
          <w:tblLayout w:type="fixed"/>
          <w:tblCellMar>
            <w:left w:w="10" w:type="dxa"/>
            <w:right w:w="10" w:type="dxa"/>
          </w:tblCellMar>
        </w:tblPrEx>
        <w:trPr>
          <w:trHeight w:val="20"/>
        </w:trPr>
        <w:tc>
          <w:tcPr>
            <w:tcW w:w="4405"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r w:rsidR="007D60ED">
              <w:rPr>
                <w:rFonts w:ascii="Times New Roman" w:hAnsi="Times New Roman" w:cs="Times New Roman"/>
                <w:b/>
              </w:rPr>
              <w:t>15.</w:t>
            </w:r>
            <w:r w:rsidR="007D60ED">
              <w:rPr>
                <w:rFonts w:ascii="Times New Roman" w:hAnsi="Times New Roman" w:cs="Times New Roman"/>
              </w:rPr>
              <w:t xml:space="preserve"> Predpokladá nelegislatívny materiál potrebu úpravy legislatívneho prostredia  procesu informatizácie?</w:t>
            </w:r>
          </w:p>
          <w:p w:rsidR="005D5DEA">
            <w:pPr>
              <w:bidi w:val="0"/>
              <w:spacing w:after="0"/>
              <w:contextualSpacing w:val="0"/>
            </w:pPr>
            <w:r w:rsidR="007D60ED">
              <w:rPr>
                <w:rFonts w:ascii="Times New Roman" w:hAnsi="Times New Roman" w:cs="Times New Roman"/>
                <w:i/>
              </w:rPr>
              <w:t>(Stručne popíšte navrhované legislatívne zmeny.)</w:t>
            </w:r>
          </w:p>
        </w:tc>
        <w:tc>
          <w:tcPr>
            <w:tcW w:w="4961" w:type="dxa"/>
            <w:tcBorders>
              <w:top w:val="single" w:sz="4" w:space="0" w:color="auto"/>
              <w:left w:val="single" w:sz="4" w:space="0" w:color="auto"/>
              <w:bottom w:val="single" w:sz="4" w:space="0" w:color="auto"/>
              <w:right w:val="single" w:sz="4" w:space="0" w:color="auto"/>
            </w:tcBorders>
            <w:tcMar>
              <w:top w:w="28" w:type="dxa"/>
              <w:left w:w="70" w:type="dxa"/>
              <w:bottom w:w="28" w:type="dxa"/>
              <w:right w:w="70" w:type="dxa"/>
            </w:tcMar>
            <w:textDirection w:val="lrTb"/>
            <w:vAlign w:val="top"/>
          </w:tcPr>
          <w:p w:rsidR="005D5DEA">
            <w:pPr>
              <w:bidi w:val="0"/>
              <w:spacing w:after="0"/>
              <w:contextualSpacing w:val="0"/>
            </w:pPr>
          </w:p>
          <w:p w:rsidR="005D5DEA">
            <w:pPr>
              <w:bidi w:val="0"/>
              <w:spacing w:after="0"/>
              <w:contextualSpacing w:val="0"/>
            </w:pPr>
            <w:r w:rsidR="007D60ED">
              <w:rPr>
                <w:rFonts w:ascii="Times New Roman" w:hAnsi="Times New Roman" w:cs="Times New Roman"/>
              </w:rPr>
              <w:t>---</w:t>
            </w:r>
          </w:p>
        </w:tc>
      </w:tr>
    </w:tbl>
    <w:p w:rsidR="005D5DEA">
      <w:pPr>
        <w:bidi w:val="0"/>
        <w:contextualSpacing w:val="0"/>
        <w:jc w:val="both"/>
      </w:pPr>
    </w:p>
    <w:p w:rsidR="005D5DEA" w:rsidP="00EA6C04">
      <w:pPr>
        <w:bidi w:val="0"/>
        <w:spacing w:line="360" w:lineRule="auto"/>
        <w:contextualSpacing w:val="0"/>
        <w:jc w:val="both"/>
      </w:pPr>
      <w:r w:rsidR="007D60ED">
        <w:rPr>
          <w:rFonts w:ascii="Times New Roman" w:hAnsi="Times New Roman" w:cs="Times New Roman"/>
          <w:b/>
        </w:rPr>
        <w:t>A.3. Poznámky</w:t>
      </w:r>
    </w:p>
    <w:p w:rsidR="005D5DEA" w:rsidP="00EA6C04">
      <w:pPr>
        <w:bidi w:val="0"/>
        <w:spacing w:line="360" w:lineRule="auto"/>
        <w:contextualSpacing w:val="0"/>
        <w:jc w:val="both"/>
      </w:pPr>
    </w:p>
    <w:p w:rsidR="005D5DEA" w:rsidP="00EA6C04">
      <w:pPr>
        <w:bidi w:val="0"/>
        <w:spacing w:line="360" w:lineRule="auto"/>
        <w:contextualSpacing w:val="0"/>
        <w:jc w:val="both"/>
      </w:pPr>
      <w:r w:rsidR="007D60ED">
        <w:rPr>
          <w:rFonts w:ascii="Times New Roman" w:hAnsi="Times New Roman" w:cs="Times New Roman"/>
          <w:b/>
        </w:rPr>
        <w:t>A.4. Alternatívne riešenia</w:t>
      </w:r>
    </w:p>
    <w:p w:rsidR="005D5DEA" w:rsidP="00EA6C04">
      <w:pPr>
        <w:bidi w:val="0"/>
        <w:spacing w:line="360" w:lineRule="auto"/>
        <w:contextualSpacing w:val="0"/>
        <w:jc w:val="both"/>
      </w:pPr>
    </w:p>
    <w:p w:rsidR="005D5DEA" w:rsidP="00EA6C04">
      <w:pPr>
        <w:bidi w:val="0"/>
        <w:spacing w:line="360" w:lineRule="auto"/>
        <w:contextualSpacing w:val="0"/>
        <w:jc w:val="both"/>
      </w:pPr>
      <w:r w:rsidR="007D60ED">
        <w:rPr>
          <w:rFonts w:ascii="Times New Roman" w:hAnsi="Times New Roman" w:cs="Times New Roman"/>
          <w:b/>
        </w:rPr>
        <w:t>A.5. Stanovisko gestorov</w:t>
      </w:r>
    </w:p>
    <w:sectPr>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Georgia">
    <w:panose1 w:val="02040502050405020303"/>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F2FB6"/>
    <w:multiLevelType w:val="multilevel"/>
    <w:tmpl w:val="0A302F56"/>
    <w:lvl w:ilvl="0">
      <w:start w:val="1"/>
      <w:numFmt w:val="bullet"/>
      <w:lvlText w:val="●"/>
      <w:lvlJc w:val="left"/>
      <w:pPr>
        <w:ind w:left="720" w:firstLine="1080"/>
      </w:pPr>
      <w:rPr>
        <w:rFonts w:ascii="Arial" w:eastAsia="Arial" w:hAnsi="Arial"/>
        <w:b w:val="0"/>
        <w:i w:val="0"/>
        <w:smallCaps w:val="0"/>
        <w:strike w:val="0"/>
        <w:color w:val="000000"/>
        <w:sz w:val="24"/>
        <w:u w:val="none"/>
        <w:vertAlign w:val="baseline"/>
      </w:rPr>
    </w:lvl>
    <w:lvl w:ilvl="1">
      <w:start w:val="1"/>
      <w:numFmt w:val="bullet"/>
      <w:lvlText w:val="○"/>
      <w:lvlJc w:val="left"/>
      <w:pPr>
        <w:ind w:left="1440" w:firstLine="2520"/>
      </w:pPr>
      <w:rPr>
        <w:rFonts w:ascii="Arial" w:eastAsia="Arial" w:hAnsi="Arial"/>
        <w:b w:val="0"/>
        <w:i w:val="0"/>
        <w:smallCaps w:val="0"/>
        <w:strike w:val="0"/>
        <w:color w:val="000000"/>
        <w:sz w:val="24"/>
        <w:u w:val="none"/>
        <w:vertAlign w:val="baseline"/>
      </w:rPr>
    </w:lvl>
    <w:lvl w:ilvl="2">
      <w:start w:val="1"/>
      <w:numFmt w:val="bullet"/>
      <w:lvlText w:val="■"/>
      <w:lvlJc w:val="left"/>
      <w:pPr>
        <w:ind w:left="2160" w:firstLine="3960"/>
      </w:pPr>
      <w:rPr>
        <w:rFonts w:ascii="Arial" w:eastAsia="Arial" w:hAnsi="Arial"/>
        <w:b w:val="0"/>
        <w:i w:val="0"/>
        <w:smallCaps w:val="0"/>
        <w:strike w:val="0"/>
        <w:color w:val="000000"/>
        <w:sz w:val="24"/>
        <w:u w:val="none"/>
        <w:vertAlign w:val="baseline"/>
      </w:rPr>
    </w:lvl>
    <w:lvl w:ilvl="3">
      <w:start w:val="1"/>
      <w:numFmt w:val="bullet"/>
      <w:lvlText w:val="●"/>
      <w:lvlJc w:val="left"/>
      <w:pPr>
        <w:ind w:left="2880" w:firstLine="5400"/>
      </w:pPr>
      <w:rPr>
        <w:rFonts w:ascii="Arial" w:eastAsia="Arial" w:hAnsi="Arial"/>
        <w:b w:val="0"/>
        <w:i w:val="0"/>
        <w:smallCaps w:val="0"/>
        <w:strike w:val="0"/>
        <w:color w:val="000000"/>
        <w:sz w:val="24"/>
        <w:u w:val="none"/>
        <w:vertAlign w:val="baseline"/>
      </w:rPr>
    </w:lvl>
    <w:lvl w:ilvl="4">
      <w:start w:val="1"/>
      <w:numFmt w:val="bullet"/>
      <w:lvlText w:val="○"/>
      <w:lvlJc w:val="left"/>
      <w:pPr>
        <w:ind w:left="3600" w:firstLine="6840"/>
      </w:pPr>
      <w:rPr>
        <w:rFonts w:ascii="Arial" w:eastAsia="Arial" w:hAnsi="Arial"/>
        <w:b w:val="0"/>
        <w:i w:val="0"/>
        <w:smallCaps w:val="0"/>
        <w:strike w:val="0"/>
        <w:color w:val="000000"/>
        <w:sz w:val="24"/>
        <w:u w:val="none"/>
        <w:vertAlign w:val="baseline"/>
      </w:rPr>
    </w:lvl>
    <w:lvl w:ilvl="5">
      <w:start w:val="1"/>
      <w:numFmt w:val="bullet"/>
      <w:lvlText w:val="■"/>
      <w:lvlJc w:val="left"/>
      <w:pPr>
        <w:ind w:left="4320" w:firstLine="8280"/>
      </w:pPr>
      <w:rPr>
        <w:rFonts w:ascii="Arial" w:eastAsia="Arial" w:hAnsi="Arial"/>
        <w:b w:val="0"/>
        <w:i w:val="0"/>
        <w:smallCaps w:val="0"/>
        <w:strike w:val="0"/>
        <w:color w:val="000000"/>
        <w:sz w:val="24"/>
        <w:u w:val="none"/>
        <w:vertAlign w:val="baseline"/>
      </w:rPr>
    </w:lvl>
    <w:lvl w:ilvl="6">
      <w:start w:val="1"/>
      <w:numFmt w:val="bullet"/>
      <w:lvlText w:val="●"/>
      <w:lvlJc w:val="left"/>
      <w:pPr>
        <w:ind w:left="5040" w:firstLine="9720"/>
      </w:pPr>
      <w:rPr>
        <w:rFonts w:ascii="Arial" w:eastAsia="Arial" w:hAnsi="Arial"/>
        <w:b w:val="0"/>
        <w:i w:val="0"/>
        <w:smallCaps w:val="0"/>
        <w:strike w:val="0"/>
        <w:color w:val="000000"/>
        <w:sz w:val="24"/>
        <w:u w:val="none"/>
        <w:vertAlign w:val="baseline"/>
      </w:rPr>
    </w:lvl>
    <w:lvl w:ilvl="7">
      <w:start w:val="1"/>
      <w:numFmt w:val="bullet"/>
      <w:lvlText w:val="○"/>
      <w:lvlJc w:val="left"/>
      <w:pPr>
        <w:ind w:left="5760" w:firstLine="11160"/>
      </w:pPr>
      <w:rPr>
        <w:rFonts w:ascii="Arial" w:eastAsia="Arial" w:hAnsi="Arial"/>
        <w:b w:val="0"/>
        <w:i w:val="0"/>
        <w:smallCaps w:val="0"/>
        <w:strike w:val="0"/>
        <w:color w:val="000000"/>
        <w:sz w:val="24"/>
        <w:u w:val="none"/>
        <w:vertAlign w:val="baseline"/>
      </w:rPr>
    </w:lvl>
    <w:lvl w:ilvl="8">
      <w:start w:val="1"/>
      <w:numFmt w:val="bullet"/>
      <w:lvlText w:val="■"/>
      <w:lvlJc w:val="left"/>
      <w:pPr>
        <w:ind w:left="6480" w:firstLine="12600"/>
      </w:pPr>
      <w:rPr>
        <w:rFonts w:ascii="Arial" w:eastAsia="Arial" w:hAnsi="Arial"/>
        <w:b w:val="0"/>
        <w:i w:val="0"/>
        <w:smallCaps w:val="0"/>
        <w:strike w:val="0"/>
        <w:color w:val="000000"/>
        <w:sz w:val="24"/>
        <w:u w:val="none"/>
        <w:vertAlign w:val="baseline"/>
      </w:rPr>
    </w:lvl>
  </w:abstractNum>
  <w:abstractNum w:abstractNumId="1">
    <w:nsid w:val="33E47E2E"/>
    <w:multiLevelType w:val="multilevel"/>
    <w:tmpl w:val="00504C00"/>
    <w:lvl w:ilvl="0">
      <w:start w:val="1"/>
      <w:numFmt w:val="bullet"/>
      <w:lvlText w:val="●"/>
      <w:lvlJc w:val="left"/>
      <w:pPr>
        <w:ind w:left="720" w:firstLine="1080"/>
      </w:pPr>
      <w:rPr>
        <w:rFonts w:ascii="Arial" w:eastAsia="Arial" w:hAnsi="Arial"/>
        <w:b w:val="0"/>
        <w:i w:val="0"/>
        <w:smallCaps w:val="0"/>
        <w:strike w:val="0"/>
        <w:color w:val="000000"/>
        <w:sz w:val="24"/>
        <w:u w:val="none"/>
        <w:vertAlign w:val="baseline"/>
      </w:rPr>
    </w:lvl>
    <w:lvl w:ilvl="1">
      <w:start w:val="1"/>
      <w:numFmt w:val="bullet"/>
      <w:lvlText w:val="○"/>
      <w:lvlJc w:val="left"/>
      <w:pPr>
        <w:ind w:left="1440" w:firstLine="2520"/>
      </w:pPr>
      <w:rPr>
        <w:rFonts w:ascii="Arial" w:eastAsia="Arial" w:hAnsi="Arial"/>
        <w:b w:val="0"/>
        <w:i w:val="0"/>
        <w:smallCaps w:val="0"/>
        <w:strike w:val="0"/>
        <w:color w:val="000000"/>
        <w:sz w:val="24"/>
        <w:u w:val="none"/>
        <w:vertAlign w:val="baseline"/>
      </w:rPr>
    </w:lvl>
    <w:lvl w:ilvl="2">
      <w:start w:val="1"/>
      <w:numFmt w:val="bullet"/>
      <w:lvlText w:val="■"/>
      <w:lvlJc w:val="left"/>
      <w:pPr>
        <w:ind w:left="2160" w:firstLine="3960"/>
      </w:pPr>
      <w:rPr>
        <w:rFonts w:ascii="Arial" w:eastAsia="Arial" w:hAnsi="Arial"/>
        <w:b w:val="0"/>
        <w:i w:val="0"/>
        <w:smallCaps w:val="0"/>
        <w:strike w:val="0"/>
        <w:color w:val="000000"/>
        <w:sz w:val="24"/>
        <w:u w:val="none"/>
        <w:vertAlign w:val="baseline"/>
      </w:rPr>
    </w:lvl>
    <w:lvl w:ilvl="3">
      <w:start w:val="1"/>
      <w:numFmt w:val="bullet"/>
      <w:lvlText w:val="●"/>
      <w:lvlJc w:val="left"/>
      <w:pPr>
        <w:ind w:left="2880" w:firstLine="5400"/>
      </w:pPr>
      <w:rPr>
        <w:rFonts w:ascii="Arial" w:eastAsia="Arial" w:hAnsi="Arial"/>
        <w:b w:val="0"/>
        <w:i w:val="0"/>
        <w:smallCaps w:val="0"/>
        <w:strike w:val="0"/>
        <w:color w:val="000000"/>
        <w:sz w:val="24"/>
        <w:u w:val="none"/>
        <w:vertAlign w:val="baseline"/>
      </w:rPr>
    </w:lvl>
    <w:lvl w:ilvl="4">
      <w:start w:val="1"/>
      <w:numFmt w:val="bullet"/>
      <w:lvlText w:val="○"/>
      <w:lvlJc w:val="left"/>
      <w:pPr>
        <w:ind w:left="3600" w:firstLine="6840"/>
      </w:pPr>
      <w:rPr>
        <w:rFonts w:ascii="Arial" w:eastAsia="Arial" w:hAnsi="Arial"/>
        <w:b w:val="0"/>
        <w:i w:val="0"/>
        <w:smallCaps w:val="0"/>
        <w:strike w:val="0"/>
        <w:color w:val="000000"/>
        <w:sz w:val="24"/>
        <w:u w:val="none"/>
        <w:vertAlign w:val="baseline"/>
      </w:rPr>
    </w:lvl>
    <w:lvl w:ilvl="5">
      <w:start w:val="1"/>
      <w:numFmt w:val="bullet"/>
      <w:lvlText w:val="■"/>
      <w:lvlJc w:val="left"/>
      <w:pPr>
        <w:ind w:left="4320" w:firstLine="8280"/>
      </w:pPr>
      <w:rPr>
        <w:rFonts w:ascii="Arial" w:eastAsia="Arial" w:hAnsi="Arial"/>
        <w:b w:val="0"/>
        <w:i w:val="0"/>
        <w:smallCaps w:val="0"/>
        <w:strike w:val="0"/>
        <w:color w:val="000000"/>
        <w:sz w:val="24"/>
        <w:u w:val="none"/>
        <w:vertAlign w:val="baseline"/>
      </w:rPr>
    </w:lvl>
    <w:lvl w:ilvl="6">
      <w:start w:val="1"/>
      <w:numFmt w:val="bullet"/>
      <w:lvlText w:val="●"/>
      <w:lvlJc w:val="left"/>
      <w:pPr>
        <w:ind w:left="5040" w:firstLine="9720"/>
      </w:pPr>
      <w:rPr>
        <w:rFonts w:ascii="Arial" w:eastAsia="Arial" w:hAnsi="Arial"/>
        <w:b w:val="0"/>
        <w:i w:val="0"/>
        <w:smallCaps w:val="0"/>
        <w:strike w:val="0"/>
        <w:color w:val="000000"/>
        <w:sz w:val="24"/>
        <w:u w:val="none"/>
        <w:vertAlign w:val="baseline"/>
      </w:rPr>
    </w:lvl>
    <w:lvl w:ilvl="7">
      <w:start w:val="1"/>
      <w:numFmt w:val="bullet"/>
      <w:lvlText w:val="○"/>
      <w:lvlJc w:val="left"/>
      <w:pPr>
        <w:ind w:left="5760" w:firstLine="11160"/>
      </w:pPr>
      <w:rPr>
        <w:rFonts w:ascii="Arial" w:eastAsia="Arial" w:hAnsi="Arial"/>
        <w:b w:val="0"/>
        <w:i w:val="0"/>
        <w:smallCaps w:val="0"/>
        <w:strike w:val="0"/>
        <w:color w:val="000000"/>
        <w:sz w:val="24"/>
        <w:u w:val="none"/>
        <w:vertAlign w:val="baseline"/>
      </w:rPr>
    </w:lvl>
    <w:lvl w:ilvl="8">
      <w:start w:val="1"/>
      <w:numFmt w:val="bullet"/>
      <w:lvlText w:val="■"/>
      <w:lvlJc w:val="left"/>
      <w:pPr>
        <w:ind w:left="6480" w:firstLine="12600"/>
      </w:pPr>
      <w:rPr>
        <w:rFonts w:ascii="Arial" w:eastAsia="Arial" w:hAnsi="Arial"/>
        <w:b w:val="0"/>
        <w:i w:val="0"/>
        <w:smallCaps w:val="0"/>
        <w:strike w:val="0"/>
        <w:color w:val="000000"/>
        <w:sz w:val="24"/>
        <w:u w:val="none"/>
        <w:vertAlign w:val="baseline"/>
      </w:rPr>
    </w:lvl>
  </w:abstractNum>
  <w:abstractNum w:abstractNumId="2">
    <w:nsid w:val="49B442E0"/>
    <w:multiLevelType w:val="multilevel"/>
    <w:tmpl w:val="BB30D314"/>
    <w:lvl w:ilvl="0">
      <w:start w:val="1"/>
      <w:numFmt w:val="bullet"/>
      <w:lvlText w:val="●"/>
      <w:lvlJc w:val="left"/>
      <w:pPr>
        <w:ind w:left="360" w:firstLine="0"/>
      </w:pPr>
      <w:rPr>
        <w:rFonts w:ascii="Arial" w:eastAsia="Arial" w:hAnsi="Arial"/>
        <w:b w:val="0"/>
        <w:i w:val="0"/>
        <w:smallCaps w:val="0"/>
        <w:strike w:val="0"/>
        <w:color w:val="000000"/>
        <w:sz w:val="22"/>
        <w:u w:val="none"/>
        <w:vertAlign w:val="baseline"/>
      </w:rPr>
    </w:lvl>
    <w:lvl w:ilvl="1">
      <w:start w:val="1"/>
      <w:numFmt w:val="bullet"/>
      <w:lvlText w:val="●"/>
      <w:lvlJc w:val="left"/>
      <w:pPr>
        <w:ind w:left="1575" w:firstLine="720"/>
      </w:pPr>
      <w:rPr>
        <w:rFonts w:ascii="Arial" w:eastAsia="Arial" w:hAnsi="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b w:val="0"/>
        <w:i w:val="0"/>
        <w:smallCaps w:val="0"/>
        <w:strike w:val="0"/>
        <w:color w:val="000000"/>
        <w:sz w:val="22"/>
        <w:u w:val="none"/>
        <w:vertAlign w:val="baseline"/>
      </w:rPr>
    </w:lvl>
  </w:abstractNum>
  <w:abstractNum w:abstractNumId="3">
    <w:nsid w:val="78680B4D"/>
    <w:multiLevelType w:val="multilevel"/>
    <w:tmpl w:val="54C6C906"/>
    <w:lvl w:ilvl="0">
      <w:start w:val="1"/>
      <w:numFmt w:val="bullet"/>
      <w:lvlText w:val="●"/>
      <w:lvlJc w:val="left"/>
      <w:pPr>
        <w:ind w:left="720" w:firstLine="1080"/>
      </w:pPr>
      <w:rPr>
        <w:rFonts w:ascii="Arial" w:eastAsia="Arial" w:hAnsi="Arial"/>
        <w:b w:val="0"/>
        <w:i w:val="0"/>
        <w:smallCaps w:val="0"/>
        <w:strike w:val="0"/>
        <w:color w:val="000000"/>
        <w:sz w:val="24"/>
        <w:u w:val="none"/>
        <w:vertAlign w:val="baseline"/>
      </w:rPr>
    </w:lvl>
    <w:lvl w:ilvl="1">
      <w:start w:val="1"/>
      <w:numFmt w:val="bullet"/>
      <w:lvlText w:val="○"/>
      <w:lvlJc w:val="left"/>
      <w:pPr>
        <w:ind w:left="1440" w:firstLine="2520"/>
      </w:pPr>
      <w:rPr>
        <w:rFonts w:ascii="Arial" w:eastAsia="Arial" w:hAnsi="Arial"/>
        <w:b w:val="0"/>
        <w:i w:val="0"/>
        <w:smallCaps w:val="0"/>
        <w:strike w:val="0"/>
        <w:color w:val="000000"/>
        <w:sz w:val="24"/>
        <w:u w:val="none"/>
        <w:vertAlign w:val="baseline"/>
      </w:rPr>
    </w:lvl>
    <w:lvl w:ilvl="2">
      <w:start w:val="1"/>
      <w:numFmt w:val="bullet"/>
      <w:lvlText w:val="■"/>
      <w:lvlJc w:val="left"/>
      <w:pPr>
        <w:ind w:left="2160" w:firstLine="3960"/>
      </w:pPr>
      <w:rPr>
        <w:rFonts w:ascii="Arial" w:eastAsia="Arial" w:hAnsi="Arial"/>
        <w:b w:val="0"/>
        <w:i w:val="0"/>
        <w:smallCaps w:val="0"/>
        <w:strike w:val="0"/>
        <w:color w:val="000000"/>
        <w:sz w:val="24"/>
        <w:u w:val="none"/>
        <w:vertAlign w:val="baseline"/>
      </w:rPr>
    </w:lvl>
    <w:lvl w:ilvl="3">
      <w:start w:val="1"/>
      <w:numFmt w:val="bullet"/>
      <w:lvlText w:val="●"/>
      <w:lvlJc w:val="left"/>
      <w:pPr>
        <w:ind w:left="2880" w:firstLine="5400"/>
      </w:pPr>
      <w:rPr>
        <w:rFonts w:ascii="Arial" w:eastAsia="Arial" w:hAnsi="Arial"/>
        <w:b w:val="0"/>
        <w:i w:val="0"/>
        <w:smallCaps w:val="0"/>
        <w:strike w:val="0"/>
        <w:color w:val="000000"/>
        <w:sz w:val="24"/>
        <w:u w:val="none"/>
        <w:vertAlign w:val="baseline"/>
      </w:rPr>
    </w:lvl>
    <w:lvl w:ilvl="4">
      <w:start w:val="1"/>
      <w:numFmt w:val="bullet"/>
      <w:lvlText w:val="○"/>
      <w:lvlJc w:val="left"/>
      <w:pPr>
        <w:ind w:left="3600" w:firstLine="6840"/>
      </w:pPr>
      <w:rPr>
        <w:rFonts w:ascii="Arial" w:eastAsia="Arial" w:hAnsi="Arial"/>
        <w:b w:val="0"/>
        <w:i w:val="0"/>
        <w:smallCaps w:val="0"/>
        <w:strike w:val="0"/>
        <w:color w:val="000000"/>
        <w:sz w:val="24"/>
        <w:u w:val="none"/>
        <w:vertAlign w:val="baseline"/>
      </w:rPr>
    </w:lvl>
    <w:lvl w:ilvl="5">
      <w:start w:val="1"/>
      <w:numFmt w:val="bullet"/>
      <w:lvlText w:val="■"/>
      <w:lvlJc w:val="left"/>
      <w:pPr>
        <w:ind w:left="4320" w:firstLine="8280"/>
      </w:pPr>
      <w:rPr>
        <w:rFonts w:ascii="Arial" w:eastAsia="Arial" w:hAnsi="Arial"/>
        <w:b w:val="0"/>
        <w:i w:val="0"/>
        <w:smallCaps w:val="0"/>
        <w:strike w:val="0"/>
        <w:color w:val="000000"/>
        <w:sz w:val="24"/>
        <w:u w:val="none"/>
        <w:vertAlign w:val="baseline"/>
      </w:rPr>
    </w:lvl>
    <w:lvl w:ilvl="6">
      <w:start w:val="1"/>
      <w:numFmt w:val="bullet"/>
      <w:lvlText w:val="●"/>
      <w:lvlJc w:val="left"/>
      <w:pPr>
        <w:ind w:left="5040" w:firstLine="9720"/>
      </w:pPr>
      <w:rPr>
        <w:rFonts w:ascii="Arial" w:eastAsia="Arial" w:hAnsi="Arial"/>
        <w:b w:val="0"/>
        <w:i w:val="0"/>
        <w:smallCaps w:val="0"/>
        <w:strike w:val="0"/>
        <w:color w:val="000000"/>
        <w:sz w:val="24"/>
        <w:u w:val="none"/>
        <w:vertAlign w:val="baseline"/>
      </w:rPr>
    </w:lvl>
    <w:lvl w:ilvl="7">
      <w:start w:val="1"/>
      <w:numFmt w:val="bullet"/>
      <w:lvlText w:val="○"/>
      <w:lvlJc w:val="left"/>
      <w:pPr>
        <w:ind w:left="5760" w:firstLine="11160"/>
      </w:pPr>
      <w:rPr>
        <w:rFonts w:ascii="Arial" w:eastAsia="Arial" w:hAnsi="Arial"/>
        <w:b w:val="0"/>
        <w:i w:val="0"/>
        <w:smallCaps w:val="0"/>
        <w:strike w:val="0"/>
        <w:color w:val="000000"/>
        <w:sz w:val="24"/>
        <w:u w:val="none"/>
        <w:vertAlign w:val="baseline"/>
      </w:rPr>
    </w:lvl>
    <w:lvl w:ilvl="8">
      <w:start w:val="1"/>
      <w:numFmt w:val="bullet"/>
      <w:lvlText w:val="■"/>
      <w:lvlJc w:val="left"/>
      <w:pPr>
        <w:ind w:left="6480" w:firstLine="12600"/>
      </w:pPr>
      <w:rPr>
        <w:rFonts w:ascii="Arial" w:eastAsia="Arial" w:hAnsi="Arial"/>
        <w:b w:val="0"/>
        <w:i w:val="0"/>
        <w:smallCaps w:val="0"/>
        <w:strike w:val="0"/>
        <w:color w:val="000000"/>
        <w:sz w:val="24"/>
        <w:u w:val="none"/>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hyphenationZone w:val="425"/>
  <w:characterSpacingControl w:val="doNotCompress"/>
  <w:compat/>
  <w:rsids>
    <w:rsidRoot w:val="005D5DEA"/>
    <w:rsid w:val="005D5DEA"/>
    <w:rsid w:val="00686CB8"/>
    <w:rsid w:val="00743FA5"/>
    <w:rsid w:val="007D60ED"/>
    <w:rsid w:val="00E20E1D"/>
    <w:rsid w:val="00EA6C0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framePr w:wrap="auto"/>
      <w:widowControl/>
      <w:autoSpaceDE/>
      <w:autoSpaceDN/>
      <w:adjustRightInd/>
      <w:spacing w:line="276" w:lineRule="auto"/>
      <w:ind w:left="0" w:right="0"/>
      <w:contextualSpacing/>
      <w:jc w:val="left"/>
      <w:textAlignment w:val="auto"/>
    </w:pPr>
    <w:rPr>
      <w:rFonts w:ascii="Arial" w:eastAsia="Arial" w:hAnsi="Arial" w:cs="Arial"/>
      <w:color w:val="000000"/>
      <w:sz w:val="22"/>
      <w:szCs w:val="22"/>
      <w:rtl w:val="0"/>
      <w:cs w:val="0"/>
      <w:lang w:val="sk-SK" w:eastAsia="sk-SK" w:bidi="ar-SA"/>
    </w:rPr>
  </w:style>
  <w:style w:type="paragraph" w:styleId="Heading1">
    <w:name w:val="heading 1"/>
    <w:basedOn w:val="Normal"/>
    <w:next w:val="Normal"/>
    <w:pPr>
      <w:spacing w:before="480" w:after="120"/>
      <w:jc w:val="left"/>
      <w:outlineLvl w:val="0"/>
    </w:pPr>
    <w:rPr>
      <w:b/>
      <w:sz w:val="48"/>
    </w:rPr>
  </w:style>
  <w:style w:type="paragraph" w:styleId="Heading2">
    <w:name w:val="heading 2"/>
    <w:basedOn w:val="Normal"/>
    <w:next w:val="Normal"/>
    <w:pPr>
      <w:spacing w:before="360" w:after="80"/>
      <w:jc w:val="left"/>
      <w:outlineLvl w:val="1"/>
    </w:pPr>
    <w:rPr>
      <w:b/>
      <w:sz w:val="36"/>
    </w:rPr>
  </w:style>
  <w:style w:type="paragraph" w:styleId="Heading3">
    <w:name w:val="heading 3"/>
    <w:basedOn w:val="Normal"/>
    <w:next w:val="Normal"/>
    <w:pPr>
      <w:spacing w:before="280" w:after="80"/>
      <w:jc w:val="left"/>
      <w:outlineLvl w:val="2"/>
    </w:pPr>
    <w:rPr>
      <w:b/>
      <w:sz w:val="28"/>
    </w:rPr>
  </w:style>
  <w:style w:type="paragraph" w:styleId="Heading4">
    <w:name w:val="heading 4"/>
    <w:basedOn w:val="Normal"/>
    <w:next w:val="Normal"/>
    <w:pPr>
      <w:spacing w:before="240" w:after="40"/>
      <w:jc w:val="left"/>
      <w:outlineLvl w:val="3"/>
    </w:pPr>
    <w:rPr>
      <w:b/>
      <w:sz w:val="24"/>
    </w:rPr>
  </w:style>
  <w:style w:type="paragraph" w:styleId="Heading5">
    <w:name w:val="heading 5"/>
    <w:basedOn w:val="Normal"/>
    <w:next w:val="Normal"/>
    <w:pPr>
      <w:spacing w:before="220" w:after="40"/>
      <w:jc w:val="left"/>
      <w:outlineLvl w:val="4"/>
    </w:pPr>
    <w:rPr>
      <w:b/>
    </w:rPr>
  </w:style>
  <w:style w:type="paragraph" w:styleId="Heading6">
    <w:name w:val="heading 6"/>
    <w:basedOn w:val="Normal"/>
    <w:next w:val="Normal"/>
    <w:pPr>
      <w:spacing w:before="200" w:after="40"/>
      <w:jc w:val="left"/>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Title">
    <w:name w:val="Title"/>
    <w:basedOn w:val="Normal"/>
    <w:next w:val="Normal"/>
    <w:pPr>
      <w:spacing w:before="480" w:after="120"/>
      <w:jc w:val="left"/>
    </w:pPr>
    <w:rPr>
      <w:b/>
      <w:sz w:val="72"/>
    </w:rPr>
  </w:style>
  <w:style w:type="paragraph" w:styleId="Subtitle">
    <w:name w:val="Subtitle"/>
    <w:basedOn w:val="Normal"/>
    <w:next w:val="Normal"/>
    <w:pPr>
      <w:spacing w:before="360" w:after="80"/>
      <w:jc w:val="left"/>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8C7C779-51CB-4780-B059-2DA66377ACB0}">
  <ds:schemaRefs>
    <ds:schemaRef ds:uri="http://schemas.microsoft.com/sharepoint/v3/contenttype/forms"/>
  </ds:schemaRefs>
</ds:datastoreItem>
</file>

<file path=customXml/itemProps2.xml><?xml version="1.0" encoding="utf-8"?>
<ds:datastoreItem xmlns:ds="http://schemas.openxmlformats.org/officeDocument/2006/customXml" ds:itemID="{57253D5F-9D44-43D3-BEF4-953770DEB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2537F7-24F6-4B18-999A-FE52F9E0A9C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otalTime>1</TotalTime>
  <Pages>7</Pages>
  <Words>2180</Words>
  <Characters>12428</Characters>
  <Application>Microsoft Office Word</Application>
  <DocSecurity>0</DocSecurity>
  <Lines>0</Lines>
  <Paragraphs>0</Paragraphs>
  <ScaleCrop>false</ScaleCrop>
  <Company>HP</Company>
  <LinksUpToDate>false</LinksUpToDate>
  <CharactersWithSpaces>14579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Dolozka_vplyvov_k_Z_o_org_ver_sport_podujati_do_vlady.docx</dc:title>
  <dc:creator>Žaneta Surmajová</dc:creator>
  <cp:lastModifiedBy>Juhás Branislav</cp:lastModifiedBy>
  <cp:revision>2</cp:revision>
  <dcterms:created xsi:type="dcterms:W3CDTF">2013-09-26T14:00:00Z</dcterms:created>
  <dcterms:modified xsi:type="dcterms:W3CDTF">2013-09-26T14:00:00Z</dcterms:modified>
</cp:coreProperties>
</file>