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200" w:line="276" w:lineRule="auto"/>
        <w:ind w:firstLine="720"/>
        <w:jc w:val="both"/>
        <w:rPr>
          <w:rFonts w:ascii="Times New Roman" w:hAnsi="Times New Roman"/>
          <w:color w:val="000000"/>
        </w:rPr>
      </w:pPr>
      <w:r w:rsidR="00C0489E">
        <w:rPr>
          <w:rStyle w:val="PlaceholderText"/>
          <w:color w:val="000000"/>
        </w:rPr>
        <w:t>Ministerstvo školstva, vedy, výskumu a športu Slovenskej republiky na základe úlohy č. 5 v mesiaci november v Pláne legislatívnych úloh vlády Slovenskej republiky na rok 2013 predkladá návrh zákona o organizovaní verejných športových podujatí a o zmene a doplnení niektorých zákonov (ďalej len “návrh zákona”).</w:t>
      </w:r>
    </w:p>
    <w:p w:rsidR="00C0489E">
      <w:pPr>
        <w:widowControl/>
        <w:bidi w:val="0"/>
        <w:spacing w:after="200" w:line="276" w:lineRule="auto"/>
        <w:ind w:firstLine="720"/>
        <w:jc w:val="both"/>
        <w:rPr>
          <w:rStyle w:val="PlaceholderText"/>
          <w:color w:val="000000"/>
        </w:rPr>
      </w:pPr>
      <w:r>
        <w:rPr>
          <w:rStyle w:val="PlaceholderText"/>
          <w:color w:val="000000"/>
        </w:rPr>
        <w:t xml:space="preserve">Návrh zákona bol vypracovaný v súlade s Koncepciou boja proti diváckemu násiliu na roky 2013 – 2016 (ďalej len “koncepcia”) schválenou uznesením vlády Slovenskej republiky č. 44/2013 z 30.1.2013, v rámci plnenia cieľa č. 1 - </w:t>
      </w:r>
      <w:r>
        <w:rPr>
          <w:rStyle w:val="PlaceholderText"/>
          <w:i/>
          <w:color w:val="000000"/>
        </w:rPr>
        <w:t>Zmeny a doplnenia právnych mechanizmov</w:t>
      </w:r>
      <w:r>
        <w:rPr>
          <w:rStyle w:val="PlaceholderText"/>
          <w:color w:val="000000"/>
        </w:rPr>
        <w:t xml:space="preserve">, úlohy č. 1 - </w:t>
      </w:r>
      <w:r>
        <w:rPr>
          <w:rStyle w:val="PlaceholderText"/>
          <w:i/>
          <w:color w:val="000000"/>
        </w:rPr>
        <w:t>Úprava právnych predpisov</w:t>
      </w:r>
      <w:r>
        <w:rPr>
          <w:rStyle w:val="PlaceholderText"/>
          <w:color w:val="000000"/>
        </w:rPr>
        <w:t>.</w:t>
      </w:r>
    </w:p>
    <w:p w:rsidR="00C0489E">
      <w:pPr>
        <w:widowControl/>
        <w:bidi w:val="0"/>
        <w:spacing w:after="200" w:line="276" w:lineRule="auto"/>
        <w:ind w:firstLine="720"/>
        <w:jc w:val="both"/>
        <w:rPr>
          <w:rStyle w:val="PlaceholderText"/>
          <w:color w:val="000000"/>
        </w:rPr>
      </w:pPr>
      <w:r>
        <w:rPr>
          <w:rStyle w:val="PlaceholderText"/>
          <w:color w:val="000000"/>
        </w:rPr>
        <w:t>Návrh zákona bol vypracovaný v spolupráci s medzirezortnou pracovnou skupinou zloženou zo zástupcov Ministerstva školstva, vedy, výskumu a športu Slovenskej republiky, Ministerstva vnútra Slovenskej republiky, Ministerstva spravodlivosti Slovenskej republiky, Generálnej prokuratúry Slovenskej republiky, Slovenského futbalového zväzu, Slovenského zväzu ľadového hokeja, Združenia miest a obcí Slovenskej republiky a ďalších subjektov z verejnej sféry, športovej sféry i akademickej sféry po dlhodobej dôkladnej analýze stavu problematiky v Slovenskej republike</w:t>
      </w:r>
      <w:r>
        <w:rPr>
          <w:rStyle w:val="PlaceholderText"/>
          <w:color w:val="00FFFF"/>
        </w:rPr>
        <w:t xml:space="preserve"> </w:t>
      </w:r>
      <w:r>
        <w:rPr>
          <w:rStyle w:val="PlaceholderText"/>
          <w:color w:val="000000"/>
        </w:rPr>
        <w:t>i v iných štátoch Európskej únie a po širokej vecnej diskusii.</w:t>
      </w:r>
    </w:p>
    <w:p w:rsidR="00C0489E">
      <w:pPr>
        <w:widowControl/>
        <w:bidi w:val="0"/>
        <w:spacing w:after="200" w:line="276" w:lineRule="auto"/>
        <w:ind w:firstLine="720"/>
        <w:jc w:val="both"/>
        <w:rPr>
          <w:rStyle w:val="PlaceholderText"/>
          <w:color w:val="000000"/>
        </w:rPr>
      </w:pPr>
      <w:r>
        <w:rPr>
          <w:rStyle w:val="PlaceholderText"/>
          <w:color w:val="000000"/>
        </w:rPr>
        <w:t xml:space="preserve">Závažnosť a rozšírenie fenoménu diváckeho násilia najprv najmä v Anglicku a následne aj v ďalších štátoch Európy v 70-tych a 80-tych rokoch XX. storočia boli dôvodom pre to, aby bol v roku 1985 na pôde Rady Európy (19. augusta 1985; Štrasburg) uzavretý </w:t>
      </w:r>
      <w:r>
        <w:rPr>
          <w:rStyle w:val="PlaceholderText"/>
          <w:i/>
          <w:color w:val="000000"/>
        </w:rPr>
        <w:t xml:space="preserve">Európsky dohovor o násilí a neviazanosti divákov na športových podujatiach a najmä na futbalových zápasoch </w:t>
      </w:r>
      <w:r>
        <w:rPr>
          <w:rStyle w:val="PlaceholderText"/>
          <w:color w:val="000000"/>
        </w:rPr>
        <w:t>(CETS 120), ktorý okrem Andorry, Gruzínska, Írska, Malty, Moldavska a San Marina podpísali všetky členské štáty Rady Európy, v roku 2013 pristúpilo k dohovoru aj Maroko, ako nečlenský štát Rady Európy. Slovenská republika je signatárom tohto dohovoru od 1. júla 1993. Signatárske štáty dohovoru sa prijatím tohto dohovoru zaviazali k vzájomnej spolupráci všetkých subjektov zainteresovaných na eliminácii diváckeho násilia (štát, polícia, športové zväzy, kluby, obce, cestovné kancelárie, prepravcovia, fan kluby), ktorej účelom je postarať sa o bezpečnosť a pohodlie slušných priaznivcov a efektívny postih delikventov vrátane trestnoprávneho, s cieľom zabrániť problémovým osobám zúčastňovať sa na športových podujatiach. Aj tento dohovor vychádza z poznania, že fenomén diváckeho násilia je síce najsilnejší na futbalových stretnutiach, zároveň však vždy existuje reálna hrozba, že po vytlačení tohto negatívneho javu z futbalových štadiónov alebo aj z iných dôvodov sa môže zaťažiť športové podujatia iných športových odvetví</w:t>
      </w:r>
      <w:hyperlink r:id="rId4" w:anchor="_ftn1" w:history="1">
        <w:bookmarkStart w:id="0" w:name="_ftnref1"/>
        <w:r>
          <w:rPr>
            <w:rStyle w:val="PlaceholderText"/>
            <w:color w:val="000000"/>
            <w:u w:val="single"/>
          </w:rPr>
          <w:t>[1]</w:t>
        </w:r>
      </w:hyperlink>
      <w:bookmarkEnd w:id="0"/>
      <w:r>
        <w:rPr>
          <w:rStyle w:val="PlaceholderText"/>
          <w:color w:val="000000"/>
        </w:rPr>
        <w:t xml:space="preserve">. Problematika diváckeho násilia a jej vývoj je neustále predmetom skúmania Stáleho výboru Rady Európy k uvedenému dohovoru. Stály výbor k aplikácii dohovoru v praxi vypracoval viacero odborných dokumentov obsahujúcich odporúčania a najlepšie postupy pre členské štáty, ktorých cieľom je prevencia a eliminácia diváckeho násilia. </w:t>
      </w:r>
    </w:p>
    <w:p w:rsidR="00C0489E">
      <w:pPr>
        <w:widowControl/>
        <w:bidi w:val="0"/>
        <w:spacing w:after="200" w:line="276" w:lineRule="auto"/>
        <w:ind w:firstLine="720"/>
        <w:jc w:val="both"/>
        <w:rPr>
          <w:rStyle w:val="PlaceholderText"/>
          <w:color w:val="000000"/>
        </w:rPr>
      </w:pPr>
      <w:bookmarkStart w:id="1" w:name="h.gjdgxs"/>
      <w:bookmarkEnd w:id="1"/>
      <w:r>
        <w:rPr>
          <w:rStyle w:val="PlaceholderText"/>
          <w:color w:val="000000"/>
        </w:rPr>
        <w:t xml:space="preserve">Predložený návrh zákona vychádza z </w:t>
      </w:r>
      <w:r>
        <w:rPr>
          <w:rStyle w:val="PlaceholderText"/>
          <w:i/>
          <w:color w:val="000000"/>
        </w:rPr>
        <w:t>Európskeho dohovoru (CETS 120) o násilí a neviazanosti divákov počas športových podujatí a najmä na futbalových zápasoch</w:t>
      </w:r>
      <w:r>
        <w:rPr>
          <w:rStyle w:val="PlaceholderText"/>
          <w:color w:val="000000"/>
        </w:rPr>
        <w:t>, odporúčaní</w:t>
      </w:r>
      <w:hyperlink r:id="rId4" w:anchor="_ftn2" w:history="1">
        <w:bookmarkStart w:id="2" w:name="_ftnref2"/>
        <w:r>
          <w:rPr>
            <w:rStyle w:val="PlaceholderText"/>
            <w:color w:val="000000"/>
            <w:u w:val="single"/>
          </w:rPr>
          <w:t>[2]</w:t>
        </w:r>
      </w:hyperlink>
      <w:bookmarkEnd w:id="2"/>
      <w:r>
        <w:rPr>
          <w:rStyle w:val="PlaceholderText"/>
          <w:color w:val="000000"/>
        </w:rPr>
        <w:t xml:space="preserve"> stáleho výboru Rady Európy k uvedenému dohovoru, z právnych aktov</w:t>
      </w:r>
      <w:hyperlink r:id="rId4" w:anchor="_ftn3" w:history="1">
        <w:bookmarkStart w:id="3" w:name="_ftnref3"/>
        <w:r>
          <w:rPr>
            <w:rStyle w:val="PlaceholderText"/>
            <w:color w:val="000000"/>
            <w:u w:val="single"/>
          </w:rPr>
          <w:t>[3]</w:t>
        </w:r>
      </w:hyperlink>
      <w:bookmarkEnd w:id="3"/>
      <w:r>
        <w:rPr>
          <w:rStyle w:val="PlaceholderText"/>
          <w:color w:val="000000"/>
        </w:rPr>
        <w:t xml:space="preserve"> orgánov Európskej únie, z poznatkov získaných komparáciou právnych úprav problematiky regulácie organizovania športových podujatí a osobitne diváckeho násilia v iných štátoch Európskej únie (najmä Poľska, Česka, Anglicka, Francúzska, Rakúska a Nemecka), ako aj z praktických poznatkov z aplikácie doterajšej právnej úpravy v Slovenskej republike. Významným zdrojom poznania boli aj informácie a poznatky získané z konzultačných stretnutí s bezpečnostnými expertmi Policajného zboru Slovenskej republiky, SFZ, SZĽH, UEFA a so zástupcami národných športových zväzov. </w:t>
      </w:r>
    </w:p>
    <w:p w:rsidR="00C0489E">
      <w:pPr>
        <w:widowControl/>
        <w:bidi w:val="0"/>
        <w:spacing w:after="200" w:line="276" w:lineRule="auto"/>
        <w:ind w:firstLine="720"/>
        <w:jc w:val="both"/>
        <w:rPr>
          <w:rStyle w:val="PlaceholderText"/>
          <w:color w:val="000000"/>
        </w:rPr>
      </w:pPr>
      <w:r>
        <w:rPr>
          <w:rStyle w:val="PlaceholderText"/>
          <w:color w:val="000000"/>
        </w:rPr>
        <w:t xml:space="preserve">Navrhovaná právna úprava nahrádza súčasnú právnu úpravu, upravuje organizovanie športových podujatí tak, aby vznikol efektívny systém právnych nástrojov, prostriedkov a postupov, ktorý prinesie okrem systematicky upravených pravidiel organizovania športových podujatí aj zodpovedajúce kontrolné a sankčné mechanizmy, ktorých cieľom je na jednej strane ochrana verejného poriadku, bezpečnosti a pohodlia účastníkov verejných športových podujatí a na strane druhej prevencia a eliminácia výskytu diváckeho násilia na týchto podujatiach. </w:t>
      </w:r>
    </w:p>
    <w:p w:rsidR="00C0489E">
      <w:pPr>
        <w:widowControl/>
        <w:bidi w:val="0"/>
        <w:spacing w:after="200" w:line="276" w:lineRule="auto"/>
        <w:ind w:firstLine="720"/>
        <w:jc w:val="both"/>
        <w:rPr>
          <w:rStyle w:val="PlaceholderText"/>
          <w:color w:val="000000"/>
        </w:rPr>
      </w:pPr>
      <w:r>
        <w:rPr>
          <w:rStyle w:val="PlaceholderText"/>
          <w:color w:val="000000"/>
        </w:rPr>
        <w:t xml:space="preserve">Základným východiskom návrhu je ambícia, čo najmenej zasahovať do výkonu práv a slobôd garantovaných článkami 28 a 37 Ústavy SR v rámci verejných športových podujatí, a to jednak do slobody zhromažďovania sa účastníkov/divákov, ako aj do slobody združovania sa športovcov a ostatných členov občianskych združení - športových klubov. </w:t>
      </w:r>
    </w:p>
    <w:p w:rsidR="00C0489E">
      <w:pPr>
        <w:widowControl/>
        <w:bidi w:val="0"/>
        <w:spacing w:after="200" w:line="276" w:lineRule="auto"/>
        <w:ind w:firstLine="720"/>
        <w:jc w:val="both"/>
        <w:rPr>
          <w:rStyle w:val="PlaceholderText"/>
          <w:color w:val="000000"/>
        </w:rPr>
      </w:pPr>
      <w:r>
        <w:rPr>
          <w:rStyle w:val="PlaceholderText"/>
          <w:color w:val="000000"/>
        </w:rPr>
        <w:t xml:space="preserve">Zákon má “čo najmenej obťažovať slušných ľudí” pri organizovaní malých športových podujatí (do 300 účastníkov vrátane športovcov, členov realizačných tímov, delegovaných osôb a funkcionárov), uzavretých komunitných podujatí (školské, firemné a pod), ako aj podujatí v tých športových odvetviach, vekových a výkonnostných kategóriách, v ktorých doposiaľ neboli zaznamenané akty diváckeho násilia ani iné bezpečnostné incidenty.  V týchto prípadoch návrh zákona prináša zmiernenie režimu regulácie, pričom malé a komunitné športové podujatia boli úplne vyňaté spod pôsobnosti navrhovaného zákona. </w:t>
      </w:r>
    </w:p>
    <w:p w:rsidR="00C0489E">
      <w:pPr>
        <w:widowControl/>
        <w:bidi w:val="0"/>
        <w:spacing w:after="200" w:line="276" w:lineRule="auto"/>
        <w:ind w:firstLine="720"/>
        <w:jc w:val="both"/>
        <w:rPr>
          <w:rStyle w:val="PlaceholderText"/>
          <w:color w:val="000000"/>
        </w:rPr>
      </w:pPr>
      <w:r>
        <w:rPr>
          <w:rStyle w:val="PlaceholderText"/>
          <w:color w:val="000000"/>
        </w:rPr>
        <w:t>Podľa doterajšej právnej úpravy boli komunitné podujatia vyňaté spod pôsobnosti zákona č. 479/2008 Z.z. iba ak ich organizátor organizoval vo vlastných priestoroch. Podľa navrhovanej právnej úpravy bude organizovanie komunitných podujatí konaných v akomkoľvek športovom zriadení (nielen v priestoroch organizátora) vyňaté spod pôsobnosti zákona o organizovaní verejných športových podujatí a bude sa riadiť iba všeobecnou právnou úpravou (Občiansky zákonník, Priestupkový zákon, Trestný zákon, Zákon o športe a pod.).</w:t>
      </w:r>
    </w:p>
    <w:p w:rsidR="00C0489E">
      <w:pPr>
        <w:widowControl/>
        <w:bidi w:val="0"/>
        <w:spacing w:after="200" w:line="276" w:lineRule="auto"/>
        <w:ind w:firstLine="720"/>
        <w:jc w:val="both"/>
        <w:rPr>
          <w:rStyle w:val="PlaceholderText"/>
          <w:color w:val="000000"/>
        </w:rPr>
      </w:pPr>
      <w:r>
        <w:rPr>
          <w:rStyle w:val="PlaceholderText"/>
          <w:color w:val="000000"/>
        </w:rPr>
        <w:t>Malé podujatia, ktoré sú organizované v rámci súťaží riadených športovými zväzmi, budú okrem všeobecnej právnej úpravy regulované aj vnútornými predpismi a rozhodnutiami príslušného športového zväzu, ktoré spravidla dostatočne reflektujú špecifiká podujatí jednotlivých športových odvetví a tomu zodpovedajúce organizačné nároky (personálne, bezpečnostné, zdravotnícke a iné).</w:t>
      </w:r>
    </w:p>
    <w:p w:rsidR="00C0489E">
      <w:pPr>
        <w:widowControl/>
        <w:bidi w:val="0"/>
        <w:spacing w:after="200" w:line="276" w:lineRule="auto"/>
        <w:ind w:firstLine="720"/>
        <w:jc w:val="both"/>
        <w:rPr>
          <w:rStyle w:val="PlaceholderText"/>
          <w:color w:val="000000"/>
        </w:rPr>
      </w:pPr>
      <w:r>
        <w:rPr>
          <w:rStyle w:val="PlaceholderText"/>
          <w:color w:val="000000"/>
        </w:rPr>
        <w:t xml:space="preserve">Ak by však malé alebo komunitné podujatie bolo kvalifikované ako rizikové, nízky počet účastníkov, či komunitný charakter podujatia bude irelevantný a organizátor podujatia bude povinný vo verejnom záujme na ochrane verejného poriadku, bezpečnosti, zdravia účastníkov podujatia i ďalších chránených hodnôt postupovať podľa navrhovanej právnej úpravy upravujúcej organizovanie rizikových podujatí. </w:t>
      </w:r>
    </w:p>
    <w:p w:rsidR="00C0489E">
      <w:pPr>
        <w:widowControl/>
        <w:bidi w:val="0"/>
        <w:spacing w:after="200" w:line="276" w:lineRule="auto"/>
        <w:ind w:firstLine="720"/>
        <w:jc w:val="both"/>
        <w:rPr>
          <w:rStyle w:val="PlaceholderText"/>
          <w:color w:val="000000"/>
        </w:rPr>
      </w:pPr>
      <w:r>
        <w:rPr>
          <w:rStyle w:val="PlaceholderText"/>
          <w:color w:val="000000"/>
        </w:rPr>
        <w:t>Návrh zákona vymedzuje hranicu verejného záujmu, po prekročení ktorej sa organizovanie verejného športového podujatia stáva predmetom záujmu verejného práva a jeho osobitnej právnej úpravy obsiahnutej v predkladanom návrhu zákona.</w:t>
      </w:r>
    </w:p>
    <w:p w:rsidR="00C0489E">
      <w:pPr>
        <w:widowControl/>
        <w:bidi w:val="0"/>
        <w:spacing w:after="200" w:line="276" w:lineRule="auto"/>
        <w:ind w:firstLine="720"/>
        <w:jc w:val="both"/>
        <w:rPr>
          <w:rStyle w:val="PlaceholderText"/>
          <w:color w:val="000000"/>
        </w:rPr>
      </w:pPr>
      <w:r>
        <w:rPr>
          <w:rStyle w:val="PlaceholderText"/>
          <w:color w:val="000000"/>
        </w:rPr>
        <w:t xml:space="preserve">Základným koncepčným prvkom návrhu zákona je, že definuje podujatia, ktoré sú primárnym predmetom záujmu verejnoprávnej regulácie a tieto sú označené pojmom “podujatia s osobitným režimom”, pri ktorých je bezpečnostné riziko dané buď z dôvodu prítomnosti vyššieho počtu osôb na mieste konania podujatia alebo ich vysokou koncentráciou v uzavretom priestore športového zariadenia, vyšším výskytom bezpečnostných incidentov pri konkrétnom druhu športu (futbal, hokej) alebo rizikovosťou divákov, ktorých účasť na verejnom športovom podujatí je možné predpokladať. </w:t>
      </w:r>
    </w:p>
    <w:p w:rsidR="00C0489E">
      <w:pPr>
        <w:widowControl/>
        <w:bidi w:val="0"/>
        <w:spacing w:line="276" w:lineRule="auto"/>
        <w:ind w:left="405" w:firstLine="315"/>
        <w:jc w:val="both"/>
        <w:rPr>
          <w:rStyle w:val="PlaceholderText"/>
          <w:color w:val="000000"/>
        </w:rPr>
      </w:pPr>
      <w:r>
        <w:rPr>
          <w:rStyle w:val="PlaceholderText"/>
          <w:color w:val="000000"/>
        </w:rPr>
        <w:t>Návrh zákona ustanovuje za podujatia s osobitným režimom tieto podujatia:</w:t>
      </w:r>
    </w:p>
    <w:p w:rsidR="00C0489E">
      <w:pPr>
        <w:widowControl/>
        <w:bidi w:val="0"/>
        <w:spacing w:line="276" w:lineRule="auto"/>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rizikové podujatia (môže ísť o podujatie ktoréhokoľvek športového odvetvia),</w:t>
      </w:r>
    </w:p>
    <w:p w:rsidR="00C0489E">
      <w:pPr>
        <w:widowControl/>
        <w:bidi w:val="0"/>
        <w:spacing w:line="276" w:lineRule="auto"/>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futbalové stretnutie alebo hokejové stretnutie najvyššej celoštátnej súťaže alebo posledné štyri kolá pohárových súťaží vo futbale a hokeji v kategórii dospelých,</w:t>
      </w:r>
    </w:p>
    <w:p w:rsidR="00C0489E">
      <w:pPr>
        <w:widowControl/>
        <w:bidi w:val="0"/>
        <w:spacing w:line="276" w:lineRule="auto"/>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podujatie, na ktorom sa predpokladá účasť 4 000 a viac divákov, alebo</w:t>
      </w:r>
    </w:p>
    <w:p w:rsidR="00C0489E">
      <w:pPr>
        <w:widowControl/>
        <w:bidi w:val="0"/>
        <w:spacing w:line="276" w:lineRule="auto"/>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podujatie, na ktorom sa predpokladá viac ako 90 % obsadenia športového zariadenia s kapacitou 2 000 a viac divákov.</w:t>
      </w:r>
    </w:p>
    <w:p w:rsidR="00C0489E">
      <w:pPr>
        <w:widowControl/>
        <w:bidi w:val="0"/>
        <w:spacing w:after="200" w:line="276" w:lineRule="auto"/>
        <w:ind w:firstLine="720"/>
        <w:jc w:val="both"/>
        <w:rPr>
          <w:rStyle w:val="PlaceholderText"/>
          <w:color w:val="000000"/>
        </w:rPr>
      </w:pPr>
      <w:r>
        <w:rPr>
          <w:rStyle w:val="PlaceholderText"/>
          <w:color w:val="000000"/>
        </w:rPr>
        <w:t>Pri týchto podujatiach návrh zákona vo verejnom záujme na ochrane verejného poriadku, zdravia, mravnosti, majetku a životného prostredia upravuje podmienky výkonu zhromažďovacieho práva tak, že sa ustanovujú štandardné pravidlá pre ich organizovanie, ktoré musí pod hrozbou sankcií dodržať každý organizátor takého podujatia, pričom tento sprísnený režim pre organizátora podujatia sa premieta aj do sprísnenia režimu pre účastníkov takého podujatia v záujme ochrany bezpečnosti a pohodlia slušného diváka vrátane mládeže, detí a žien.</w:t>
      </w:r>
    </w:p>
    <w:p w:rsidR="00C0489E">
      <w:pPr>
        <w:widowControl/>
        <w:bidi w:val="0"/>
        <w:spacing w:after="200" w:line="276" w:lineRule="auto"/>
        <w:ind w:firstLine="720"/>
        <w:jc w:val="both"/>
        <w:rPr>
          <w:rStyle w:val="PlaceholderText"/>
          <w:color w:val="000000"/>
        </w:rPr>
      </w:pPr>
      <w:r>
        <w:rPr>
          <w:rStyle w:val="PlaceholderText"/>
          <w:color w:val="000000"/>
        </w:rPr>
        <w:t xml:space="preserve">Návrh zákona kladie dôraz na právne inštitúty preventívnej povahy (napr. ustanovením prevenčných povinností organizátora a usporiadateľskej služby, možnosťou uložiť zákaz účasti na verejných podujatiach ako predbežné opatrenie ihneď po obvinení z priestupku, zriadenie a prevádzka informačného systému o bezpečnosti na športových podujatiach a ďalšie). </w:t>
      </w:r>
    </w:p>
    <w:p w:rsidR="00C0489E">
      <w:pPr>
        <w:widowControl/>
        <w:bidi w:val="0"/>
        <w:spacing w:after="200" w:line="276" w:lineRule="auto"/>
        <w:ind w:firstLine="720"/>
        <w:jc w:val="both"/>
        <w:rPr>
          <w:rStyle w:val="PlaceholderText"/>
          <w:color w:val="000000"/>
        </w:rPr>
      </w:pPr>
      <w:r>
        <w:rPr>
          <w:rStyle w:val="PlaceholderText"/>
          <w:color w:val="000000"/>
        </w:rPr>
        <w:t>Návrh zákona v záujme preventívneho pôsobenia sankcií umožňuje postupné sprísňovanie sankcií za priestupky v závislosti od druhu a závažnosti deliktu i osoby páchateľa.</w:t>
      </w:r>
    </w:p>
    <w:p w:rsidR="00C0489E">
      <w:pPr>
        <w:widowControl/>
        <w:bidi w:val="0"/>
        <w:spacing w:after="200" w:line="276" w:lineRule="auto"/>
        <w:ind w:firstLine="720"/>
        <w:jc w:val="both"/>
        <w:rPr>
          <w:rStyle w:val="PlaceholderText"/>
          <w:color w:val="000000"/>
        </w:rPr>
      </w:pPr>
      <w:r>
        <w:rPr>
          <w:rStyle w:val="PlaceholderText"/>
          <w:color w:val="000000"/>
        </w:rPr>
        <w:t>Návrh zákona pri žiadnom priestupku ani správnom delikte neustanovuje dolnú hranicu pokuty, čím umožňuje menej závažné priestupky vybaviť aj napomenutím</w:t>
      </w:r>
      <w:hyperlink r:id="rId4" w:anchor="_ftn4" w:history="1">
        <w:bookmarkStart w:id="4" w:name="_ftnref4"/>
        <w:r>
          <w:rPr>
            <w:rStyle w:val="PlaceholderText"/>
            <w:color w:val="000000"/>
            <w:u w:val="single"/>
          </w:rPr>
          <w:t>[4]</w:t>
        </w:r>
      </w:hyperlink>
      <w:bookmarkEnd w:id="4"/>
      <w:r>
        <w:rPr>
          <w:rStyle w:val="PlaceholderText"/>
          <w:color w:val="000000"/>
        </w:rPr>
        <w:t xml:space="preserve"> alebo uložením pokarhania, ak je možné predpokladať, že takéto vybavenie je postačujúce, najmä ak sa páchateľ k spáchaniu priestupku priznal, jeho spáchanie oľutoval, prejavil snahu o nápravu a zaviazal sa nahradiť škodu alebo jej primeranú časť, ak bola priestupkom spôsobená.</w:t>
      </w:r>
    </w:p>
    <w:p w:rsidR="00C0489E">
      <w:pPr>
        <w:widowControl/>
        <w:bidi w:val="0"/>
        <w:spacing w:after="200" w:line="276" w:lineRule="auto"/>
        <w:ind w:firstLine="720"/>
        <w:jc w:val="both"/>
        <w:rPr>
          <w:rStyle w:val="PlaceholderText"/>
          <w:color w:val="000000"/>
        </w:rPr>
      </w:pPr>
      <w:r>
        <w:rPr>
          <w:rStyle w:val="PlaceholderText"/>
          <w:color w:val="000000"/>
        </w:rPr>
        <w:t>Za priestupky je možné okrem pokuty uložiť aj prepadnutie veci (napr. nebezpečného predmetu, vlajky, transparentu alebo inej veci, na ktorej sú zobrazené znevažujúce, rasistické alebo extrémistické symboly a pod.) upravené všeobecnou úprave v Priestupkovom zákone, rovnako ako ochranné opatrenie - zhabanie veci.</w:t>
      </w:r>
    </w:p>
    <w:p w:rsidR="00C0489E">
      <w:pPr>
        <w:widowControl/>
        <w:bidi w:val="0"/>
        <w:spacing w:after="200" w:line="276" w:lineRule="auto"/>
        <w:ind w:firstLine="720"/>
        <w:jc w:val="both"/>
        <w:rPr>
          <w:rStyle w:val="PlaceholderText"/>
          <w:color w:val="000000"/>
        </w:rPr>
      </w:pPr>
      <w:r>
        <w:rPr>
          <w:rStyle w:val="PlaceholderText"/>
          <w:color w:val="000000"/>
        </w:rPr>
        <w:t>Návrh zákona obsahuje osobitnú úpravu obmedzujúceho opatrenia spočívajúceho v zákaze účasti na športových podujatiach až na dobu päť rokov (Priestupkový zákon umožňuje uloženie obmedzujúceho opatrenia najviac na dva roky).</w:t>
      </w:r>
    </w:p>
    <w:p w:rsidR="00C0489E">
      <w:pPr>
        <w:widowControl/>
        <w:bidi w:val="0"/>
        <w:spacing w:after="200" w:line="276" w:lineRule="auto"/>
        <w:ind w:firstLine="720"/>
        <w:jc w:val="both"/>
        <w:rPr>
          <w:rStyle w:val="PlaceholderText"/>
          <w:color w:val="000000"/>
        </w:rPr>
      </w:pPr>
      <w:r>
        <w:rPr>
          <w:rStyle w:val="PlaceholderText"/>
          <w:color w:val="000000"/>
        </w:rPr>
        <w:t xml:space="preserve">Významne sa sprísňuje možný postih za priestupky diváckeho násilia (pri rizikových podujatiach až do 3 000 eur) a priestupkovú recidívu, ktorá pri naplnení materiálneho znaku (§ 10 ods. 2 Tr. zákona), t.j. rovnorodá recidíva najzávažnejších priestupkov bude mať za následok vyvodenie trestnej zodpovednosti. </w:t>
      </w:r>
    </w:p>
    <w:p w:rsidR="00C0489E">
      <w:pPr>
        <w:widowControl/>
        <w:bidi w:val="0"/>
        <w:spacing w:after="200" w:line="276" w:lineRule="auto"/>
        <w:ind w:firstLine="720"/>
        <w:jc w:val="both"/>
        <w:rPr>
          <w:rStyle w:val="PlaceholderText"/>
          <w:color w:val="000000"/>
        </w:rPr>
      </w:pPr>
      <w:r>
        <w:rPr>
          <w:rStyle w:val="PlaceholderText"/>
          <w:color w:val="000000"/>
        </w:rPr>
        <w:t>Pri ukladaní sankcie za rovnorodú recidívu priestupkov v priestupkovom konaní (ak bol ďalší obdobný priestupok spáchaný do jedného roka od postihu za predchádzajúci priestupok) je možné sankciu za ďalší priestupok uložiť až do výšky dvojnásobku hornej hranice sankcie ustanovenej za tento priestupok, t. j. závažné konania hraničnej povahy spočívajúce v recidíve závažnejších priestupkov, ktoré na základe § 10 ods. 2 Tr. zákona nebudú kvalifikované ako trestný čin výtržníctva, prípadne iný trestný čin, budú  posúdené v priestupkovom konaní v prísnejšom režime ako jednotlivo posudzovaný priestupok.</w:t>
      </w:r>
    </w:p>
    <w:p w:rsidR="00C0489E">
      <w:pPr>
        <w:widowControl/>
        <w:bidi w:val="0"/>
        <w:spacing w:after="200" w:line="276" w:lineRule="auto"/>
        <w:ind w:firstLine="720"/>
        <w:jc w:val="both"/>
        <w:rPr>
          <w:rStyle w:val="PlaceholderText"/>
          <w:color w:val="000000"/>
        </w:rPr>
      </w:pPr>
      <w:r>
        <w:rPr>
          <w:rStyle w:val="PlaceholderText"/>
          <w:color w:val="000000"/>
        </w:rPr>
        <w:t xml:space="preserve">V rámci trestného konania prináša návrh zákona nový alternatívny druh trestu - trest zákazu účasti na verejných podujatiach, ktorý bude postihovať tú oblasť života páchateľa, v rámci ktorej sa dopustil trestného činu. Páchateľovi bude v súlade so zásadami pre ukladanie trestu vrátane zásady primeranosti uložením trestu zákazu účasti na verejných podujatiach zakázané, aby sa spolu so svojou komunitou zúčastňoval na určených verejných športových podujatiach “svojho” družstva, klubu, v rámci konkrétnej súťaže alebo aj na verejných podujatiach všeobecne. </w:t>
      </w:r>
    </w:p>
    <w:p w:rsidR="00C0489E">
      <w:pPr>
        <w:widowControl/>
        <w:bidi w:val="0"/>
        <w:spacing w:after="200" w:line="276" w:lineRule="auto"/>
        <w:ind w:firstLine="720"/>
        <w:jc w:val="both"/>
        <w:rPr>
          <w:rStyle w:val="PlaceholderText"/>
          <w:color w:val="000000"/>
        </w:rPr>
      </w:pPr>
      <w:r>
        <w:rPr>
          <w:rStyle w:val="PlaceholderText"/>
          <w:color w:val="000000"/>
        </w:rPr>
        <w:t>Zavádza sa možnosť uložiť obvinenému (pri podmienečnom zastavení trestného stíhania) alebo odsúdenému (pri uložení trestu zákazu účasti na verejných podujatiach alebo aj pri uložení iného trestu) povinnosť dostaviť sa v určenom čase (v čase podujatia, na ktoré sa zákaz vzťahuje) na príslušný útvar Policajného zboru určený podľa miesta obvyklého pobytu obvineného/odsúdeného, v odôvodnených prípadoch aj opakovane.</w:t>
      </w:r>
    </w:p>
    <w:p w:rsidR="00C0489E">
      <w:pPr>
        <w:widowControl/>
        <w:bidi w:val="0"/>
        <w:spacing w:after="200" w:line="276" w:lineRule="auto"/>
        <w:ind w:firstLine="720"/>
        <w:jc w:val="both"/>
        <w:rPr>
          <w:rStyle w:val="PlaceholderText"/>
          <w:color w:val="000000"/>
        </w:rPr>
      </w:pPr>
      <w:r>
        <w:rPr>
          <w:rStyle w:val="PlaceholderText"/>
          <w:color w:val="000000"/>
        </w:rPr>
        <w:t>V Trestnom zákone sa v súvislosti so zavedením nového druhu trestu definuje “trestný čin spáchaný v súvislosti s verejným podujatím” i pojem “verejné podujatie”.</w:t>
      </w:r>
    </w:p>
    <w:p w:rsidR="00C0489E">
      <w:pPr>
        <w:widowControl/>
        <w:bidi w:val="0"/>
        <w:spacing w:after="200" w:line="276" w:lineRule="auto"/>
        <w:ind w:firstLine="720"/>
        <w:jc w:val="both"/>
        <w:rPr>
          <w:rStyle w:val="PlaceholderText"/>
          <w:color w:val="000000"/>
        </w:rPr>
      </w:pPr>
      <w:r>
        <w:rPr>
          <w:rStyle w:val="PlaceholderText"/>
          <w:color w:val="000000"/>
        </w:rPr>
        <w:t>Návrhom zákona sa sprísňuje režim organizácie rizikových podujatí, najmä vo vzťahu k futbalu a hokeju a naopak, zvoľňuje sa režim organizovania podujatí v najvyšších súťažiach tých športov, kde k aktom diváckeho násilia nedochádza a v nižších súťažiach všetkých športov. Pri rizikových podujatiach bude organizátor povinný do sektorov pre priaznivcov hostí zabezpečiť, aby všetky vstupenky boli na meno a priezvisko. Organizátor a športový zväz sú oprávnení rozhodnúť o tom, že vstupenky na meno a priezvisko budú distribuované aj do ostatných sektorov, resp. že sa takto budú distribuovať na všetky stretnutia súťažného ročníka konkrétnej súťaže.</w:t>
      </w:r>
    </w:p>
    <w:p w:rsidR="00C0489E">
      <w:pPr>
        <w:widowControl/>
        <w:bidi w:val="0"/>
        <w:spacing w:after="200" w:line="276" w:lineRule="auto"/>
        <w:ind w:firstLine="720"/>
        <w:jc w:val="both"/>
        <w:rPr>
          <w:rStyle w:val="PlaceholderText"/>
          <w:color w:val="000000"/>
        </w:rPr>
      </w:pPr>
      <w:r>
        <w:rPr>
          <w:rStyle w:val="PlaceholderText"/>
          <w:color w:val="000000"/>
        </w:rPr>
        <w:t xml:space="preserve">Návrh zákona nanovo upravuje postavenie a úlohy bezpečnostného manažéra ako dôležitého odborného subjektu, ktorý už aj v súčasnosti na základe predpisov športových zväzov futbalu a hokeja plní na strane organizátora významné úlohy na úseku prípravy a riadenia bezpečnostných opatrení vykonávaných v súvislosti so športovým podujatím. </w:t>
      </w:r>
    </w:p>
    <w:p w:rsidR="00C0489E">
      <w:pPr>
        <w:widowControl/>
        <w:bidi w:val="0"/>
        <w:spacing w:after="200" w:line="276" w:lineRule="auto"/>
        <w:ind w:firstLine="720"/>
        <w:jc w:val="both"/>
        <w:rPr>
          <w:rStyle w:val="PlaceholderText"/>
          <w:color w:val="000000"/>
        </w:rPr>
      </w:pPr>
      <w:r>
        <w:rPr>
          <w:rStyle w:val="PlaceholderText"/>
          <w:color w:val="000000"/>
        </w:rPr>
        <w:t>Pri rizikových podujatiach, ale aj ďalších podujatiach, kde je zvýšené bezpečnostné riziko z objektívnych dôvodov (naplnenie kapacity športového zariadenia alebo vysoký počet účastníkov a najvyššie súťaže futbalu a hokeja) bude bezpečnostný manažér určený organizátorom podujatia obligatórne.</w:t>
      </w:r>
    </w:p>
    <w:p w:rsidR="00C0489E">
      <w:pPr>
        <w:widowControl/>
        <w:bidi w:val="0"/>
        <w:spacing w:after="200" w:line="276" w:lineRule="auto"/>
        <w:ind w:firstLine="720"/>
        <w:jc w:val="both"/>
        <w:rPr>
          <w:rStyle w:val="PlaceholderText"/>
          <w:color w:val="000000"/>
        </w:rPr>
      </w:pPr>
      <w:r>
        <w:rPr>
          <w:rStyle w:val="PlaceholderText"/>
          <w:color w:val="000000"/>
        </w:rPr>
        <w:t>Zavádza sa nový systém odbornej prípravy, vzdelávania a preskúšania hlavných usporiadateľov, bezpečnostných manažérov a usporiadateľov, v ktorom je ťažisko prenesené do oblasti športovej autonómie (proces prebieha mimo režimu správneho konania), kde budú hlavnú rolu zohrávať národné športové zväzy, ktoré budú zabezpečovať odbornú prípravu a vykonanie skúšky prostredníctvom odborne spôsobilých osôb.</w:t>
      </w:r>
    </w:p>
    <w:p w:rsidR="00C0489E">
      <w:pPr>
        <w:widowControl/>
        <w:bidi w:val="0"/>
        <w:spacing w:after="200" w:line="276" w:lineRule="auto"/>
        <w:ind w:firstLine="720"/>
        <w:jc w:val="both"/>
        <w:rPr>
          <w:rStyle w:val="PlaceholderText"/>
          <w:color w:val="000000"/>
        </w:rPr>
      </w:pPr>
      <w:r>
        <w:rPr>
          <w:rStyle w:val="PlaceholderText"/>
          <w:color w:val="000000"/>
        </w:rPr>
        <w:t xml:space="preserve">Oblasti vzdelávania identifikované na základe skúseností a potrieb praxe sú: právna úprava, verbálna a neverbálna komunikácia, poskytnutie prvej pomoci a riešenie typických modelových situácií a krízových situácií. </w:t>
      </w:r>
    </w:p>
    <w:p w:rsidR="00C0489E">
      <w:pPr>
        <w:widowControl/>
        <w:bidi w:val="0"/>
        <w:spacing w:after="200" w:line="276" w:lineRule="auto"/>
        <w:ind w:firstLine="720"/>
        <w:jc w:val="both"/>
        <w:rPr>
          <w:rStyle w:val="PlaceholderText"/>
          <w:color w:val="000000"/>
        </w:rPr>
      </w:pPr>
      <w:r>
        <w:rPr>
          <w:rStyle w:val="PlaceholderText"/>
          <w:color w:val="000000"/>
        </w:rPr>
        <w:t>Odbornú komisiu, ktorá vypracuje testy a určí rozsah prípravy uchádzačov o získanie osvedčenia hlavného usporiadateľa, bezpečnostného manažéra a usporiadateľa vymenuje Policajný zbor z odborne spôsobilých osôb pre jednotlivé oblasti, počet členov komisie nie je obmedzený. Náklady vzniknuté v súvislosti s činnosťou komisie môžu byť hradené aj z prevádzkového fondu informačného systému o bezpečnosti na športových podujatiach.</w:t>
      </w:r>
    </w:p>
    <w:p w:rsidR="00C0489E">
      <w:pPr>
        <w:widowControl/>
        <w:bidi w:val="0"/>
        <w:spacing w:after="200" w:line="276" w:lineRule="auto"/>
        <w:ind w:firstLine="720"/>
        <w:jc w:val="both"/>
        <w:rPr>
          <w:rStyle w:val="PlaceholderText"/>
          <w:color w:val="000000"/>
        </w:rPr>
      </w:pPr>
      <w:r>
        <w:rPr>
          <w:rStyle w:val="PlaceholderText"/>
          <w:color w:val="000000"/>
        </w:rPr>
        <w:t>Požiadavka na vyškolenie niekoľko sto usporiadateľov v pomerne krátkom čase je realizovateľná tým spôsobom, že hlavný usporiadatelia budú oprávnení v športových kluboch, v ktorých pôsobia, postupne zaškoliť potrebný počet usporiadateľov, ktorí budú môcť vykonávať usporiadateľskú činnosť na verejných podujatiach aj pre iné kluby, resp. aj pre iné športy.</w:t>
      </w:r>
    </w:p>
    <w:p w:rsidR="00C0489E">
      <w:pPr>
        <w:widowControl/>
        <w:bidi w:val="0"/>
        <w:spacing w:after="200" w:line="276" w:lineRule="auto"/>
        <w:ind w:firstLine="720"/>
        <w:jc w:val="both"/>
        <w:rPr>
          <w:rStyle w:val="PlaceholderText"/>
          <w:color w:val="000000"/>
        </w:rPr>
      </w:pPr>
      <w:r>
        <w:rPr>
          <w:rStyle w:val="PlaceholderText"/>
          <w:color w:val="000000"/>
        </w:rPr>
        <w:t xml:space="preserve">Návrh zákona nanovo upravuje postavenie a úlohy osoby delegovanej športovým zväzom (delegát zväzu), ktorá bude v prípade športových podujatí s osobitným režimom ďalším obligatórnym odborným orgánom dozoru, ktorý je okrem znalosti relevantnej právnej úpravy dôkladne oboznámený aj s vnútornými predpismi príslušného športového zväzu upravujúcimi organizovanie športových podujatí v konkrétnom športovom odvetví a pravidlami príslušného športu a športovej súťaže. Delegát zväzu je odborný dozorný a hodnotiaci orgán, ktorý obligatórne vyhotovuje správu o podujatí, ku ktorej prikladá fotografie prípadne krátke videá preukazujúce nevhodné správanie alebo konanie účastníkov podujatia a zistené nedostatky pri organizovaní športového podujatia zo strany organizátora. Znalosť a skúsenosť delegáta zväzu má dopomôcť okrem ochrany verejného záujmu, aj ochrane záujmov športových zväzov na riadnom organizovaní športových podujatí a k tomu, aby opatrenia organizátora boli vykonané v súlade so zákonom i pravidlami príslušného športového zväzu a športu. </w:t>
      </w:r>
    </w:p>
    <w:p w:rsidR="00C0489E">
      <w:pPr>
        <w:widowControl/>
        <w:bidi w:val="0"/>
        <w:spacing w:after="200" w:line="276" w:lineRule="auto"/>
        <w:ind w:firstLine="720"/>
        <w:jc w:val="both"/>
        <w:rPr>
          <w:rStyle w:val="PlaceholderText"/>
          <w:color w:val="000000"/>
        </w:rPr>
      </w:pPr>
      <w:r>
        <w:rPr>
          <w:rStyle w:val="PlaceholderText"/>
          <w:color w:val="000000"/>
        </w:rPr>
        <w:t>Vymedzujú sa úlohy jednotlivých subjektov, ktoré vstupujú do právnych vzťahov v súvislosti s uskutočnením verejného podujatia a precizujú sa ich práva a povinnosti. Pre prípad nesplnenia povinnosti navrhovaná úprava ustanovuje spôsob vyvodenia právnej zodpovednosti voči jednotlivým skupinám subjektov (organizátor, hlavný usporiadateľ, bezpečnostný manažér, usporiadateľ, dozorný orgán obce, delegát zväzu, divák alebo akákoľvek iná fyzická osoba) v závislosti od toho, či ide o delikt spáchaný v súvislosti s bežným podujatím alebo podujatím s osobitným režimom, resp. rizikovým podujatím, kde sa predpokladá najprísnejší postih.</w:t>
      </w:r>
    </w:p>
    <w:p w:rsidR="00C0489E">
      <w:pPr>
        <w:widowControl/>
        <w:bidi w:val="0"/>
        <w:spacing w:after="200" w:line="276" w:lineRule="auto"/>
        <w:ind w:firstLine="720"/>
        <w:jc w:val="both"/>
        <w:rPr>
          <w:rStyle w:val="PlaceholderText"/>
          <w:color w:val="000000"/>
        </w:rPr>
      </w:pPr>
      <w:r>
        <w:rPr>
          <w:rStyle w:val="PlaceholderText"/>
          <w:color w:val="000000"/>
        </w:rPr>
        <w:t>Agenda prejednávania správnych deliktov a priestupkov, ktorá bola doposiaľ v pôsobnosti obce, bude presunutá na okresné úrady (správne delikty) a Policajný zbor (priestupky) z dôvodu možného konfliktu záujmov obcí, nakoľko obce sú v mnohých prípadoch spoluvlastníkom (akcionárom) alebo významným sponzorom organizátora (športového klubu), ktorý je často podporovaný obcami dotáciami na mládežnícky šport alebo na úhradu nákladov klubu súvisiacich so správou a údržbou športového zariadenia užívaného športovým klubom. Nie je zriedkavá ani tá situácia, keď majú obce v orgánoch športových klubov svojich zástupcov. Uvedený presun pôsobnosti z obcí na okresné úrady, resp. na Policajný zbor je preto z vecného hľadiska logický a nevyhnutný.</w:t>
      </w:r>
    </w:p>
    <w:p w:rsidR="00C0489E">
      <w:pPr>
        <w:widowControl/>
        <w:bidi w:val="0"/>
        <w:spacing w:after="200" w:line="276" w:lineRule="auto"/>
        <w:ind w:firstLine="720"/>
        <w:jc w:val="both"/>
        <w:rPr>
          <w:rStyle w:val="PlaceholderText"/>
          <w:color w:val="000000"/>
        </w:rPr>
      </w:pPr>
      <w:r>
        <w:rPr>
          <w:rStyle w:val="PlaceholderText"/>
          <w:color w:val="000000"/>
        </w:rPr>
        <w:t xml:space="preserve">Cieľom navrhovanej právnej úpravy nie je kriminalizovať mladých ľudí, ktorí sa dopustili protiprávneho konania v súvislosti s účasťou na verejných podujatiach. Aj preto sa vytvára a posilňuje režim postihu v správnom a priestupkovom konaní vrátane možnosti prísnejšieho postihu v prípade priestupkovej recidívy, ktorá nebude posúdená ako trestný čin. </w:t>
      </w:r>
    </w:p>
    <w:p w:rsidR="00C0489E">
      <w:pPr>
        <w:widowControl/>
        <w:bidi w:val="0"/>
        <w:spacing w:after="200" w:line="276" w:lineRule="auto"/>
        <w:ind w:firstLine="720"/>
        <w:jc w:val="both"/>
        <w:rPr>
          <w:rStyle w:val="PlaceholderText"/>
          <w:color w:val="000000"/>
        </w:rPr>
      </w:pPr>
      <w:r>
        <w:rPr>
          <w:rStyle w:val="PlaceholderText"/>
          <w:color w:val="000000"/>
        </w:rPr>
        <w:t>Oproti predchádzajúcej právnej úprave v zákone č. 479/2008 Z. z. sa pri správnych deliktoch právnických osôb a fyzických osôb podnikateľov zavádza možnosť uloženia ďalšieho druhu sankcie - zákazu činnosti a to až na päť rokov.</w:t>
      </w:r>
    </w:p>
    <w:p w:rsidR="00C0489E">
      <w:pPr>
        <w:widowControl/>
        <w:bidi w:val="0"/>
        <w:spacing w:after="200" w:line="276" w:lineRule="auto"/>
        <w:ind w:firstLine="720"/>
        <w:jc w:val="both"/>
        <w:rPr>
          <w:rStyle w:val="PlaceholderText"/>
          <w:color w:val="000000"/>
        </w:rPr>
      </w:pPr>
      <w:r>
        <w:rPr>
          <w:rStyle w:val="PlaceholderText"/>
          <w:color w:val="000000"/>
        </w:rPr>
        <w:t xml:space="preserve">Návrh zákona v častiach, kde sa prenáša zodpovednosť za plnenie úloh a riadiace/rozhodovacie  procesy do priestoru športovej autonómie, vylučuje aplikáciu Správneho poriadku, pričom tieto procesy sa budú riadiť úpravou uvedenou v návrhu zákona, vnútornými predpismi zväzu a základnými princípmi spravodlivosti. </w:t>
      </w:r>
    </w:p>
    <w:p w:rsidR="00C0489E">
      <w:pPr>
        <w:widowControl/>
        <w:bidi w:val="0"/>
        <w:spacing w:after="200" w:line="276" w:lineRule="auto"/>
        <w:ind w:firstLine="720"/>
        <w:jc w:val="both"/>
        <w:rPr>
          <w:rStyle w:val="PlaceholderText"/>
          <w:color w:val="000000"/>
        </w:rPr>
      </w:pPr>
      <w:r>
        <w:rPr>
          <w:rStyle w:val="PlaceholderText"/>
          <w:color w:val="000000"/>
        </w:rPr>
        <w:t>Pri najzávažnejších rozhodnutiach obce (dozorného orgánu), ktoré okrem toho, že môžu za určitých okolností predstavovať nedôvodný zásah do slobody združovania a zhromažďovacieho práva, môžu mať aj významne negatívne ekonomické dopady na organizátora (zakázanie podujatia, s prípravou ktorého boli spojené náklady), sa podľa predloženého návrhu ustanovuje zjednodušený režim správneho konania (podobný režim je využitý v ust. § 31 ods. 5 zák.č. 162/1995 Z.z.), ktorý zabezpečí jednak operatívnosť rozhodovacieho procesu, ako aj to, že rozhodnutia obce budú mať všetky náležitosti rozhodnutia podľa Správneho poriadku (výrok, odôvodnenie, poučenie). V opačnom prípade by zákon de facto nevylučoval arbitrárne rozhodnutia obce listom alebo oznámením bez primeraného odôvodnenia. Rozhodnutie obce vydané v tomto režime bude možné preskúmať na návrh organizátora v rámci správneho súdnictva.</w:t>
      </w:r>
    </w:p>
    <w:p w:rsidR="00C0489E">
      <w:pPr>
        <w:widowControl/>
        <w:bidi w:val="0"/>
        <w:spacing w:after="200" w:line="276" w:lineRule="auto"/>
        <w:ind w:firstLine="720"/>
        <w:jc w:val="both"/>
        <w:rPr>
          <w:rStyle w:val="PlaceholderText"/>
          <w:color w:val="000000"/>
        </w:rPr>
      </w:pPr>
      <w:r>
        <w:rPr>
          <w:rStyle w:val="PlaceholderText"/>
          <w:color w:val="000000"/>
        </w:rPr>
        <w:t>Ak dozorný orgán obce počas konania podujatia preruší alebo ukončí podujatie, pôjde o faktický zásah orgánu verejnej správy, ktorý bude mimo režimu bežného správneho konania, pretože ani prípadné podanie opravného prostriedku nemôže zvrátiť dôsledky tohto faktického zásahu. Zákonnosť vykonania faktického zásahu môže posúdiť správny súd, ktorého rozhodnutie bude relevantným titulom pre prípadné uplatnenie nároku na náhradu škody vzniknutej v priamej príčinnej súvislosti s týmto faktickým zásahom.</w:t>
      </w:r>
    </w:p>
    <w:p w:rsidR="00C0489E">
      <w:pPr>
        <w:widowControl/>
        <w:bidi w:val="0"/>
        <w:spacing w:after="200" w:line="276" w:lineRule="auto"/>
        <w:ind w:firstLine="720"/>
        <w:jc w:val="both"/>
        <w:rPr>
          <w:rStyle w:val="PlaceholderText"/>
          <w:color w:val="000000"/>
        </w:rPr>
      </w:pPr>
      <w:r>
        <w:rPr>
          <w:rStyle w:val="PlaceholderText"/>
          <w:color w:val="000000"/>
        </w:rPr>
        <w:t>Pri úprave predbežného opatrenia spočívajúceho v zákaze účasti na určených športových podujatiach bola využitá štandardná právna úprava tohto inštitútu v Správnom poriadku.</w:t>
      </w:r>
    </w:p>
    <w:p w:rsidR="00C0489E">
      <w:pPr>
        <w:widowControl/>
        <w:bidi w:val="0"/>
        <w:spacing w:after="200" w:line="276" w:lineRule="auto"/>
        <w:ind w:firstLine="720"/>
        <w:jc w:val="both"/>
        <w:rPr>
          <w:rStyle w:val="PlaceholderText"/>
          <w:color w:val="000000"/>
        </w:rPr>
      </w:pPr>
      <w:r>
        <w:rPr>
          <w:rStyle w:val="PlaceholderText"/>
          <w:color w:val="000000"/>
        </w:rPr>
        <w:t xml:space="preserve">Návrh zákona precizuje právnu úpravu prevádzky informačného systému o bezpečnosti na športových podujatiach, obsah jednotlivých evidencií, osoby oprávnené využívať údaje z evidencií, ako aj spôsob nakladania s údajmi. V osobitnej časti evidencie budú vedení aj hlavní usporiadatelia, bezpečnostní manažéri a usporiadatelia. Prístup k vytvorenej databáze vyškolených hlavných usporiadateľov, bezpečnostných manažérov a usporiadateľov uľahčí organizátorom podujatí zabezpečovanie usporiadateľskej služby pre akékoľvek verejné podujatie a orgánom dozoru umožní kontrolu toho, či usporiadateľská služba je na podujatí vykonávaná odborne zdatnými osobami, ktoré sú držiteľmi príslušného osvedčenia alebo preukazu. </w:t>
      </w:r>
    </w:p>
    <w:p w:rsidR="00C0489E">
      <w:pPr>
        <w:widowControl/>
        <w:bidi w:val="0"/>
        <w:spacing w:after="200" w:line="276" w:lineRule="auto"/>
        <w:ind w:firstLine="720"/>
        <w:jc w:val="both"/>
        <w:rPr>
          <w:rStyle w:val="PlaceholderText"/>
          <w:color w:val="000000"/>
        </w:rPr>
      </w:pPr>
      <w:r>
        <w:rPr>
          <w:rStyle w:val="PlaceholderText"/>
          <w:color w:val="000000"/>
        </w:rPr>
        <w:t xml:space="preserve">V evidencii informačného systému budú vedené aj dohody uzavreté medzi organizátorom a Policajným zborom, resp. medzi organizátorom a obcou, na základe ktorých bude Policajný zbor, resp. obecná polícia poskytovať odplatnú súčinnosť pri zabezpečení  a výkone usporiadateľskej služby, čím bude zabezpečená možnosť kontroly obsahu týchto dohôd, najmä čo sa týka výšky náhrad uplatňovaných zo strany Policajného zboru a obcí, aby medzi nimi neboli neodôvodnené disproporcie. </w:t>
      </w:r>
    </w:p>
    <w:p w:rsidR="00C0489E">
      <w:pPr>
        <w:widowControl/>
        <w:bidi w:val="0"/>
        <w:spacing w:after="200" w:line="276" w:lineRule="auto"/>
        <w:ind w:firstLine="720"/>
        <w:jc w:val="both"/>
        <w:rPr>
          <w:rStyle w:val="PlaceholderText"/>
          <w:color w:val="000000"/>
        </w:rPr>
      </w:pPr>
      <w:r>
        <w:rPr>
          <w:rStyle w:val="PlaceholderText"/>
          <w:color w:val="000000"/>
        </w:rPr>
        <w:t>S problematikou násilia a neviazanosti divákov (diváckeho násilia) úzko súvisí aj problematika rasizmu, diskriminácie, intolerancie a ostatných prejavov súvisiacich s problematikou extrémizmu. V tomto smere návrh zákona reaguje na právnu medzeru spočívajúcu v tom, že slovenský právny poriadok nepoznal priestupky extrémizmu, v dôsledku čoho niektoré menej závažné formy protiprávneho konania, ktoré nebolo možné posúdiť ako priestupky proti verejnému poriadku alebo ako priestupky proti občianskemu spolunažívaniu, boli posudzované buď ako trestný čin, čo sa vo viacerých prípadoch javilo ako neprimerane prísne (kriminalizovanie) alebo druhá možnosť bola, že neboli postihnuté vôbec, čo je však vo vzťahu k extrémistickým prejavom a ich náznakom neprijateľné. Ide napr. o prípady verejného obnaženia častí tela (vyhrnutie rukávov, vyzlečenie hornej časti oblečenia), na ktorých je vytetovaný/zobrazený zakázaný extrémistický symbol alebo zobrazenie takého symbolu na šatstve alebo iných veciach a pod.</w:t>
      </w:r>
    </w:p>
    <w:p w:rsidR="00C0489E">
      <w:pPr>
        <w:widowControl/>
        <w:bidi w:val="0"/>
        <w:spacing w:after="200" w:line="276" w:lineRule="auto"/>
        <w:ind w:firstLine="720"/>
        <w:jc w:val="both"/>
        <w:rPr>
          <w:rStyle w:val="PlaceholderText"/>
          <w:color w:val="000000"/>
        </w:rPr>
      </w:pPr>
      <w:r>
        <w:rPr>
          <w:rStyle w:val="PlaceholderText"/>
          <w:color w:val="000000"/>
        </w:rPr>
        <w:t xml:space="preserve">Návrhom zmien dotknutých zákonov sa zároveň odstraňujú identifikované nedostatky súčasného právneho stavu, ktoré vyplynuli z aplikačnej praxe. </w:t>
      </w:r>
    </w:p>
    <w:p w:rsidR="00C0489E">
      <w:pPr>
        <w:widowControl/>
        <w:bidi w:val="0"/>
        <w:spacing w:after="200" w:line="276" w:lineRule="auto"/>
        <w:ind w:firstLine="720"/>
        <w:jc w:val="both"/>
        <w:rPr>
          <w:rStyle w:val="PlaceholderText"/>
          <w:color w:val="000000"/>
        </w:rPr>
      </w:pPr>
      <w:r>
        <w:rPr>
          <w:rStyle w:val="PlaceholderText"/>
          <w:color w:val="000000"/>
        </w:rPr>
        <w:t xml:space="preserve">Vzhľadom na skutočnosť, že problematika diváckeho násilia má prierezový charakter, v dôsledku čoho je upravená vo viacerých zákonoch, v záujme vytvorenia logicky koherentného riešenia sa navrhuje zmena a doplnenie aj ďalších zákonov uvedených v čl. II až VII. </w:t>
      </w:r>
    </w:p>
    <w:p w:rsidR="00C0489E">
      <w:pPr>
        <w:widowControl/>
        <w:bidi w:val="0"/>
        <w:spacing w:after="200" w:line="276" w:lineRule="auto"/>
        <w:ind w:firstLine="720"/>
        <w:jc w:val="both"/>
        <w:rPr>
          <w:rStyle w:val="PlaceholderText"/>
          <w:color w:val="000000"/>
        </w:rPr>
      </w:pPr>
      <w:r>
        <w:rPr>
          <w:rStyle w:val="PlaceholderText"/>
          <w:color w:val="000000"/>
        </w:rPr>
        <w:t xml:space="preserve">Návrh zákona bude mať pozitívny dopad na štátny rozpočet a informatizáciu spoločnosti. Pozitívny dopad na štátny rozpočet bude dôsledkom zníženia počtu rizikových  podujatí a tým aj počtu príslušníkov Policajného zboru, ktorí budú musieť byť z dôvodu konania športových podujatí nasadení alebo v pohotovosti (personálne náklady navyše zvyšuje skutočnosť, že tieto podujatia sa konajú väčšinou v deň pracovného pokoja) s čím je spojené zníženie nákladov na prípravu, presun a použitie technických prostriedkov z dôvodu zabezpečenia verejného poriadku na verejných podujatiach, ako aj pri presune fanúšikov. </w:t>
      </w:r>
    </w:p>
    <w:p w:rsidR="00C0489E">
      <w:pPr>
        <w:widowControl/>
        <w:bidi w:val="0"/>
        <w:spacing w:after="200" w:line="276" w:lineRule="auto"/>
        <w:ind w:firstLine="720"/>
        <w:jc w:val="both"/>
        <w:rPr>
          <w:rStyle w:val="PlaceholderText"/>
          <w:color w:val="000000"/>
        </w:rPr>
      </w:pPr>
      <w:r>
        <w:rPr>
          <w:rStyle w:val="PlaceholderText"/>
          <w:color w:val="000000"/>
        </w:rPr>
        <w:t>Za prínos z pohľadu verejných financií je možné považovať aj to, že Policajný zbor si bude môcť v prípade vynúteného zásahu v športovom zariadení, ktorého dôvodom je hrubé zanedbanie povinnosti organizátora, uplatniť účelne vynaložené náklady na tento zásah. To isté bude platiť aj pri zásahu obecnej polície. Zákon upravuje možnosť, že Policajný zbor alebo obecná polícia budú na základe odplatnej zmluvy poskytovať súčinnosť pri výkone usporiadateľskej služby aj na štadióne (nie iba v jeho okolí) a to najmä pri medzinárodných a rizikových podujatiach.</w:t>
      </w:r>
    </w:p>
    <w:p w:rsidR="00C0489E">
      <w:pPr>
        <w:widowControl/>
        <w:bidi w:val="0"/>
        <w:spacing w:after="200" w:line="276" w:lineRule="auto"/>
        <w:ind w:firstLine="720"/>
        <w:jc w:val="both"/>
        <w:rPr>
          <w:rStyle w:val="PlaceholderText"/>
          <w:color w:val="000000"/>
        </w:rPr>
      </w:pPr>
      <w:r>
        <w:rPr>
          <w:rStyle w:val="PlaceholderText"/>
          <w:color w:val="000000"/>
        </w:rPr>
        <w:t>Pozitívny dopad na štátny rozpočet bude mať aj to, že v dôsledku presunu právomoci na prejednanie priestupkov diváckeho násilia z obcí na Policajný zbor, a presunu právomoci na konanie o správnych deliktoch organizátorov (klubov), z obcí na okresný úrad, príjmy z pokút uložených za porušenie povinností ustanovených v navrhovanom zákone (za priestupok alebo správny delikt) organizátorovi, členovi usporiadateľskej služby, divákovi a ďalším subjektom zodpovedným za riadny priebeh podujatia, budú príjmom štátneho rozpočtu.</w:t>
      </w:r>
    </w:p>
    <w:p w:rsidR="00C0489E">
      <w:pPr>
        <w:widowControl/>
        <w:bidi w:val="0"/>
        <w:spacing w:after="200" w:line="276" w:lineRule="auto"/>
        <w:ind w:firstLine="720"/>
        <w:jc w:val="both"/>
        <w:rPr>
          <w:rStyle w:val="PlaceholderText"/>
          <w:color w:val="000000"/>
        </w:rPr>
      </w:pPr>
      <w:r>
        <w:rPr>
          <w:rStyle w:val="PlaceholderText"/>
          <w:color w:val="000000"/>
        </w:rPr>
        <w:t>Pozitívny dopad na informatizáciu spoločnosti prinesie jednak vytvorenie a prevádzkovanie informačného systému o bezpečnosti na športových podujatiach, ktorý bude prepojený na informačný systém národného futbalového informačného strediska</w:t>
      </w:r>
      <w:hyperlink r:id="rId4" w:anchor="_ftn5" w:history="1">
        <w:bookmarkStart w:id="5" w:name="_ftnref5"/>
        <w:r>
          <w:rPr>
            <w:rStyle w:val="PlaceholderText"/>
            <w:color w:val="000000"/>
            <w:u w:val="single"/>
          </w:rPr>
          <w:t>[5]</w:t>
        </w:r>
      </w:hyperlink>
      <w:bookmarkEnd w:id="5"/>
      <w:r>
        <w:rPr>
          <w:rStyle w:val="PlaceholderText"/>
          <w:color w:val="000000"/>
        </w:rPr>
        <w:t xml:space="preserve"> (NFIS), ako aj postupné zavedenie elektronických systémov umožňujúcich predaj vstupeniek na meno a priezvisko. </w:t>
      </w:r>
    </w:p>
    <w:p w:rsidR="00C0489E">
      <w:pPr>
        <w:widowControl/>
        <w:bidi w:val="0"/>
        <w:spacing w:after="200" w:line="276" w:lineRule="auto"/>
        <w:ind w:firstLine="720"/>
        <w:jc w:val="both"/>
        <w:rPr>
          <w:rStyle w:val="PlaceholderText"/>
          <w:color w:val="000000"/>
        </w:rPr>
      </w:pPr>
      <w:r>
        <w:rPr>
          <w:rStyle w:val="PlaceholderText"/>
          <w:color w:val="000000"/>
        </w:rPr>
        <w:t xml:space="preserve">Predpokladá sa mierny pozitívny i dopad aj na podnikateľské prostredie, nakoľko v dôsledku eliminácie incidentov počas premiestňovania divákov na podujatie a z podujatia nebude potrebné uzatvoriť na niekoľko hodín všetky prevádzky pohostinských a iných služieb na trase fanúšikov na štadión a zakázať predaj alkoholických nápojov, ako sa to pomerne často deje pri rizikových stretnutiach. </w:t>
      </w:r>
    </w:p>
    <w:p w:rsidR="00C0489E">
      <w:pPr>
        <w:widowControl/>
        <w:bidi w:val="0"/>
        <w:spacing w:after="200" w:line="276" w:lineRule="auto"/>
        <w:ind w:firstLine="720"/>
        <w:jc w:val="both"/>
        <w:rPr>
          <w:rStyle w:val="PlaceholderText"/>
          <w:color w:val="000000"/>
        </w:rPr>
      </w:pPr>
      <w:r>
        <w:rPr>
          <w:rStyle w:val="PlaceholderText"/>
          <w:color w:val="000000"/>
        </w:rPr>
        <w:t>Návrh zákona bude mať negatívny i pozitívny dopad na organizátorov podujatí osobitného režimu a najmä pri rizikových podujatiach, kde si splnenie zákonom ustanovených povinností organizátora podujatia vyžiada zvýšenie nákladov. Spravidla vždy však ide o podujatia, na ktorých sa vyberá vstupné. Organizátori budú motivovaní k práci s fanúšikmi tak, aby rizikových podujatí, s ktorými sú spojené zvýšené náklady, bolo čo najmenej. Ak aplikácia opatrení podľa návrhu zákona prinesie stabilnú kultiváciu prostredia a atmosféry na štadiónoch, je možné očakávať vyššie návštevy a tým aj vyššie príjmy zo vstupného a konzumného pre organizátorov týchto podujatí.</w:t>
      </w:r>
    </w:p>
    <w:p w:rsidR="00C0489E">
      <w:pPr>
        <w:widowControl/>
        <w:bidi w:val="0"/>
        <w:spacing w:after="200" w:line="276" w:lineRule="auto"/>
        <w:ind w:firstLine="720"/>
        <w:jc w:val="both"/>
        <w:rPr>
          <w:rStyle w:val="PlaceholderText"/>
          <w:color w:val="000000"/>
        </w:rPr>
      </w:pPr>
      <w:r>
        <w:rPr>
          <w:rStyle w:val="PlaceholderText"/>
          <w:color w:val="000000"/>
        </w:rPr>
        <w:t>Návrh zákona bude mať mierny negatívny dopad na rozpočty obcí v dôsledku presunu právomocí na prejednanie priestupkov a správnych deliktov z obcí na Policajný zbor Slovenskej republiky. Tento presun je však nevyhnutný v dôsledku konfliktu záujmov v prípadoch, keď je obec spolumajiteľom alebo významným sponzorom organizátora (klubu).</w:t>
      </w:r>
    </w:p>
    <w:p w:rsidR="00C0489E">
      <w:pPr>
        <w:widowControl/>
        <w:bidi w:val="0"/>
        <w:spacing w:after="200" w:line="276" w:lineRule="auto"/>
        <w:ind w:firstLine="720"/>
        <w:jc w:val="both"/>
        <w:rPr>
          <w:rStyle w:val="PlaceholderText"/>
          <w:color w:val="000000"/>
        </w:rPr>
      </w:pPr>
      <w:r>
        <w:rPr>
          <w:rStyle w:val="PlaceholderText"/>
          <w:color w:val="000000"/>
        </w:rPr>
        <w:t>Návrh zákona nebude mať negatívny dopad na rozpočty vyšších územných celkov, na životné prostredie a na zamestnanosť.</w:t>
      </w:r>
    </w:p>
    <w:p w:rsidR="00C0489E">
      <w:pPr>
        <w:widowControl/>
        <w:bidi w:val="0"/>
        <w:spacing w:after="200" w:line="276" w:lineRule="auto"/>
        <w:ind w:firstLine="720"/>
        <w:jc w:val="both"/>
        <w:rPr>
          <w:rStyle w:val="PlaceholderText"/>
          <w:color w:val="000000"/>
        </w:rPr>
      </w:pPr>
      <w:r>
        <w:rPr>
          <w:rStyle w:val="PlaceholderText"/>
          <w:color w:val="000000"/>
        </w:rPr>
        <w:t>Návrh zákona je v súlade s Ústavou Slovenskej republiky, ústavnými zákonmi Slovenskej republiky, zákonmi, medzinárodnými zmluvami a inými medzinárodnými dokumentmi, ktorými je Slovenská republika viazaná a právom Európskej únie.</w:t>
      </w:r>
    </w:p>
    <w:p w:rsidR="00C0489E">
      <w:pPr>
        <w:widowControl/>
        <w:bidi w:val="0"/>
        <w:rPr>
          <w:rStyle w:val="PlaceholderText"/>
          <w:color w:val="000000"/>
        </w:rPr>
      </w:pPr>
      <w:r>
        <w:rPr>
          <w:rFonts w:ascii="Times New Roman" w:hAnsi="Times New Roman"/>
        </w:rPr>
        <w:pict>
          <v:rect id="_x0000_i1025" style="width:154.45pt;height:0.75pt" o:hrpct="330" o:hrstd="t" o:hrnoshade="f" o:hr="t" filled="t" fillcolor="gray" stroked="f">
            <v:imagedata r:id="rId5" o:title=""/>
          </v:rect>
        </w:pict>
      </w:r>
    </w:p>
    <w:p w:rsidR="00C0489E">
      <w:pPr>
        <w:widowControl/>
        <w:bidi w:val="0"/>
        <w:jc w:val="both"/>
        <w:rPr>
          <w:rStyle w:val="PlaceholderText"/>
          <w:color w:val="000000"/>
        </w:rPr>
      </w:pPr>
      <w:hyperlink r:id="rId4" w:anchor="_ftnref1" w:history="1">
        <w:bookmarkStart w:id="6" w:name="_ftn1"/>
        <w:r>
          <w:rPr>
            <w:rStyle w:val="PlaceholderText"/>
            <w:color w:val="000000"/>
            <w:u w:val="single"/>
          </w:rPr>
          <w:t>[1]</w:t>
        </w:r>
      </w:hyperlink>
      <w:bookmarkEnd w:id="6"/>
      <w:r>
        <w:rPr>
          <w:rStyle w:val="PlaceholderText"/>
          <w:color w:val="000000"/>
          <w:sz w:val="18"/>
        </w:rPr>
        <w:t xml:space="preserve"> článok 1 ods. 2 dohovoru:</w:t>
      </w:r>
      <w:r>
        <w:rPr>
          <w:rStyle w:val="PlaceholderText"/>
          <w:color w:val="000000"/>
        </w:rPr>
        <w:br/>
      </w:r>
      <w:r>
        <w:rPr>
          <w:rStyle w:val="PlaceholderText"/>
          <w:color w:val="000000"/>
          <w:sz w:val="18"/>
        </w:rPr>
        <w:t>“</w:t>
      </w:r>
      <w:r>
        <w:rPr>
          <w:rStyle w:val="PlaceholderText"/>
          <w:i/>
          <w:color w:val="000000"/>
          <w:sz w:val="18"/>
        </w:rPr>
        <w:t>2. Zúčastnené strany použijú ustanovenia tohto dohovoru aj pri iných športoch a športových podujatiach, kde sa možno obávať násilia a neviazanosti divákov, berúc do úvahy špecifické požiadavky takýchto športov a športových podujatí.</w:t>
      </w:r>
      <w:r>
        <w:rPr>
          <w:rStyle w:val="PlaceholderText"/>
          <w:color w:val="000000"/>
          <w:sz w:val="18"/>
        </w:rPr>
        <w:t>”</w:t>
      </w:r>
    </w:p>
    <w:p w:rsidR="00C0489E">
      <w:pPr>
        <w:widowControl/>
        <w:bidi w:val="0"/>
        <w:rPr>
          <w:rStyle w:val="PlaceholderText"/>
          <w:color w:val="000000"/>
        </w:rPr>
      </w:pPr>
      <w:hyperlink r:id="rId4" w:anchor="_ftnref2" w:history="1">
        <w:bookmarkStart w:id="7" w:name="_ftn2"/>
        <w:r>
          <w:rPr>
            <w:rStyle w:val="PlaceholderText"/>
            <w:color w:val="000000"/>
            <w:u w:val="single"/>
          </w:rPr>
          <w:t>[2]</w:t>
        </w:r>
      </w:hyperlink>
      <w:bookmarkEnd w:id="7"/>
      <w:r>
        <w:rPr>
          <w:rStyle w:val="PlaceholderText"/>
          <w:color w:val="000000"/>
          <w:sz w:val="18"/>
        </w:rPr>
        <w:t xml:space="preserve"> Právne dokumenty Rady Európy k problematike diváckeho násilia na stránkach Rady Európy: </w:t>
      </w:r>
      <w:hyperlink r:id="rId6" w:history="1">
        <w:r>
          <w:rPr>
            <w:rStyle w:val="PlaceholderText"/>
            <w:color w:val="1155CC"/>
            <w:sz w:val="18"/>
            <w:u w:val="single"/>
          </w:rPr>
          <w:t>http</w:t>
        </w:r>
      </w:hyperlink>
      <w:hyperlink r:id="rId6" w:history="1">
        <w:r>
          <w:rPr>
            <w:rStyle w:val="PlaceholderText"/>
            <w:color w:val="1155CC"/>
            <w:sz w:val="18"/>
            <w:u w:val="single"/>
          </w:rPr>
          <w:t>://</w:t>
        </w:r>
      </w:hyperlink>
      <w:hyperlink r:id="rId6" w:history="1">
        <w:r>
          <w:rPr>
            <w:rStyle w:val="PlaceholderText"/>
            <w:color w:val="1155CC"/>
            <w:sz w:val="18"/>
            <w:u w:val="single"/>
          </w:rPr>
          <w:t>www</w:t>
        </w:r>
      </w:hyperlink>
      <w:hyperlink r:id="rId6" w:history="1">
        <w:r>
          <w:rPr>
            <w:rStyle w:val="PlaceholderText"/>
            <w:color w:val="1155CC"/>
            <w:sz w:val="18"/>
            <w:u w:val="single"/>
          </w:rPr>
          <w:t>.</w:t>
        </w:r>
      </w:hyperlink>
      <w:hyperlink r:id="rId6" w:history="1">
        <w:r>
          <w:rPr>
            <w:rStyle w:val="PlaceholderText"/>
            <w:color w:val="1155CC"/>
            <w:sz w:val="18"/>
            <w:u w:val="single"/>
          </w:rPr>
          <w:t>coe</w:t>
        </w:r>
      </w:hyperlink>
      <w:hyperlink r:id="rId6" w:history="1">
        <w:r>
          <w:rPr>
            <w:rStyle w:val="PlaceholderText"/>
            <w:color w:val="1155CC"/>
            <w:sz w:val="18"/>
            <w:u w:val="single"/>
          </w:rPr>
          <w:t>.</w:t>
        </w:r>
      </w:hyperlink>
      <w:hyperlink r:id="rId6" w:history="1">
        <w:r>
          <w:rPr>
            <w:rStyle w:val="PlaceholderText"/>
            <w:color w:val="1155CC"/>
            <w:sz w:val="18"/>
            <w:u w:val="single"/>
          </w:rPr>
          <w:t>int</w:t>
        </w:r>
      </w:hyperlink>
      <w:hyperlink r:id="rId6" w:history="1">
        <w:r>
          <w:rPr>
            <w:rStyle w:val="PlaceholderText"/>
            <w:color w:val="1155CC"/>
            <w:sz w:val="18"/>
            <w:u w:val="single"/>
          </w:rPr>
          <w:t>/</w:t>
        </w:r>
      </w:hyperlink>
      <w:hyperlink r:id="rId6" w:history="1">
        <w:r>
          <w:rPr>
            <w:rStyle w:val="PlaceholderText"/>
            <w:color w:val="1155CC"/>
            <w:sz w:val="18"/>
            <w:u w:val="single"/>
          </w:rPr>
          <w:t>t</w:t>
        </w:r>
      </w:hyperlink>
      <w:hyperlink r:id="rId6" w:history="1">
        <w:r>
          <w:rPr>
            <w:rStyle w:val="PlaceholderText"/>
            <w:color w:val="1155CC"/>
            <w:sz w:val="18"/>
            <w:u w:val="single"/>
          </w:rPr>
          <w:t>/</w:t>
        </w:r>
      </w:hyperlink>
      <w:hyperlink r:id="rId6" w:history="1">
        <w:r>
          <w:rPr>
            <w:rStyle w:val="PlaceholderText"/>
            <w:color w:val="1155CC"/>
            <w:sz w:val="18"/>
            <w:u w:val="single"/>
          </w:rPr>
          <w:t>dg</w:t>
        </w:r>
      </w:hyperlink>
      <w:hyperlink r:id="rId6" w:history="1">
        <w:r>
          <w:rPr>
            <w:rStyle w:val="PlaceholderText"/>
            <w:color w:val="1155CC"/>
            <w:sz w:val="18"/>
            <w:u w:val="single"/>
          </w:rPr>
          <w:t>4/</w:t>
        </w:r>
      </w:hyperlink>
      <w:hyperlink r:id="rId6" w:history="1">
        <w:r>
          <w:rPr>
            <w:rStyle w:val="PlaceholderText"/>
            <w:color w:val="1155CC"/>
            <w:sz w:val="18"/>
            <w:u w:val="single"/>
          </w:rPr>
          <w:t>sport</w:t>
        </w:r>
      </w:hyperlink>
      <w:hyperlink r:id="rId6" w:history="1">
        <w:r>
          <w:rPr>
            <w:rStyle w:val="PlaceholderText"/>
            <w:color w:val="1155CC"/>
            <w:sz w:val="18"/>
            <w:u w:val="single"/>
          </w:rPr>
          <w:t>/</w:t>
        </w:r>
      </w:hyperlink>
      <w:hyperlink r:id="rId6" w:history="1">
        <w:r>
          <w:rPr>
            <w:rStyle w:val="PlaceholderText"/>
            <w:color w:val="1155CC"/>
            <w:sz w:val="18"/>
            <w:u w:val="single"/>
          </w:rPr>
          <w:t>Resources</w:t>
        </w:r>
      </w:hyperlink>
      <w:hyperlink r:id="rId6" w:history="1">
        <w:r>
          <w:rPr>
            <w:rStyle w:val="PlaceholderText"/>
            <w:color w:val="1155CC"/>
            <w:sz w:val="18"/>
            <w:u w:val="single"/>
          </w:rPr>
          <w:t>/</w:t>
        </w:r>
      </w:hyperlink>
      <w:hyperlink r:id="rId6" w:history="1">
        <w:r>
          <w:rPr>
            <w:rStyle w:val="PlaceholderText"/>
            <w:color w:val="1155CC"/>
            <w:sz w:val="18"/>
            <w:u w:val="single"/>
          </w:rPr>
          <w:t>Ref</w:t>
        </w:r>
      </w:hyperlink>
      <w:hyperlink r:id="rId6" w:history="1">
        <w:r>
          <w:rPr>
            <w:rStyle w:val="PlaceholderText"/>
            <w:color w:val="1155CC"/>
            <w:sz w:val="18"/>
            <w:u w:val="single"/>
          </w:rPr>
          <w:t>_</w:t>
        </w:r>
      </w:hyperlink>
      <w:hyperlink r:id="rId6" w:history="1">
        <w:r>
          <w:rPr>
            <w:rStyle w:val="PlaceholderText"/>
            <w:color w:val="1155CC"/>
            <w:sz w:val="18"/>
            <w:u w:val="single"/>
          </w:rPr>
          <w:t>Text</w:t>
        </w:r>
      </w:hyperlink>
      <w:hyperlink r:id="rId6" w:history="1">
        <w:r>
          <w:rPr>
            <w:rStyle w:val="PlaceholderText"/>
            <w:color w:val="1155CC"/>
            <w:sz w:val="18"/>
            <w:u w:val="single"/>
          </w:rPr>
          <w:t>_</w:t>
        </w:r>
      </w:hyperlink>
      <w:hyperlink r:id="rId6" w:history="1">
        <w:r>
          <w:rPr>
            <w:rStyle w:val="PlaceholderText"/>
            <w:color w:val="1155CC"/>
            <w:sz w:val="18"/>
            <w:u w:val="single"/>
          </w:rPr>
          <w:t>Violence</w:t>
        </w:r>
      </w:hyperlink>
      <w:hyperlink r:id="rId6" w:history="1">
        <w:r>
          <w:rPr>
            <w:rStyle w:val="PlaceholderText"/>
            <w:color w:val="1155CC"/>
            <w:sz w:val="18"/>
            <w:u w:val="single"/>
          </w:rPr>
          <w:t>_</w:t>
        </w:r>
      </w:hyperlink>
      <w:hyperlink r:id="rId6" w:history="1">
        <w:r>
          <w:rPr>
            <w:rStyle w:val="PlaceholderText"/>
            <w:color w:val="1155CC"/>
            <w:sz w:val="18"/>
            <w:u w:val="single"/>
          </w:rPr>
          <w:t>en</w:t>
        </w:r>
      </w:hyperlink>
      <w:hyperlink r:id="rId6" w:history="1">
        <w:r>
          <w:rPr>
            <w:rStyle w:val="PlaceholderText"/>
            <w:color w:val="1155CC"/>
            <w:sz w:val="18"/>
            <w:u w:val="single"/>
          </w:rPr>
          <w:t>.</w:t>
        </w:r>
      </w:hyperlink>
      <w:hyperlink r:id="rId6" w:history="1">
        <w:r>
          <w:rPr>
            <w:rStyle w:val="PlaceholderText"/>
            <w:color w:val="1155CC"/>
            <w:sz w:val="18"/>
            <w:u w:val="single"/>
          </w:rPr>
          <w:t>asp</w:t>
        </w:r>
      </w:hyperlink>
    </w:p>
    <w:p w:rsidR="00C0489E">
      <w:pPr>
        <w:widowControl/>
        <w:bidi w:val="0"/>
        <w:jc w:val="both"/>
        <w:rPr>
          <w:rStyle w:val="PlaceholderText"/>
          <w:color w:val="000000"/>
        </w:rPr>
      </w:pPr>
      <w:hyperlink r:id="rId4" w:anchor="_ftnref3" w:history="1">
        <w:bookmarkStart w:id="8" w:name="_ftn3"/>
        <w:r>
          <w:rPr>
            <w:rStyle w:val="PlaceholderText"/>
            <w:color w:val="000000"/>
            <w:u w:val="single"/>
          </w:rPr>
          <w:t>[3]</w:t>
        </w:r>
      </w:hyperlink>
      <w:bookmarkEnd w:id="8"/>
      <w:r>
        <w:rPr>
          <w:rStyle w:val="PlaceholderText"/>
          <w:color w:val="000000"/>
          <w:sz w:val="18"/>
        </w:rPr>
        <w:t xml:space="preserve"> Napríklad Rozhodnutie Rady 2002/348/SVV z 25. apríla 2002 týkajúce sa bezpečnosti v súvislosti s futbalovými zápasmi s medzinárodným rozmerom (Ú. v. ES L 121, 8.5.2002, s. 1 – 3) v platnom znení; Uznesenie Rady (2010/C 165/01) z 3. júna 2010 o aktualizovanej príručke s odporúčaniami na účely medzinárodnej policajnej spolupráce a s opatreniami na predchádzanie násiliu a výtržnostiam a ich kontrolu v súvislosti s futbalovými zápasmi s medzinárodným rozmerom, na ktorých je zainteresovaný aspoň jeden členský štát (Ú. v. EÚ C 165, 24.6.2010, s. 1 – 21).</w:t>
      </w:r>
    </w:p>
    <w:p w:rsidR="00D819E1" w:rsidP="00D819E1">
      <w:pPr>
        <w:widowControl/>
        <w:bidi w:val="0"/>
        <w:rPr>
          <w:rStyle w:val="PlaceholderText"/>
          <w:color w:val="000000"/>
          <w:sz w:val="18"/>
          <w:szCs w:val="18"/>
        </w:rPr>
      </w:pPr>
      <w:hyperlink r:id="rId4" w:anchor="_ftnref4" w:history="1">
        <w:bookmarkStart w:id="9" w:name="_ftn4"/>
        <w:r w:rsidRPr="00D819E1" w:rsidR="00C0489E">
          <w:rPr>
            <w:rStyle w:val="PlaceholderText"/>
            <w:color w:val="000000"/>
            <w:sz w:val="18"/>
            <w:szCs w:val="18"/>
            <w:u w:val="single"/>
          </w:rPr>
          <w:t>[4]</w:t>
        </w:r>
      </w:hyperlink>
      <w:bookmarkEnd w:id="9"/>
      <w:r w:rsidRPr="00D819E1" w:rsidR="00C0489E">
        <w:rPr>
          <w:rStyle w:val="PlaceholderText"/>
          <w:color w:val="000000"/>
          <w:sz w:val="18"/>
          <w:szCs w:val="18"/>
        </w:rPr>
        <w:t xml:space="preserve"> Podľa § 84 ods. 2 zákona č. 372/1990 Zb. o priestupkoch v znení neskorších predpisov sa napomenutie nepovažuje za sankciu.</w:t>
      </w:r>
    </w:p>
    <w:p w:rsidR="00C0489E" w:rsidP="00D819E1">
      <w:pPr>
        <w:widowControl/>
        <w:bidi w:val="0"/>
        <w:rPr>
          <w:rStyle w:val="PlaceholderText"/>
          <w:color w:val="000000"/>
        </w:rPr>
      </w:pPr>
      <w:hyperlink r:id="rId4" w:anchor="_ftnref5" w:history="1">
        <w:bookmarkStart w:id="10" w:name="_ftn5"/>
        <w:r>
          <w:rPr>
            <w:rStyle w:val="PlaceholderText"/>
            <w:color w:val="000000"/>
            <w:u w:val="single"/>
          </w:rPr>
          <w:t>[5]</w:t>
        </w:r>
      </w:hyperlink>
      <w:bookmarkEnd w:id="10"/>
      <w:r>
        <w:rPr>
          <w:rStyle w:val="PlaceholderText"/>
          <w:color w:val="000000"/>
          <w:sz w:val="20"/>
        </w:rPr>
        <w:t xml:space="preserve"> Zriadenie a úlohy národného futbalového informačného strediska upravuje </w:t>
      </w:r>
      <w:r>
        <w:rPr>
          <w:rStyle w:val="PlaceholderText"/>
          <w:color w:val="000000"/>
          <w:sz w:val="18"/>
        </w:rPr>
        <w:t>Rozhodnutie Rady (2002/348/SVV) z 25. apríla 2002 týkajúce sa bezpečnosti v súvislosti s futbalovými zápasmi s medzinárodným rozmerom (Ú. v. ES L 121, 8.5.2002, s. 1 – 3) v znení Rozhodnutia Rady 2007/412/SVV z 12. júna 2007 (Ú. v. EÚ L 155, 15.6.2007, s. 76 – 77)</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D819E1"/>
    <w:rsid w:val="008B25A6"/>
    <w:rsid w:val="00A64D2D"/>
    <w:rsid w:val="00C0489E"/>
    <w:rsid w:val="00D819E1"/>
    <w:rsid w:val="00E9031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t.justice.gov.sk/rteInit.html" TargetMode="External" /><Relationship Id="rId5" Type="http://schemas.openxmlformats.org/officeDocument/2006/relationships/image" Target="media/image1.wmf" /><Relationship Id="rId6" Type="http://schemas.openxmlformats.org/officeDocument/2006/relationships/hyperlink" Target="http://www.coe.int/t/dg4/sport/Resources/Ref_Text_Violence_en.asp"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4491</Words>
  <Characters>25600</Characters>
  <Application>Microsoft Office Word</Application>
  <DocSecurity>0</DocSecurity>
  <Lines>0</Lines>
  <Paragraphs>0</Paragraphs>
  <ScaleCrop>false</ScaleCrop>
  <Company>Abyss</Company>
  <LinksUpToDate>false</LinksUpToDate>
  <CharactersWithSpaces>30031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Juhás Branislav</cp:lastModifiedBy>
  <cp:revision>2</cp:revision>
  <dcterms:created xsi:type="dcterms:W3CDTF">2013-09-26T13:47:00Z</dcterms:created>
  <dcterms:modified xsi:type="dcterms:W3CDTF">2013-09-26T13:47:00Z</dcterms:modified>
</cp:coreProperties>
</file>