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2458" w:rsidP="00FD2458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DOLOŽKA ZLUČITEĽNOSTI</w:t>
      </w:r>
    </w:p>
    <w:p w:rsidR="00FD2458" w:rsidP="00FD245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právneho predpisu s právom Európskej únie</w:t>
      </w:r>
    </w:p>
    <w:p w:rsidR="00FD2458" w:rsidP="00FD2458">
      <w:pPr>
        <w:bidi w:val="0"/>
        <w:jc w:val="center"/>
        <w:rPr>
          <w:rFonts w:ascii="Times New Roman" w:hAnsi="Times New Roman"/>
          <w:b/>
        </w:rPr>
      </w:pPr>
    </w:p>
    <w:p w:rsidR="00FD2458" w:rsidP="00FD2458">
      <w:pPr>
        <w:bidi w:val="0"/>
        <w:jc w:val="center"/>
        <w:rPr>
          <w:rFonts w:ascii="Times New Roman" w:hAnsi="Times New Roman"/>
          <w:b/>
        </w:rPr>
      </w:pPr>
    </w:p>
    <w:p w:rsidR="00FD2458" w:rsidP="00FD2458">
      <w:pPr>
        <w:numPr>
          <w:numId w:val="1"/>
        </w:numPr>
        <w:tabs>
          <w:tab w:val="clear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Predkladateľ právneho predpisu:</w:t>
      </w:r>
      <w:r>
        <w:rPr>
          <w:rFonts w:ascii="Times New Roman" w:hAnsi="Times New Roman"/>
        </w:rPr>
        <w:t xml:space="preserve"> Ministerstvo hospodárstva Slovenskej republiky  </w:t>
      </w:r>
    </w:p>
    <w:p w:rsidR="00FD2458" w:rsidP="00FD2458">
      <w:pPr>
        <w:bidi w:val="0"/>
        <w:jc w:val="both"/>
        <w:rPr>
          <w:rFonts w:ascii="Times New Roman" w:hAnsi="Times New Roman"/>
        </w:rPr>
      </w:pPr>
    </w:p>
    <w:p w:rsidR="00FD2458" w:rsidP="00FD2458">
      <w:pPr>
        <w:bidi w:val="0"/>
        <w:jc w:val="both"/>
        <w:rPr>
          <w:rFonts w:ascii="Times New Roman" w:hAnsi="Times New Roman"/>
        </w:rPr>
      </w:pPr>
    </w:p>
    <w:p w:rsidR="00FD2458" w:rsidRPr="00FD2458" w:rsidP="00B76229">
      <w:pPr>
        <w:numPr>
          <w:numId w:val="1"/>
        </w:numPr>
        <w:bidi w:val="0"/>
        <w:rPr>
          <w:rFonts w:ascii="Times New Roman" w:hAnsi="Times New Roman"/>
          <w:color w:val="000000"/>
        </w:rPr>
      </w:pPr>
      <w:r w:rsidRPr="00FD2458">
        <w:rPr>
          <w:rFonts w:ascii="Times New Roman" w:hAnsi="Times New Roman"/>
          <w:b/>
        </w:rPr>
        <w:t>Názov návrhu právneho predpisu:</w:t>
      </w:r>
      <w:r>
        <w:rPr>
          <w:rFonts w:ascii="Times New Roman" w:hAnsi="Times New Roman"/>
        </w:rPr>
        <w:t xml:space="preserve"> </w:t>
      </w:r>
      <w:r w:rsidRPr="005A34DB">
        <w:rPr>
          <w:rFonts w:ascii="Times New Roman" w:hAnsi="Times New Roman" w:cs="Arial"/>
        </w:rPr>
        <w:t xml:space="preserve">Návrh </w:t>
      </w:r>
      <w:r>
        <w:rPr>
          <w:rFonts w:ascii="Times New Roman" w:hAnsi="Times New Roman" w:cs="Arial"/>
        </w:rPr>
        <w:t xml:space="preserve">zákona o výbušninách, výbušných </w:t>
      </w:r>
      <w:r w:rsidRPr="005A34DB">
        <w:rPr>
          <w:rFonts w:ascii="Times New Roman" w:hAnsi="Times New Roman" w:cs="Arial"/>
        </w:rPr>
        <w:t>predmetoch a munícii a o zmene a doplnení niektorých zákonov</w:t>
      </w:r>
    </w:p>
    <w:p w:rsidR="00FD2458" w:rsidP="00B76229">
      <w:pPr>
        <w:bidi w:val="0"/>
        <w:jc w:val="both"/>
        <w:rPr>
          <w:rFonts w:ascii="Times New Roman" w:hAnsi="Times New Roman"/>
          <w:color w:val="000000"/>
        </w:rPr>
      </w:pPr>
    </w:p>
    <w:p w:rsidR="00FD2458" w:rsidP="00FD245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3. Problematika návrhu právneho predpisu: </w:t>
      </w:r>
    </w:p>
    <w:p w:rsidR="00FD2458" w:rsidP="00FD2458">
      <w:pPr>
        <w:pStyle w:val="NormalWeb"/>
        <w:numPr>
          <w:ilvl w:val="1"/>
          <w:numId w:val="4"/>
        </w:numPr>
        <w:tabs>
          <w:tab w:val="clear" w:pos="700"/>
        </w:tabs>
        <w:bidi w:val="0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je upravená v práve Európ</w:t>
      </w:r>
      <w:smartTag w:uri="urn:schemas-microsoft-com:office:smarttags" w:element="PersonName">
        <w:r>
          <w:rPr>
            <w:rFonts w:ascii="Times New Roman" w:hAnsi="Times New Roman"/>
            <w:color w:val="auto"/>
          </w:rPr>
          <w:t>sk</w:t>
        </w:r>
      </w:smartTag>
      <w:r>
        <w:rPr>
          <w:rFonts w:ascii="Times New Roman" w:hAnsi="Times New Roman"/>
          <w:color w:val="auto"/>
        </w:rPr>
        <w:t>ej únie</w:t>
      </w:r>
    </w:p>
    <w:p w:rsidR="00FD2458" w:rsidP="00FD2458">
      <w:pPr>
        <w:pStyle w:val="NormalWeb"/>
        <w:numPr>
          <w:ilvl w:val="2"/>
          <w:numId w:val="4"/>
        </w:numPr>
        <w:tabs>
          <w:tab w:val="left" w:pos="1000"/>
        </w:tabs>
        <w:bidi w:val="0"/>
        <w:spacing w:before="0" w:beforeAutospacing="0" w:after="0" w:afterAutospacing="0"/>
        <w:ind w:firstLine="20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 primárnom</w:t>
      </w:r>
    </w:p>
    <w:p w:rsidR="00FD2458" w:rsidP="00FD2458">
      <w:pPr>
        <w:pStyle w:val="BodyText"/>
        <w:bidi w:val="0"/>
        <w:ind w:left="900" w:hanging="360"/>
        <w:rPr>
          <w:rFonts w:ascii="Times New Roman" w:hAnsi="Times New Roman"/>
        </w:rPr>
      </w:pPr>
    </w:p>
    <w:p w:rsidR="00FD2458" w:rsidP="00FD2458">
      <w:pPr>
        <w:pStyle w:val="BodyText"/>
        <w:bidi w:val="0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Zmluva o fungovaní Európskej únie</w:t>
      </w:r>
    </w:p>
    <w:p w:rsidR="00FD2458" w:rsidP="00FD2458">
      <w:pPr>
        <w:pStyle w:val="NormalWeb"/>
        <w:tabs>
          <w:tab w:val="left" w:pos="100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Hlava Ia</w:t>
      </w:r>
      <w:r w:rsidRPr="00555E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kapitola 1a Colná spolupráca,</w:t>
      </w:r>
      <w:r w:rsidRPr="00555E16">
        <w:rPr>
          <w:rFonts w:ascii="Times New Roman" w:hAnsi="Times New Roman"/>
        </w:rPr>
        <w:t xml:space="preserve"> čl. </w:t>
      </w:r>
      <w:r>
        <w:rPr>
          <w:rFonts w:ascii="Times New Roman" w:hAnsi="Times New Roman"/>
        </w:rPr>
        <w:t>27a</w:t>
      </w:r>
    </w:p>
    <w:p w:rsidR="00FD2458" w:rsidP="00FD2458">
      <w:pPr>
        <w:pStyle w:val="NormalWeb"/>
        <w:tabs>
          <w:tab w:val="left" w:pos="100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D2458" w:rsidRPr="00D94E10" w:rsidP="00FD2458">
      <w:pPr>
        <w:pStyle w:val="NormalWeb"/>
        <w:tabs>
          <w:tab w:val="left" w:pos="1000"/>
        </w:tabs>
        <w:bidi w:val="0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</w:t>
      </w:r>
      <w:r w:rsidRPr="00D94E10">
        <w:rPr>
          <w:rFonts w:ascii="Times New Roman" w:hAnsi="Times New Roman"/>
          <w:color w:val="auto"/>
        </w:rPr>
        <w:t xml:space="preserve">Hlava II </w:t>
      </w:r>
      <w:r>
        <w:rPr>
          <w:rFonts w:ascii="Times New Roman" w:hAnsi="Times New Roman"/>
          <w:color w:val="auto"/>
        </w:rPr>
        <w:t>V</w:t>
      </w:r>
      <w:r w:rsidRPr="00D94E10">
        <w:rPr>
          <w:rFonts w:ascii="Times New Roman" w:hAnsi="Times New Roman"/>
          <w:color w:val="auto"/>
        </w:rPr>
        <w:t>oľný pohyb tovaru, čl. 28 – 37</w:t>
      </w:r>
    </w:p>
    <w:p w:rsidR="00FD2458" w:rsidP="00FD2458">
      <w:pPr>
        <w:pStyle w:val="NormalWeb"/>
        <w:tabs>
          <w:tab w:val="left" w:pos="1000"/>
        </w:tabs>
        <w:bidi w:val="0"/>
        <w:spacing w:before="0" w:beforeAutospacing="0" w:after="0" w:afterAutospacing="0"/>
        <w:jc w:val="both"/>
        <w:rPr>
          <w:rFonts w:ascii="Times New Roman" w:hAnsi="Times New Roman"/>
          <w:i/>
          <w:color w:val="auto"/>
        </w:rPr>
      </w:pPr>
    </w:p>
    <w:p w:rsidR="00FD2458" w:rsidRPr="00113283" w:rsidP="00FD2458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</w:t>
        <w:tab/>
      </w:r>
      <w:r w:rsidRPr="00113283">
        <w:rPr>
          <w:rFonts w:ascii="Times New Roman" w:hAnsi="Times New Roman"/>
          <w:i/>
          <w:iCs/>
        </w:rPr>
        <w:t>sekundárnom (prijatom po nadobudnutím platnosti Lisabon</w:t>
      </w:r>
      <w:smartTag w:uri="urn:schemas-microsoft-com:office:smarttags" w:element="PersonName">
        <w:r w:rsidRPr="00113283">
          <w:rPr>
            <w:rFonts w:ascii="Times New Roman" w:hAnsi="Times New Roman"/>
            <w:i/>
            <w:iCs/>
          </w:rPr>
          <w:t>sk</w:t>
        </w:r>
      </w:smartTag>
      <w:r w:rsidRPr="00113283">
        <w:rPr>
          <w:rFonts w:ascii="Times New Roman" w:hAnsi="Times New Roman"/>
          <w:i/>
          <w:iCs/>
        </w:rPr>
        <w:t>ej zmluvy, ktorou sa mení a dopĺňa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  <w:iCs/>
          </w:rPr>
          <w:t>sk</w:t>
        </w:r>
      </w:smartTag>
      <w:r w:rsidRPr="00113283">
        <w:rPr>
          <w:rFonts w:ascii="Times New Roman" w:hAnsi="Times New Roman"/>
          <w:i/>
          <w:iCs/>
        </w:rPr>
        <w:t>om spoločenstve 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  <w:iCs/>
          </w:rPr>
          <w:t>sk</w:t>
        </w:r>
      </w:smartTag>
      <w:r w:rsidRPr="00113283">
        <w:rPr>
          <w:rFonts w:ascii="Times New Roman" w:hAnsi="Times New Roman"/>
          <w:i/>
          <w:iCs/>
        </w:rPr>
        <w:t>ej únii – po 30. novembri 2009)</w:t>
      </w:r>
    </w:p>
    <w:p w:rsidR="00FD2458" w:rsidP="00FD2458">
      <w:pPr>
        <w:tabs>
          <w:tab w:val="left" w:pos="1068"/>
        </w:tabs>
        <w:bidi w:val="0"/>
        <w:ind w:left="879" w:hanging="171"/>
        <w:rPr>
          <w:rFonts w:ascii="Times New Roman" w:hAnsi="Times New Roman" w:cs="Verdana"/>
          <w:i/>
          <w:iCs/>
        </w:rPr>
      </w:pPr>
    </w:p>
    <w:p w:rsidR="00FD2458" w:rsidRPr="00113283" w:rsidP="00FD2458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 w:cs="Verdana"/>
          <w:i/>
          <w:iCs/>
        </w:rPr>
      </w:pPr>
      <w:r>
        <w:rPr>
          <w:rFonts w:ascii="Times New Roman" w:hAnsi="Times New Roman"/>
        </w:rPr>
        <w:t xml:space="preserve">       </w:t>
      </w:r>
    </w:p>
    <w:p w:rsidR="00FD2458" w:rsidP="00FD2458">
      <w:pPr>
        <w:widowControl w:val="0"/>
        <w:bidi w:val="0"/>
        <w:adjustRightInd w:val="0"/>
        <w:rPr>
          <w:rFonts w:ascii="Times New Roman" w:hAnsi="Times New Roman"/>
        </w:rPr>
      </w:pPr>
    </w:p>
    <w:p w:rsidR="00FD2458" w:rsidP="00FD2458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</w:rPr>
        <w:t>-</w:t>
        <w:tab/>
      </w:r>
      <w:r w:rsidRPr="00902214">
        <w:rPr>
          <w:rFonts w:ascii="Times New Roman" w:hAnsi="Times New Roman"/>
          <w:i/>
          <w:iCs/>
        </w:rPr>
        <w:t>sekundárnom</w:t>
      </w:r>
      <w:r w:rsidRPr="00113283">
        <w:rPr>
          <w:rFonts w:ascii="Times New Roman" w:hAnsi="Times New Roman"/>
          <w:i/>
        </w:rPr>
        <w:t xml:space="preserve"> (prijatom pred nadobudnutím platnosti Lisabon</w:t>
      </w:r>
      <w:smartTag w:uri="urn:schemas-microsoft-com:office:smarttags" w:element="PersonName">
        <w:r w:rsidRPr="00113283">
          <w:rPr>
            <w:rFonts w:ascii="Times New Roman" w:hAnsi="Times New Roman"/>
            <w:i/>
          </w:rPr>
          <w:t>sk</w:t>
        </w:r>
      </w:smartTag>
      <w:r w:rsidRPr="00113283">
        <w:rPr>
          <w:rFonts w:ascii="Times New Roman" w:hAnsi="Times New Roman"/>
          <w:i/>
        </w:rPr>
        <w:t>ej zmluvy, ktorou sa mení a dopĺňa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</w:rPr>
          <w:t>sk</w:t>
        </w:r>
      </w:smartTag>
      <w:r w:rsidRPr="00113283">
        <w:rPr>
          <w:rFonts w:ascii="Times New Roman" w:hAnsi="Times New Roman"/>
          <w:i/>
        </w:rPr>
        <w:t>om spoločenstve 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</w:rPr>
          <w:t>sk</w:t>
        </w:r>
      </w:smartTag>
      <w:r w:rsidRPr="00113283">
        <w:rPr>
          <w:rFonts w:ascii="Times New Roman" w:hAnsi="Times New Roman"/>
          <w:i/>
        </w:rPr>
        <w:t>ej únii – do 30. novembra 2009)</w:t>
      </w:r>
    </w:p>
    <w:p w:rsidR="00FD2458" w:rsidP="00FD2458">
      <w:pPr>
        <w:tabs>
          <w:tab w:val="left" w:pos="1068"/>
        </w:tabs>
        <w:bidi w:val="0"/>
        <w:adjustRightInd w:val="0"/>
        <w:ind w:left="708"/>
        <w:jc w:val="both"/>
        <w:rPr>
          <w:rFonts w:ascii="Times New Roman" w:hAnsi="Times New Roman"/>
          <w:i/>
        </w:rPr>
      </w:pPr>
    </w:p>
    <w:p w:rsidR="00FD2458" w:rsidRPr="00FD2458" w:rsidP="00FD2458">
      <w:pPr>
        <w:tabs>
          <w:tab w:val="left" w:pos="9180"/>
        </w:tabs>
        <w:bidi w:val="0"/>
        <w:spacing w:before="150" w:after="150"/>
        <w:ind w:left="1080" w:right="-110"/>
        <w:jc w:val="both"/>
        <w:rPr>
          <w:rStyle w:val="Emphasis"/>
          <w:rFonts w:ascii="Times New Roman" w:hAnsi="Times New Roman"/>
        </w:rPr>
      </w:pPr>
      <w:r w:rsidRPr="00FD2458">
        <w:rPr>
          <w:rFonts w:ascii="Times New Roman" w:hAnsi="Times New Roman"/>
        </w:rPr>
        <w:t>Nariadenie Európskeho parlamentu a Rady (ES) č. 1907/2006 z  18. decembra 2006 o registrácii, hodnotení, autorizácii a obmedzovaní chemických látok (REACH) a o zriadení Európskej chemickej agentúry, o zmene a doplnení smernice 1999/45/ES a o zrušení nariadenia Rady (EHS) č. 793/93 a nariadenia Komisie (ES) č. 1488/94, smernice Rady 76/769/EHS a smerníc Komisie 91/155/EHS, 93/67/EHS, 93/105/ES a 2000/21/ES</w:t>
      </w:r>
      <w:r>
        <w:rPr>
          <w:rFonts w:ascii="Times New Roman" w:hAnsi="Times New Roman"/>
        </w:rPr>
        <w:t xml:space="preserve"> </w:t>
      </w:r>
      <w:r w:rsidRPr="00FD2458">
        <w:rPr>
          <w:rFonts w:ascii="Times New Roman" w:hAnsi="Times New Roman"/>
        </w:rPr>
        <w:t>(</w:t>
      </w:r>
      <w:r w:rsidRPr="00FD2458">
        <w:rPr>
          <w:rStyle w:val="Emphasis"/>
          <w:rFonts w:ascii="Times New Roman" w:hAnsi="Times New Roman"/>
        </w:rPr>
        <w:t>Ú. v. EÚ L 396, 30.12.2006, s. 1 – 850)</w:t>
      </w:r>
    </w:p>
    <w:p w:rsidR="00FD2458" w:rsidP="00FD2458">
      <w:pPr>
        <w:tabs>
          <w:tab w:val="left" w:pos="9180"/>
        </w:tabs>
        <w:bidi w:val="0"/>
        <w:spacing w:before="150" w:after="150"/>
        <w:ind w:left="1080" w:right="-110"/>
        <w:jc w:val="both"/>
        <w:rPr>
          <w:rStyle w:val="Emphasis"/>
          <w:rFonts w:ascii="Times New Roman" w:hAnsi="Times New Roman"/>
          <w:i w:val="0"/>
        </w:rPr>
      </w:pPr>
    </w:p>
    <w:p w:rsidR="00FD2458" w:rsidRPr="00FD2458" w:rsidP="00FD2458">
      <w:pPr>
        <w:bidi w:val="0"/>
        <w:spacing w:before="150" w:after="150"/>
        <w:ind w:left="1080" w:right="-110"/>
        <w:jc w:val="both"/>
        <w:rPr>
          <w:rFonts w:ascii="Times New Roman" w:hAnsi="Times New Roman"/>
        </w:rPr>
      </w:pPr>
      <w:r w:rsidRPr="00FD2458">
        <w:rPr>
          <w:rFonts w:ascii="Times New Roman" w:hAnsi="Times New Roman"/>
        </w:rPr>
        <w:t>Nariadenie Európskeho parlamentu a Rady (ES) č. 1272/2008 z 16. decembra 2008 o klasifikácii, označovaní a balení látok a zmesí, o zmene, doplnení a zrušení smerníc 67/548/EHS a 1999/45/ES a o zmene a doplnení nariadenia (ES) č. 1907/2006 (</w:t>
      </w:r>
      <w:r w:rsidRPr="00FD2458">
        <w:rPr>
          <w:rStyle w:val="Emphasis"/>
          <w:rFonts w:ascii="Times New Roman" w:hAnsi="Times New Roman"/>
        </w:rPr>
        <w:t>Ú. v. EÚ L 353, 31.12.2008, s. 1 – 1355)</w:t>
      </w:r>
    </w:p>
    <w:p w:rsidR="00FD2458" w:rsidP="00FD2458">
      <w:pPr>
        <w:bidi w:val="0"/>
        <w:spacing w:before="150" w:after="150"/>
        <w:ind w:left="1080" w:right="-110"/>
        <w:jc w:val="both"/>
        <w:rPr>
          <w:rFonts w:ascii="Times New Roman" w:hAnsi="Times New Roman"/>
        </w:rPr>
      </w:pPr>
    </w:p>
    <w:p w:rsidR="00FD2458" w:rsidP="00FD2458">
      <w:pPr>
        <w:pStyle w:val="BodyTextIndent"/>
        <w:bidi w:val="0"/>
        <w:spacing w:after="0"/>
        <w:ind w:left="1080"/>
        <w:jc w:val="both"/>
        <w:rPr>
          <w:rStyle w:val="Emphasis"/>
          <w:rFonts w:ascii="Times New Roman" w:hAnsi="Times New Roman"/>
          <w:i w:val="0"/>
        </w:rPr>
      </w:pPr>
      <w:r w:rsidRPr="00DB700F">
        <w:rPr>
          <w:rStyle w:val="Strong"/>
          <w:rFonts w:ascii="Times New Roman" w:hAnsi="Times New Roman"/>
          <w:b w:val="0"/>
        </w:rPr>
        <w:t>Smernica Európskeho parlamentu a Rady 2007/23/ES z 23. mája 2007 o uvádzaní pyrotechnických výrobkov na trh</w:t>
      </w:r>
      <w:r>
        <w:rPr>
          <w:rStyle w:val="Strong"/>
          <w:rFonts w:ascii="Times New Roman" w:hAnsi="Times New Roman"/>
          <w:b w:val="0"/>
        </w:rPr>
        <w:t xml:space="preserve"> (</w:t>
      </w:r>
      <w:r w:rsidRPr="00FD2458">
        <w:rPr>
          <w:rStyle w:val="Emphasis"/>
          <w:rFonts w:ascii="Times New Roman" w:hAnsi="Times New Roman"/>
          <w:i w:val="0"/>
        </w:rPr>
        <w:t>Ú. v. EÚ L 154, 14.6.2007, s. 1 – 21)</w:t>
      </w:r>
    </w:p>
    <w:p w:rsidR="00FD2458" w:rsidP="00FD2458">
      <w:pPr>
        <w:pStyle w:val="BodyTextIndent"/>
        <w:bidi w:val="0"/>
        <w:spacing w:after="0"/>
        <w:ind w:left="1080"/>
        <w:jc w:val="both"/>
        <w:rPr>
          <w:rStyle w:val="Emphasis"/>
          <w:rFonts w:ascii="Times New Roman" w:hAnsi="Times New Roman"/>
          <w:i w:val="0"/>
        </w:rPr>
      </w:pPr>
    </w:p>
    <w:p w:rsidR="00FD2458" w:rsidP="00FD2458">
      <w:pPr>
        <w:pStyle w:val="BodyTextIndent"/>
        <w:bidi w:val="0"/>
        <w:spacing w:after="0"/>
        <w:ind w:left="1080"/>
        <w:jc w:val="both"/>
        <w:rPr>
          <w:rStyle w:val="Emphasis"/>
          <w:rFonts w:ascii="Times New Roman" w:hAnsi="Times New Roman"/>
          <w:i w:val="0"/>
        </w:rPr>
      </w:pPr>
    </w:p>
    <w:p w:rsidR="00FD2458" w:rsidP="00FD2458">
      <w:pPr>
        <w:pStyle w:val="BodyTextIndent"/>
        <w:bidi w:val="0"/>
        <w:spacing w:after="0"/>
        <w:ind w:left="1080"/>
        <w:jc w:val="both"/>
        <w:rPr>
          <w:rStyle w:val="Emphasis"/>
          <w:rFonts w:ascii="Times New Roman" w:hAnsi="Times New Roman"/>
          <w:i w:val="0"/>
        </w:rPr>
      </w:pPr>
      <w:r w:rsidRPr="00DB700F">
        <w:rPr>
          <w:rFonts w:ascii="Times New Roman" w:hAnsi="Times New Roman"/>
        </w:rPr>
        <w:t xml:space="preserve">Smernica Komisie 2008/43/ES zo 4. apríla 2008 , ktorou sa v súlade so smernicou Rady 93/15/EHS zriaďuje systém na identifikáciu a sledovateľnosť výbušnín na civilné použitie </w:t>
      </w:r>
      <w:r>
        <w:rPr>
          <w:rFonts w:ascii="Times New Roman" w:hAnsi="Times New Roman"/>
        </w:rPr>
        <w:t>(</w:t>
      </w:r>
      <w:r w:rsidRPr="00FD2458">
        <w:rPr>
          <w:rStyle w:val="Emphasis"/>
          <w:rFonts w:ascii="Times New Roman" w:hAnsi="Times New Roman"/>
          <w:i w:val="0"/>
        </w:rPr>
        <w:t>Ú. v. EÚ L 94, 5.4.2008, s. 8 – 12)</w:t>
      </w:r>
    </w:p>
    <w:p w:rsidR="00B40FA2" w:rsidRPr="00B40FA2" w:rsidP="00B40FA2">
      <w:pPr>
        <w:pStyle w:val="BodyTextIndent"/>
        <w:bidi w:val="0"/>
        <w:spacing w:after="0"/>
        <w:ind w:left="0"/>
        <w:jc w:val="both"/>
        <w:rPr>
          <w:rFonts w:ascii="Times New Roman" w:hAnsi="Times New Roman"/>
        </w:rPr>
      </w:pPr>
    </w:p>
    <w:p w:rsidR="00FD2458" w:rsidP="00B40FA2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FD2458" w:rsidP="00FD245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FD2458" w:rsidP="00FD245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  nie je obsiahnutá v judikatúre Súdneho dvora Európskej únie alebo Súdu prvého stupňa Európskej únie</w:t>
      </w:r>
    </w:p>
    <w:p w:rsidR="00FD2458" w:rsidP="00FD2458">
      <w:pPr>
        <w:bidi w:val="0"/>
        <w:rPr>
          <w:rFonts w:ascii="Times New Roman" w:hAnsi="Times New Roman"/>
        </w:rPr>
      </w:pPr>
    </w:p>
    <w:p w:rsidR="00FD2458" w:rsidP="00FD2458">
      <w:pPr>
        <w:pStyle w:val="BodyText"/>
        <w:bidi w:val="0"/>
        <w:jc w:val="both"/>
        <w:rPr>
          <w:rFonts w:ascii="Times New Roman" w:hAnsi="Times New Roman"/>
          <w:color w:val="000000"/>
        </w:rPr>
      </w:pPr>
    </w:p>
    <w:p w:rsidR="00FD2458" w:rsidP="00FD2458">
      <w:pPr>
        <w:numPr>
          <w:numId w:val="2"/>
        </w:numPr>
        <w:tabs>
          <w:tab w:val="clear" w:pos="360"/>
        </w:tabs>
        <w:bidi w:val="0"/>
        <w:spacing w:after="100" w:afterAutospacing="1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Záväzky Slovenskej republiky vo vzťahu k Európskej únii:</w:t>
      </w:r>
    </w:p>
    <w:p w:rsidR="00FD2458" w:rsidP="00FD2458">
      <w:pPr>
        <w:pStyle w:val="BodyText"/>
        <w:bidi w:val="0"/>
        <w:ind w:left="340"/>
        <w:jc w:val="both"/>
        <w:rPr>
          <w:rFonts w:ascii="Times New Roman" w:hAnsi="Times New Roman"/>
          <w:color w:val="000000"/>
          <w:szCs w:val="19"/>
        </w:rPr>
      </w:pPr>
      <w:r>
        <w:rPr>
          <w:rFonts w:ascii="Times New Roman" w:hAnsi="Times New Roman"/>
          <w:bCs/>
          <w:color w:val="000000"/>
        </w:rPr>
        <w:t xml:space="preserve">a) lehota na prebratie smernice podľa určenia gestorských ústredných orgánov štátnej </w:t>
        <w:br/>
        <w:t xml:space="preserve">     správy zodpovedných za prebratie smerníc a vypracovanie tabuliek zhody k návrhom </w:t>
        <w:br/>
        <w:t xml:space="preserve">     všeobecne záväzných právnych predpisov:  </w:t>
      </w:r>
      <w:r w:rsidRPr="005A34DB" w:rsidR="00B40FA2">
        <w:rPr>
          <w:rFonts w:ascii="Times New Roman" w:hAnsi="Times New Roman"/>
        </w:rPr>
        <w:t>5. apríla 2009</w:t>
      </w:r>
    </w:p>
    <w:p w:rsidR="00FD2458" w:rsidP="00FD2458">
      <w:pPr>
        <w:pStyle w:val="BodyText"/>
        <w:bidi w:val="0"/>
        <w:ind w:left="3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Cs w:val="19"/>
        </w:rPr>
        <w:t xml:space="preserve">b) lehota určená na predloženie návrhu právneho predpisu na rokovanie vlády podľa </w:t>
        <w:br/>
        <w:t xml:space="preserve">     určenia gestorských ústredných orgánov štátnej správy zodpovedných za transpozíciu </w:t>
        <w:br/>
        <w:t xml:space="preserve">     smerníc a vypracovanie tabuliek zhody k návrhom všeobecne záväzných právnych </w:t>
        <w:br/>
        <w:t xml:space="preserve">     predpisov: bezpredmetné</w:t>
      </w:r>
    </w:p>
    <w:p w:rsidR="00FD2458" w:rsidRPr="00C9781B" w:rsidP="00FD2458">
      <w:pPr>
        <w:pStyle w:val="BodyText"/>
        <w:bidi w:val="0"/>
        <w:ind w:left="3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c) informácia o konaní začatom proti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 xml:space="preserve">ej republike o porušení podľa čl. 258 až 260 </w:t>
        <w:br/>
        <w:t xml:space="preserve">    Zmluvy o fungovaní Európskej únie: bezpredmetné </w:t>
      </w:r>
    </w:p>
    <w:p w:rsidR="00FD2458" w:rsidP="00B40FA2">
      <w:pPr>
        <w:pStyle w:val="BodyText"/>
        <w:bidi w:val="0"/>
        <w:ind w:left="360" w:hanging="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d) informácia o právnych predpisoch, v ktorých sú preberané smernice už prebrané spolu s uvedením rozsahu tohto prebratia: bezpredmetné</w:t>
      </w:r>
    </w:p>
    <w:p w:rsidR="00FD2458" w:rsidP="00FD2458">
      <w:pPr>
        <w:pStyle w:val="BodyText"/>
        <w:bidi w:val="0"/>
        <w:ind w:left="850"/>
        <w:jc w:val="both"/>
        <w:rPr>
          <w:rFonts w:ascii="Times New Roman" w:hAnsi="Times New Roman"/>
          <w:color w:val="000000"/>
        </w:rPr>
      </w:pPr>
    </w:p>
    <w:p w:rsidR="00FD2458" w:rsidP="00FD2458">
      <w:pPr>
        <w:numPr>
          <w:ilvl w:val="5"/>
          <w:numId w:val="2"/>
        </w:numPr>
        <w:tabs>
          <w:tab w:val="clear" w:pos="360"/>
        </w:tabs>
        <w:bidi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 xml:space="preserve">Stupeň zlučiteľnosti návrhu právneho predpisu s právom Európskej únie: </w:t>
      </w:r>
    </w:p>
    <w:p w:rsidR="00FD2458" w:rsidP="00FD2458">
      <w:pPr>
        <w:bidi w:val="0"/>
        <w:ind w:firstLine="425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 xml:space="preserve">-  </w:t>
      </w:r>
      <w:r>
        <w:rPr>
          <w:rFonts w:ascii="Times New Roman" w:hAnsi="Times New Roman"/>
          <w:bCs/>
          <w:color w:val="000000"/>
        </w:rPr>
        <w:t>úplný</w:t>
      </w:r>
    </w:p>
    <w:p w:rsidR="00FD2458" w:rsidP="00FD2458">
      <w:pPr>
        <w:bidi w:val="0"/>
        <w:jc w:val="both"/>
        <w:rPr>
          <w:rFonts w:ascii="Times New Roman" w:hAnsi="Times New Roman"/>
          <w:bCs/>
          <w:color w:val="000000"/>
        </w:rPr>
      </w:pPr>
    </w:p>
    <w:p w:rsidR="00FD2458" w:rsidP="00FD2458">
      <w:pPr>
        <w:numPr>
          <w:numId w:val="3"/>
        </w:numPr>
        <w:tabs>
          <w:tab w:val="clear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Gestor a spolupracujúce rezorty: </w:t>
      </w:r>
      <w:r>
        <w:rPr>
          <w:rFonts w:ascii="Times New Roman" w:hAnsi="Times New Roman"/>
          <w:bCs/>
          <w:color w:val="000000"/>
        </w:rPr>
        <w:t>Ministerstvo hospodárstva Slovenskej republiky</w:t>
      </w:r>
      <w:r w:rsidR="00B40FA2">
        <w:rPr>
          <w:rFonts w:ascii="Times New Roman" w:hAnsi="Times New Roman"/>
          <w:bCs/>
          <w:color w:val="000000"/>
        </w:rPr>
        <w:t xml:space="preserve">, </w:t>
      </w:r>
      <w:r w:rsidRPr="005A34DB" w:rsidR="00B40FA2">
        <w:rPr>
          <w:rFonts w:ascii="Times New Roman" w:hAnsi="Times New Roman"/>
        </w:rPr>
        <w:t xml:space="preserve"> Úrad pre </w:t>
      </w:r>
      <w:r w:rsidR="00B40FA2">
        <w:rPr>
          <w:rFonts w:ascii="Times New Roman" w:hAnsi="Times New Roman"/>
        </w:rPr>
        <w:t xml:space="preserve">normalizáciu, </w:t>
      </w:r>
      <w:r w:rsidRPr="005A34DB" w:rsidR="00B40FA2">
        <w:rPr>
          <w:rFonts w:ascii="Times New Roman" w:hAnsi="Times New Roman"/>
        </w:rPr>
        <w:t xml:space="preserve">metrológiu a skúšobníctvo </w:t>
      </w:r>
      <w:r w:rsidR="00B40FA2">
        <w:rPr>
          <w:rFonts w:ascii="Times New Roman" w:hAnsi="Times New Roman"/>
          <w:bCs/>
          <w:color w:val="000000"/>
        </w:rPr>
        <w:t>Slovenskej republiky</w:t>
      </w:r>
      <w:r w:rsidRPr="005A34DB" w:rsidR="00B40FA2">
        <w:rPr>
          <w:rFonts w:ascii="Times New Roman" w:hAnsi="Times New Roman"/>
        </w:rPr>
        <w:t xml:space="preserve">, Ministerstvo vnútra </w:t>
      </w:r>
      <w:r w:rsidR="00B40FA2">
        <w:rPr>
          <w:rFonts w:ascii="Times New Roman" w:hAnsi="Times New Roman"/>
          <w:bCs/>
          <w:color w:val="000000"/>
        </w:rPr>
        <w:t>Slovenskej republiky</w:t>
      </w:r>
      <w:r w:rsidRPr="005A34DB" w:rsidR="00B40FA2">
        <w:rPr>
          <w:rFonts w:ascii="Times New Roman" w:hAnsi="Times New Roman"/>
        </w:rPr>
        <w:t xml:space="preserve"> a Ministerstvo obrany </w:t>
      </w:r>
      <w:r w:rsidR="00B40FA2">
        <w:rPr>
          <w:rFonts w:ascii="Times New Roman" w:hAnsi="Times New Roman"/>
          <w:bCs/>
          <w:color w:val="000000"/>
        </w:rPr>
        <w:t>Slovenskej republiky</w:t>
      </w:r>
    </w:p>
    <w:p w:rsidR="00FD2458">
      <w:pPr>
        <w:bidi w:val="0"/>
        <w:rPr>
          <w:rFonts w:ascii="Times New Roman" w:hAnsi="Times New Roman"/>
        </w:rPr>
      </w:pPr>
    </w:p>
    <w:sectPr w:rsidSect="00B40FA2">
      <w:pgSz w:w="11906" w:h="16838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numPicBullet w:numPicBulletId="2">
    <w:pict>
      <v:shape id="_x0000_i1027" type="#_x0000_t75" style="width:3in;height:3in" o:bullet="t" stroked="f">
        <v:imagedata r:id="rId2" o:title=""/>
      </v:shape>
    </w:pict>
  </w:numPicBullet>
  <w:numPicBullet w:numPicBulletId="3">
    <w:pict>
      <v:shape id="_x0000_i1028" type="#_x0000_t75" style="width:3in;height:3in" o:bullet="t" stroked="f">
        <v:imagedata r:id="rId3" o:title=""/>
      </v:shape>
    </w:pict>
  </w:numPicBullet>
  <w:numPicBullet w:numPicBulletId="4">
    <w:pict>
      <v:shape id="_x0000_i1029" type="#_x0000_t75" style="width:3in;height:3in" o:bullet="t" stroked="f">
        <v:imagedata r:id="rId3" o:title=""/>
      </v:shape>
    </w:pict>
  </w:numPicBullet>
  <w:numPicBullet w:numPicBulletId="5">
    <w:pict>
      <v:shape id="_x0000_i1030" type="#_x0000_t75" style="width:3in;height:3in" o:bullet="t" stroked="f">
        <v:imagedata r:id="rId4" o:title=""/>
      </v:shape>
    </w:pict>
  </w:numPicBullet>
  <w:numPicBullet w:numPicBulletId="6">
    <w:pict>
      <v:shape id="_x0000_i1031" type="#_x0000_t75" style="width:3in;height:3in" o:bullet="t" stroked="f">
        <v:imagedata r:id="rId4" o:title=""/>
      </v:shape>
    </w:pict>
  </w:numPicBullet>
  <w:numPicBullet w:numPicBulletId="7">
    <w:pict>
      <v:shape id="_x0000_i1032" type="#_x0000_t75" style="width:3in;height:3in" o:bullet="t" stroked="f">
        <v:imagedata r:id="rId5" o:title=""/>
      </v:shape>
    </w:pict>
  </w:numPicBullet>
  <w:numPicBullet w:numPicBulletId="8">
    <w:pict>
      <v:shape id="_x0000_i1033" type="#_x0000_t75" style="width:3in;height:3in" o:bullet="t" stroked="f">
        <v:imagedata r:id="rId5" o:title=""/>
      </v:shape>
    </w:pict>
  </w:numPicBullet>
  <w:abstractNum w:abstractNumId="0">
    <w:nsid w:val="1AF97620"/>
    <w:multiLevelType w:val="hybridMultilevel"/>
    <w:tmpl w:val="6CAA25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28F62B90"/>
    <w:multiLevelType w:val="hybridMultilevel"/>
    <w:tmpl w:val="E70663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BE22558"/>
    <w:multiLevelType w:val="multilevel"/>
    <w:tmpl w:val="9F40C3B6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>
    <w:nsid w:val="35DC7347"/>
    <w:multiLevelType w:val="multilevel"/>
    <w:tmpl w:val="772C3E4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B67ED"/>
    <w:multiLevelType w:val="hybridMultilevel"/>
    <w:tmpl w:val="5F8600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i w:val="0"/>
        <w:sz w:val="24"/>
        <w:rtl w:val="0"/>
        <w:cs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i w:val="0"/>
        <w:sz w:val="24"/>
        <w:rtl w:val="0"/>
        <w:cs w:val="0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i w:val="0"/>
        <w:sz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3E41778"/>
    <w:multiLevelType w:val="hybridMultilevel"/>
    <w:tmpl w:val="0CEC1810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B6452A9"/>
    <w:multiLevelType w:val="multilevel"/>
    <w:tmpl w:val="C85ACED2"/>
    <w:lvl w:ilvl="0">
      <w:start w:val="1"/>
      <w:numFmt w:val="bullet"/>
      <w:lvlText w:val=""/>
      <w:lvlPicBulletId w:val="3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>
    <w:nsid w:val="6FE20419"/>
    <w:multiLevelType w:val="hybridMultilevel"/>
    <w:tmpl w:val="DB9EDAA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2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4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5">
      <w:start w:val="5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D2458"/>
    <w:rsid w:val="00113283"/>
    <w:rsid w:val="00290F05"/>
    <w:rsid w:val="003237F1"/>
    <w:rsid w:val="00555E16"/>
    <w:rsid w:val="005A34DB"/>
    <w:rsid w:val="00902214"/>
    <w:rsid w:val="00B40FA2"/>
    <w:rsid w:val="00B76229"/>
    <w:rsid w:val="00C9781B"/>
    <w:rsid w:val="00D94E10"/>
    <w:rsid w:val="00DB700F"/>
    <w:rsid w:val="00FD24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45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D2458"/>
    <w:pPr>
      <w:jc w:val="center"/>
    </w:pPr>
    <w:rPr>
      <w:b/>
      <w:bCs/>
    </w:rPr>
  </w:style>
  <w:style w:type="paragraph" w:styleId="BodyText">
    <w:name w:val="Body Text"/>
    <w:basedOn w:val="Normal"/>
    <w:rsid w:val="00FD2458"/>
    <w:pPr>
      <w:spacing w:after="120"/>
      <w:jc w:val="left"/>
    </w:pPr>
    <w:rPr>
      <w:lang w:eastAsia="cs-CZ"/>
    </w:rPr>
  </w:style>
  <w:style w:type="paragraph" w:styleId="NormalWeb">
    <w:name w:val="Normal (Web)"/>
    <w:basedOn w:val="Normal"/>
    <w:rsid w:val="00FD2458"/>
    <w:pPr>
      <w:spacing w:before="100" w:beforeAutospacing="1" w:after="100" w:afterAutospacing="1"/>
      <w:jc w:val="left"/>
    </w:pPr>
    <w:rPr>
      <w:color w:val="000000"/>
      <w:lang w:eastAsia="cs-CZ"/>
    </w:rPr>
  </w:style>
  <w:style w:type="character" w:styleId="Emphasis">
    <w:name w:val="Emphasis"/>
    <w:basedOn w:val="DefaultParagraphFont"/>
    <w:qFormat/>
    <w:rsid w:val="00FD2458"/>
    <w:rPr>
      <w:rFonts w:cs="Times New Roman"/>
      <w:i/>
      <w:iCs/>
      <w:rtl w:val="0"/>
      <w:cs w:val="0"/>
    </w:rPr>
  </w:style>
  <w:style w:type="paragraph" w:styleId="BodyTextIndent">
    <w:name w:val="Body Text Indent"/>
    <w:basedOn w:val="Normal"/>
    <w:rsid w:val="00FD2458"/>
    <w:pPr>
      <w:spacing w:after="120"/>
      <w:ind w:left="283"/>
      <w:jc w:val="left"/>
    </w:pPr>
  </w:style>
  <w:style w:type="character" w:styleId="Strong">
    <w:name w:val="Strong"/>
    <w:basedOn w:val="DefaultParagraphFont"/>
    <w:qFormat/>
    <w:rsid w:val="00FD2458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Relationship Id="rId3" Type="http://schemas.openxmlformats.org/officeDocument/2006/relationships/image" Target="media/image3.wmf" /><Relationship Id="rId4" Type="http://schemas.openxmlformats.org/officeDocument/2006/relationships/image" Target="media/image4.wmf" /><Relationship Id="rId5" Type="http://schemas.openxmlformats.org/officeDocument/2006/relationships/image" Target="media/image5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491</Words>
  <Characters>2802</Characters>
  <Application>Microsoft Office Word</Application>
  <DocSecurity>0</DocSecurity>
  <Lines>0</Lines>
  <Paragraphs>0</Paragraphs>
  <ScaleCrop>false</ScaleCrop>
  <Company>BA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borovska</dc:creator>
  <cp:lastModifiedBy>V</cp:lastModifiedBy>
  <cp:revision>2</cp:revision>
  <dcterms:created xsi:type="dcterms:W3CDTF">2013-09-27T16:04:00Z</dcterms:created>
  <dcterms:modified xsi:type="dcterms:W3CDTF">2013-09-27T16:04:00Z</dcterms:modified>
</cp:coreProperties>
</file>