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222D8" w:rsidP="009222D8">
      <w:pPr>
        <w:bidi w:val="0"/>
        <w:jc w:val="center"/>
        <w:rPr>
          <w:rFonts w:ascii="Times New Roman" w:hAnsi="Times New Roman"/>
        </w:rPr>
      </w:pPr>
      <w:bookmarkStart w:id="0" w:name="_GoBack"/>
      <w:bookmarkStart w:id="1" w:name="OLE_LINK4"/>
      <w:bookmarkStart w:id="2" w:name="OLE_LINK5"/>
      <w:bookmarkEnd w:id="0"/>
      <w:r w:rsidRPr="004161A1">
        <w:rPr>
          <w:rFonts w:ascii="Times New Roman" w:hAnsi="Times New Roman"/>
          <w:b/>
          <w:bCs/>
          <w:sz w:val="28"/>
          <w:szCs w:val="28"/>
        </w:rPr>
        <w:t>Vplyvy na rozpočet verejnej správy,</w:t>
      </w:r>
    </w:p>
    <w:p w:rsidR="009222D8" w:rsidP="009222D8">
      <w:pPr>
        <w:bidi w:val="0"/>
        <w:jc w:val="center"/>
        <w:rPr>
          <w:rFonts w:ascii="Times New Roman" w:hAnsi="Times New Roman"/>
        </w:rPr>
      </w:pPr>
      <w:r w:rsidRPr="004161A1">
        <w:rPr>
          <w:rFonts w:ascii="Times New Roman" w:hAnsi="Times New Roman"/>
          <w:b/>
          <w:bCs/>
          <w:sz w:val="28"/>
          <w:szCs w:val="28"/>
        </w:rPr>
        <w:t>na zamestnanosť vo verejnej správe a financovanie návrhu</w:t>
      </w:r>
    </w:p>
    <w:p w:rsidR="009222D8" w:rsidP="009222D8">
      <w:pPr>
        <w:bidi w:val="0"/>
        <w:rPr>
          <w:rFonts w:ascii="Times New Roman" w:hAnsi="Times New Roman"/>
        </w:rPr>
      </w:pPr>
      <w:bookmarkEnd w:id="1"/>
      <w:bookmarkEnd w:id="2"/>
      <w:r>
        <w:rPr>
          <w:rFonts w:ascii="Times New Roman" w:hAnsi="Times New Roman"/>
        </w:rPr>
        <w:t> </w:t>
      </w:r>
    </w:p>
    <w:p w:rsidR="009222D8" w:rsidP="009222D8">
      <w:pPr>
        <w:bidi w:val="0"/>
        <w:rPr>
          <w:rFonts w:ascii="Times New Roman" w:hAnsi="Times New Roman"/>
        </w:rPr>
      </w:pPr>
      <w:r w:rsidRPr="004161A1">
        <w:rPr>
          <w:rFonts w:ascii="Times New Roman" w:hAnsi="Times New Roman"/>
          <w:b/>
          <w:bCs/>
        </w:rPr>
        <w:t>2.1. Zhrnutie vplyvov na rozpočet verejnej správy v návrhu</w:t>
      </w:r>
    </w:p>
    <w:p w:rsidR="009222D8" w:rsidP="009222D8">
      <w:pPr>
        <w:bidi w:val="0"/>
        <w:jc w:val="right"/>
        <w:rPr>
          <w:rFonts w:ascii="Times New Roman" w:hAnsi="Times New Roman"/>
        </w:rPr>
      </w:pPr>
      <w:r w:rsidRPr="004161A1">
        <w:rPr>
          <w:rFonts w:ascii="Times New Roman" w:hAnsi="Times New Roman"/>
          <w:sz w:val="20"/>
          <w:szCs w:val="20"/>
        </w:rPr>
        <w:t xml:space="preserve">Tabuľka č. 1 </w:t>
      </w:r>
    </w:p>
    <w:tbl>
      <w:tblPr>
        <w:tblStyle w:val="TableNormal"/>
        <w:tblW w:w="8764" w:type="dxa"/>
        <w:tblLayout w:type="fixed"/>
        <w:tblCellMar>
          <w:left w:w="0" w:type="dxa"/>
          <w:right w:w="0" w:type="dxa"/>
        </w:tblCellMar>
      </w:tblPr>
      <w:tblGrid>
        <w:gridCol w:w="2590"/>
        <w:gridCol w:w="314"/>
        <w:gridCol w:w="2046"/>
        <w:gridCol w:w="2028"/>
        <w:gridCol w:w="1786"/>
      </w:tblGrid>
      <w:tr>
        <w:tblPrEx>
          <w:tblW w:w="8764" w:type="dxa"/>
          <w:tblLayout w:type="fixed"/>
          <w:tblCellMar>
            <w:left w:w="0" w:type="dxa"/>
            <w:right w:w="0" w:type="dxa"/>
          </w:tblCellMar>
        </w:tblPrEx>
        <w:trPr>
          <w:trHeight w:val="194"/>
        </w:trPr>
        <w:tc>
          <w:tcPr>
            <w:tcW w:w="2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4161A1" w:rsidP="001A20A7">
            <w:pPr>
              <w:bidi w:val="0"/>
              <w:spacing w:line="194" w:lineRule="atLeast"/>
              <w:jc w:val="center"/>
              <w:rPr>
                <w:rFonts w:ascii="Times New Roman" w:hAnsi="Times New Roman"/>
              </w:rPr>
            </w:pPr>
            <w:bookmarkStart w:id="3" w:name="OLE_LINK1"/>
            <w:bookmarkEnd w:id="3"/>
            <w:r w:rsidRPr="004161A1">
              <w:rPr>
                <w:rFonts w:ascii="Times New Roman" w:hAnsi="Times New Roman"/>
                <w:b/>
                <w:bCs/>
                <w:color w:val="FFFFFF"/>
              </w:rPr>
              <w:t xml:space="preserve">Vplyvy na </w:t>
            </w:r>
            <w:r w:rsidRPr="004161A1">
              <w:rPr>
                <w:rFonts w:ascii="Times New Roman" w:hAnsi="Times New Roman"/>
                <w:b/>
                <w:bCs/>
              </w:rPr>
              <w:t>rozpočet verejnej správy</w:t>
            </w:r>
          </w:p>
        </w:tc>
        <w:tc>
          <w:tcPr>
            <w:tcW w:w="61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4161A1" w:rsidP="001A20A7">
            <w:pPr>
              <w:bidi w:val="0"/>
              <w:spacing w:line="194" w:lineRule="atLeast"/>
              <w:jc w:val="center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color w:val="FFFFFF"/>
              </w:rPr>
              <w:t xml:space="preserve">Vplyv na rozpočet verejnej správy </w:t>
            </w:r>
            <w:r w:rsidRPr="004161A1">
              <w:rPr>
                <w:rFonts w:ascii="Times New Roman" w:hAnsi="Times New Roman"/>
                <w:b/>
                <w:bCs/>
              </w:rPr>
              <w:t>(v eurách)</w:t>
            </w:r>
          </w:p>
        </w:tc>
      </w:tr>
      <w:tr>
        <w:tblPrEx>
          <w:tblW w:w="8764" w:type="dxa"/>
          <w:tblLayout w:type="fixed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9222D8" w:rsidRPr="004161A1" w:rsidP="001A20A7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4161A1" w:rsidP="001A20A7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color w:val="FFFFFF"/>
              </w:rPr>
              <w:t>r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4161A1" w:rsidP="001A20A7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2014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4161A1" w:rsidP="001A20A7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2015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4161A1" w:rsidP="001A20A7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2016</w:t>
            </w:r>
          </w:p>
        </w:tc>
      </w:tr>
      <w:tr>
        <w:tblPrEx>
          <w:tblW w:w="8764" w:type="dxa"/>
          <w:tblLayout w:type="fixed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4161A1" w:rsidP="001A20A7">
            <w:pPr>
              <w:bidi w:val="0"/>
              <w:spacing w:line="70" w:lineRule="atLeas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</w:rPr>
              <w:t>Príjmy verejnej správy celkom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4161A1" w:rsidP="001A20A7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6C121A" w:rsidP="00FB33B9">
            <w:pPr>
              <w:bidi w:val="0"/>
              <w:spacing w:line="125" w:lineRule="atLeast"/>
              <w:ind w:left="480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="00FB33B9">
              <w:rPr>
                <w:rFonts w:ascii="Times New Roman" w:hAnsi="Times New Roman"/>
                <w:b/>
                <w:bCs/>
                <w:iCs/>
              </w:rPr>
              <w:t xml:space="preserve">      -1 321 040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6C121A" w:rsidP="001A20A7">
            <w:pPr>
              <w:bidi w:val="0"/>
              <w:spacing w:line="125" w:lineRule="atLeast"/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="00FB33B9">
              <w:rPr>
                <w:rFonts w:ascii="Times New Roman" w:hAnsi="Times New Roman"/>
                <w:b/>
                <w:bCs/>
                <w:iCs/>
              </w:rPr>
              <w:t>-1 472 959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6C121A" w:rsidP="001A20A7">
            <w:pPr>
              <w:bidi w:val="0"/>
              <w:spacing w:line="125" w:lineRule="atLeast"/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="00FB33B9">
              <w:rPr>
                <w:rFonts w:ascii="Times New Roman" w:hAnsi="Times New Roman"/>
                <w:b/>
                <w:bCs/>
                <w:iCs/>
              </w:rPr>
              <w:t>-1 512 730</w:t>
            </w:r>
          </w:p>
        </w:tc>
      </w:tr>
      <w:tr>
        <w:tblPrEx>
          <w:tblW w:w="8764" w:type="dxa"/>
          <w:tblLayout w:type="fixed"/>
          <w:tblCellMar>
            <w:left w:w="0" w:type="dxa"/>
            <w:right w:w="0" w:type="dxa"/>
          </w:tblCellMar>
        </w:tblPrEx>
        <w:trPr>
          <w:trHeight w:val="132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4161A1" w:rsidP="001A20A7">
            <w:pPr>
              <w:bidi w:val="0"/>
              <w:spacing w:line="132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 tom: za každý subjekt verejnej správy zvlášť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4161A1" w:rsidP="001A20A7">
            <w:pPr>
              <w:bidi w:val="0"/>
              <w:spacing w:line="132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4161A1" w:rsidP="001A20A7">
            <w:pPr>
              <w:bidi w:val="0"/>
              <w:spacing w:line="132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4161A1" w:rsidP="001A20A7">
            <w:pPr>
              <w:bidi w:val="0"/>
              <w:spacing w:line="132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4161A1" w:rsidP="001A20A7">
            <w:pPr>
              <w:bidi w:val="0"/>
              <w:spacing w:line="132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blPrEx>
          <w:tblW w:w="8764" w:type="dxa"/>
          <w:tblLayout w:type="fixed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4161A1" w:rsidP="001A20A7">
            <w:pPr>
              <w:bidi w:val="0"/>
              <w:spacing w:line="70" w:lineRule="atLeas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i/>
                <w:iCs/>
              </w:rPr>
              <w:t xml:space="preserve">z toho: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4161A1" w:rsidP="001A20A7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4161A1" w:rsidP="001A20A7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4161A1" w:rsidP="001A20A7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4161A1" w:rsidP="001A20A7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</w:p>
        </w:tc>
      </w:tr>
      <w:tr>
        <w:tblPrEx>
          <w:tblW w:w="8764" w:type="dxa"/>
          <w:tblLayout w:type="fixed"/>
          <w:tblCellMar>
            <w:left w:w="0" w:type="dxa"/>
            <w:right w:w="0" w:type="dxa"/>
          </w:tblCellMar>
        </w:tblPrEx>
        <w:trPr>
          <w:trHeight w:val="125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4161A1" w:rsidP="001A20A7">
            <w:pPr>
              <w:bidi w:val="0"/>
              <w:spacing w:line="125" w:lineRule="atLeas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i/>
                <w:iCs/>
              </w:rPr>
              <w:t>- vplyv na ŠR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6C121A" w:rsidP="001A20A7">
            <w:pPr>
              <w:bidi w:val="0"/>
              <w:spacing w:line="125" w:lineRule="atLeast"/>
              <w:jc w:val="right"/>
              <w:rPr>
                <w:rFonts w:ascii="Times New Roman" w:hAnsi="Times New Roman"/>
              </w:rPr>
            </w:pPr>
            <w:r w:rsidRPr="006C121A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202F27" w:rsidP="001A20A7">
            <w:pPr>
              <w:bidi w:val="0"/>
              <w:spacing w:line="125" w:lineRule="atLeast"/>
              <w:jc w:val="right"/>
              <w:rPr>
                <w:rFonts w:ascii="Times New Roman" w:hAnsi="Times New Roman"/>
                <w:bCs/>
                <w:iCs/>
              </w:rPr>
            </w:pPr>
            <w:r w:rsidRPr="00202F27">
              <w:rPr>
                <w:rFonts w:ascii="Times New Roman" w:hAnsi="Times New Roman"/>
                <w:bCs/>
                <w:iCs/>
              </w:rPr>
              <w:t>0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202F27" w:rsidP="001A20A7">
            <w:pPr>
              <w:bidi w:val="0"/>
              <w:spacing w:line="125" w:lineRule="atLeast"/>
              <w:jc w:val="right"/>
              <w:rPr>
                <w:rFonts w:ascii="Times New Roman" w:hAnsi="Times New Roman"/>
                <w:bCs/>
                <w:iCs/>
              </w:rPr>
            </w:pPr>
            <w:r w:rsidRPr="00202F27">
              <w:rPr>
                <w:rFonts w:ascii="Times New Roman" w:hAnsi="Times New Roman"/>
                <w:bCs/>
                <w:iCs/>
              </w:rPr>
              <w:t>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202F27" w:rsidP="001A20A7">
            <w:pPr>
              <w:bidi w:val="0"/>
              <w:spacing w:line="125" w:lineRule="atLeast"/>
              <w:jc w:val="right"/>
              <w:rPr>
                <w:rFonts w:ascii="Times New Roman" w:hAnsi="Times New Roman"/>
                <w:bCs/>
                <w:iCs/>
              </w:rPr>
            </w:pPr>
            <w:r w:rsidRPr="00202F27">
              <w:rPr>
                <w:rFonts w:ascii="Times New Roman" w:hAnsi="Times New Roman"/>
                <w:bCs/>
                <w:iCs/>
              </w:rPr>
              <w:t>0</w:t>
            </w:r>
          </w:p>
        </w:tc>
      </w:tr>
      <w:tr>
        <w:tblPrEx>
          <w:tblW w:w="8764" w:type="dxa"/>
          <w:tblLayout w:type="fixed"/>
          <w:tblCellMar>
            <w:left w:w="0" w:type="dxa"/>
            <w:right w:w="0" w:type="dxa"/>
          </w:tblCellMar>
        </w:tblPrEx>
        <w:trPr>
          <w:trHeight w:val="125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4161A1" w:rsidP="001A20A7">
            <w:pPr>
              <w:bidi w:val="0"/>
              <w:spacing w:line="125" w:lineRule="atLeas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i/>
                <w:iCs/>
              </w:rPr>
              <w:t>- vplyv na územnú samosprávu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6C121A" w:rsidP="001A20A7">
            <w:pPr>
              <w:bidi w:val="0"/>
              <w:spacing w:line="125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6C121A" w:rsidP="001A20A7">
            <w:pPr>
              <w:bidi w:val="0"/>
              <w:spacing w:line="125" w:lineRule="atLeast"/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="00FB33B9">
              <w:rPr>
                <w:rFonts w:ascii="Times New Roman" w:hAnsi="Times New Roman"/>
                <w:b/>
                <w:bCs/>
                <w:iCs/>
              </w:rPr>
              <w:t xml:space="preserve">  -1 321 040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E5197F" w:rsidP="001A20A7">
            <w:pPr>
              <w:bidi w:val="0"/>
              <w:spacing w:line="125" w:lineRule="atLeast"/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="00FB33B9">
              <w:rPr>
                <w:rFonts w:ascii="Times New Roman" w:hAnsi="Times New Roman"/>
                <w:b/>
                <w:bCs/>
                <w:iCs/>
              </w:rPr>
              <w:t>-1 472 959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E5197F" w:rsidP="001A20A7">
            <w:pPr>
              <w:bidi w:val="0"/>
              <w:spacing w:line="125" w:lineRule="atLeast"/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="00FB33B9">
              <w:rPr>
                <w:rFonts w:ascii="Times New Roman" w:hAnsi="Times New Roman"/>
                <w:b/>
                <w:bCs/>
                <w:iCs/>
              </w:rPr>
              <w:t>-1 512 730</w:t>
            </w:r>
          </w:p>
        </w:tc>
      </w:tr>
      <w:tr>
        <w:tblPrEx>
          <w:tblW w:w="8764" w:type="dxa"/>
          <w:tblLayout w:type="fixed"/>
          <w:tblCellMar>
            <w:left w:w="0" w:type="dxa"/>
            <w:right w:w="0" w:type="dxa"/>
          </w:tblCellMar>
        </w:tblPrEx>
        <w:trPr>
          <w:trHeight w:val="125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600271" w:rsidP="001A20A7">
            <w:pPr>
              <w:bidi w:val="0"/>
              <w:spacing w:line="125" w:lineRule="atLeas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z toho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P="001A20A7">
            <w:pPr>
              <w:bidi w:val="0"/>
              <w:spacing w:line="125" w:lineRule="atLeast"/>
              <w:jc w:val="right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P="001A20A7">
            <w:pPr>
              <w:bidi w:val="0"/>
              <w:spacing w:line="125" w:lineRule="atLeast"/>
              <w:jc w:val="right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P="001A20A7">
            <w:pPr>
              <w:bidi w:val="0"/>
              <w:spacing w:line="125" w:lineRule="atLeast"/>
              <w:jc w:val="right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P="001A20A7">
            <w:pPr>
              <w:bidi w:val="0"/>
              <w:spacing w:line="125" w:lineRule="atLeast"/>
              <w:jc w:val="right"/>
              <w:rPr>
                <w:rFonts w:ascii="Times New Roman" w:hAnsi="Times New Roman"/>
                <w:b/>
                <w:bCs/>
                <w:iCs/>
              </w:rPr>
            </w:pPr>
          </w:p>
        </w:tc>
      </w:tr>
      <w:tr>
        <w:tblPrEx>
          <w:tblW w:w="8764" w:type="dxa"/>
          <w:tblLayout w:type="fixed"/>
          <w:tblCellMar>
            <w:left w:w="0" w:type="dxa"/>
            <w:right w:w="0" w:type="dxa"/>
          </w:tblCellMar>
        </w:tblPrEx>
        <w:trPr>
          <w:trHeight w:val="125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600271" w:rsidP="001A20A7">
            <w:pPr>
              <w:numPr>
                <w:numId w:val="1"/>
              </w:numPr>
              <w:bidi w:val="0"/>
              <w:spacing w:line="125" w:lineRule="atLeast"/>
              <w:rPr>
                <w:rFonts w:ascii="Times New Roman" w:hAnsi="Times New Roman"/>
                <w:b/>
                <w:bCs/>
                <w:i/>
                <w:iCs/>
              </w:rPr>
            </w:pPr>
            <w:r w:rsidRPr="00600271">
              <w:rPr>
                <w:rFonts w:ascii="Times New Roman" w:hAnsi="Times New Roman"/>
                <w:b/>
                <w:bCs/>
                <w:i/>
                <w:iCs/>
              </w:rPr>
              <w:t>vplyv na rozpočty obcí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6C121A" w:rsidP="001A20A7">
            <w:pPr>
              <w:bidi w:val="0"/>
              <w:spacing w:line="125" w:lineRule="atLeast"/>
              <w:jc w:val="right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6C121A" w:rsidP="001A20A7">
            <w:pPr>
              <w:bidi w:val="0"/>
              <w:spacing w:line="125" w:lineRule="atLeast"/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="00FB33B9">
              <w:rPr>
                <w:rFonts w:ascii="Times New Roman" w:hAnsi="Times New Roman"/>
                <w:b/>
                <w:bCs/>
                <w:iCs/>
              </w:rPr>
              <w:t>-405 752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E5197F" w:rsidP="001A20A7">
            <w:pPr>
              <w:bidi w:val="0"/>
              <w:spacing w:line="125" w:lineRule="atLeast"/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="00FB33B9">
              <w:rPr>
                <w:rFonts w:ascii="Times New Roman" w:hAnsi="Times New Roman"/>
                <w:b/>
                <w:bCs/>
                <w:iCs/>
              </w:rPr>
              <w:t>-452 413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E5197F" w:rsidP="001A20A7">
            <w:pPr>
              <w:bidi w:val="0"/>
              <w:spacing w:line="125" w:lineRule="atLeast"/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="00FB33B9">
              <w:rPr>
                <w:rFonts w:ascii="Times New Roman" w:hAnsi="Times New Roman"/>
                <w:b/>
                <w:bCs/>
                <w:iCs/>
              </w:rPr>
              <w:t>-464 628</w:t>
            </w:r>
          </w:p>
        </w:tc>
      </w:tr>
      <w:tr>
        <w:tblPrEx>
          <w:tblW w:w="8764" w:type="dxa"/>
          <w:tblLayout w:type="fixed"/>
          <w:tblCellMar>
            <w:left w:w="0" w:type="dxa"/>
            <w:right w:w="0" w:type="dxa"/>
          </w:tblCellMar>
        </w:tblPrEx>
        <w:trPr>
          <w:trHeight w:val="125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4161A1" w:rsidP="001A20A7">
            <w:pPr>
              <w:numPr>
                <w:numId w:val="1"/>
              </w:numPr>
              <w:bidi w:val="0"/>
              <w:spacing w:line="125" w:lineRule="atLeast"/>
              <w:rPr>
                <w:rFonts w:ascii="Times New Roman" w:hAnsi="Times New Roman"/>
                <w:b/>
                <w:bCs/>
                <w:i/>
                <w:iCs/>
              </w:rPr>
            </w:pPr>
            <w:r w:rsidRPr="00600271">
              <w:rPr>
                <w:rFonts w:ascii="Times New Roman" w:hAnsi="Times New Roman"/>
                <w:b/>
                <w:bCs/>
                <w:i/>
                <w:iCs/>
              </w:rPr>
              <w:t>vplyv na rozpočty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 VUC</w:t>
            </w:r>
            <w:r w:rsidRPr="00600271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6C121A" w:rsidP="001A20A7">
            <w:pPr>
              <w:bidi w:val="0"/>
              <w:spacing w:line="125" w:lineRule="atLeast"/>
              <w:jc w:val="right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6C121A" w:rsidP="001A20A7">
            <w:pPr>
              <w:bidi w:val="0"/>
              <w:spacing w:line="125" w:lineRule="atLeast"/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="00FB33B9">
              <w:rPr>
                <w:rFonts w:ascii="Times New Roman" w:hAnsi="Times New Roman"/>
                <w:b/>
                <w:bCs/>
                <w:iCs/>
              </w:rPr>
              <w:t>-915 288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E5197F" w:rsidP="001A20A7">
            <w:pPr>
              <w:bidi w:val="0"/>
              <w:spacing w:line="125" w:lineRule="atLeast"/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="00FB33B9">
              <w:rPr>
                <w:rFonts w:ascii="Times New Roman" w:hAnsi="Times New Roman"/>
                <w:b/>
                <w:bCs/>
                <w:iCs/>
              </w:rPr>
              <w:t>-1 020 546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E5197F" w:rsidP="001A20A7">
            <w:pPr>
              <w:bidi w:val="0"/>
              <w:spacing w:line="125" w:lineRule="atLeast"/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="00FB33B9">
              <w:rPr>
                <w:rFonts w:ascii="Times New Roman" w:hAnsi="Times New Roman"/>
                <w:b/>
                <w:bCs/>
                <w:iCs/>
              </w:rPr>
              <w:t>-1 048 102</w:t>
            </w:r>
          </w:p>
        </w:tc>
      </w:tr>
      <w:tr>
        <w:tblPrEx>
          <w:tblW w:w="8764" w:type="dxa"/>
          <w:tblLayout w:type="fixed"/>
          <w:tblCellMar>
            <w:left w:w="0" w:type="dxa"/>
            <w:right w:w="0" w:type="dxa"/>
          </w:tblCellMar>
        </w:tblPrEx>
        <w:trPr>
          <w:trHeight w:val="125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4161A1" w:rsidP="001A20A7">
            <w:pPr>
              <w:bidi w:val="0"/>
              <w:spacing w:line="125" w:lineRule="atLeas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</w:rPr>
              <w:t>Výdavky verejnej správy celkom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6C121A" w:rsidP="001A20A7">
            <w:pPr>
              <w:bidi w:val="0"/>
              <w:spacing w:line="125" w:lineRule="atLeast"/>
              <w:jc w:val="right"/>
              <w:rPr>
                <w:rFonts w:ascii="Times New Roman" w:hAnsi="Times New Roman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7B6700" w:rsidP="001A20A7">
            <w:pPr>
              <w:bidi w:val="0"/>
              <w:spacing w:line="125" w:lineRule="atLeast"/>
              <w:jc w:val="right"/>
              <w:rPr>
                <w:rFonts w:ascii="Times New Roman" w:hAnsi="Times New Roman"/>
                <w:bCs/>
                <w:iCs/>
              </w:rPr>
            </w:pPr>
            <w:r w:rsidRPr="007B6700" w:rsidR="007B6700">
              <w:rPr>
                <w:rFonts w:ascii="Times New Roman" w:hAnsi="Times New Roman"/>
                <w:bCs/>
                <w:iCs/>
              </w:rPr>
              <w:t>0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7B6700" w:rsidP="001A20A7">
            <w:pPr>
              <w:bidi w:val="0"/>
              <w:spacing w:line="125" w:lineRule="atLeast"/>
              <w:jc w:val="right"/>
              <w:rPr>
                <w:rFonts w:ascii="Times New Roman" w:hAnsi="Times New Roman"/>
                <w:bCs/>
                <w:iCs/>
              </w:rPr>
            </w:pPr>
            <w:r w:rsidRPr="007B6700" w:rsidR="007B6700">
              <w:rPr>
                <w:rFonts w:ascii="Times New Roman" w:hAnsi="Times New Roman"/>
                <w:bCs/>
                <w:iCs/>
              </w:rPr>
              <w:t>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7B6700" w:rsidP="001A20A7">
            <w:pPr>
              <w:bidi w:val="0"/>
              <w:spacing w:line="125" w:lineRule="atLeast"/>
              <w:jc w:val="right"/>
              <w:rPr>
                <w:rFonts w:ascii="Times New Roman" w:hAnsi="Times New Roman"/>
                <w:bCs/>
                <w:iCs/>
              </w:rPr>
            </w:pPr>
            <w:r w:rsidRPr="007B6700" w:rsidR="007B6700">
              <w:rPr>
                <w:rFonts w:ascii="Times New Roman" w:hAnsi="Times New Roman"/>
                <w:bCs/>
                <w:iCs/>
              </w:rPr>
              <w:t>0</w:t>
            </w:r>
          </w:p>
        </w:tc>
      </w:tr>
      <w:tr>
        <w:tblPrEx>
          <w:tblW w:w="8764" w:type="dxa"/>
          <w:tblLayout w:type="fixed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4161A1" w:rsidP="001A20A7">
            <w:pPr>
              <w:bidi w:val="0"/>
              <w:spacing w:line="7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 tom: za každý subjekt verejnej správy / program zvlášť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4161A1" w:rsidP="001A20A7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4161A1" w:rsidP="001A20A7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4161A1" w:rsidP="001A20A7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4161A1" w:rsidP="001A20A7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blPrEx>
          <w:tblW w:w="8764" w:type="dxa"/>
          <w:tblLayout w:type="fixed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P="001A20A7">
            <w:pPr>
              <w:bidi w:val="0"/>
              <w:spacing w:line="70" w:lineRule="atLeast"/>
              <w:rPr>
                <w:rFonts w:ascii="Times New Roman" w:hAnsi="Times New Roman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P="001A20A7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P="001A20A7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P="001A20A7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P="001A20A7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</w:p>
        </w:tc>
      </w:tr>
      <w:tr>
        <w:tblPrEx>
          <w:tblW w:w="8764" w:type="dxa"/>
          <w:tblLayout w:type="fixed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4161A1" w:rsidP="001A20A7">
            <w:pPr>
              <w:bidi w:val="0"/>
              <w:spacing w:line="70" w:lineRule="atLeas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i/>
                <w:iCs/>
              </w:rPr>
              <w:t xml:space="preserve">z toho: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4161A1" w:rsidP="001A20A7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4161A1" w:rsidP="001A20A7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4161A1" w:rsidP="001A20A7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4161A1" w:rsidP="001A20A7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</w:p>
        </w:tc>
      </w:tr>
      <w:tr>
        <w:tblPrEx>
          <w:tblW w:w="8764" w:type="dxa"/>
          <w:tblLayout w:type="fixed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4161A1" w:rsidP="001A20A7">
            <w:pPr>
              <w:bidi w:val="0"/>
              <w:spacing w:line="70" w:lineRule="atLeas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i/>
                <w:iCs/>
              </w:rPr>
              <w:t>- vplyv na ŠR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6C121A" w:rsidP="001A20A7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6C121A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EE6209" w:rsidP="001A20A7">
            <w:pPr>
              <w:bidi w:val="0"/>
              <w:spacing w:line="125" w:lineRule="atLeast"/>
              <w:jc w:val="right"/>
              <w:rPr>
                <w:rFonts w:ascii="Times New Roman" w:hAnsi="Times New Roman"/>
                <w:b/>
                <w:bCs/>
                <w:iCs/>
                <w:color w:val="FF0000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30268E" w:rsidP="001A20A7">
            <w:pPr>
              <w:bidi w:val="0"/>
              <w:spacing w:line="125" w:lineRule="atLeast"/>
              <w:jc w:val="right"/>
              <w:rPr>
                <w:rFonts w:ascii="Times New Roman" w:hAnsi="Times New Roman"/>
                <w:b/>
                <w:bCs/>
                <w:iCs/>
                <w:color w:val="FF0000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30268E" w:rsidP="001A20A7">
            <w:pPr>
              <w:bidi w:val="0"/>
              <w:spacing w:line="125" w:lineRule="atLeast"/>
              <w:jc w:val="right"/>
              <w:rPr>
                <w:rFonts w:ascii="Times New Roman" w:hAnsi="Times New Roman"/>
                <w:b/>
                <w:bCs/>
                <w:iCs/>
                <w:color w:val="FF0000"/>
              </w:rPr>
            </w:pPr>
          </w:p>
        </w:tc>
      </w:tr>
      <w:tr>
        <w:tblPrEx>
          <w:tblW w:w="8764" w:type="dxa"/>
          <w:tblLayout w:type="fixed"/>
          <w:tblCellMar>
            <w:left w:w="0" w:type="dxa"/>
            <w:right w:w="0" w:type="dxa"/>
          </w:tblCellMar>
        </w:tblPrEx>
        <w:trPr>
          <w:trHeight w:val="125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4161A1" w:rsidP="001A20A7">
            <w:pPr>
              <w:bidi w:val="0"/>
              <w:spacing w:line="125" w:lineRule="atLeas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i/>
                <w:iCs/>
              </w:rPr>
              <w:t>- vplyv na územnú samosprávu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6C121A" w:rsidP="001A20A7">
            <w:pPr>
              <w:bidi w:val="0"/>
              <w:spacing w:line="125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202F27" w:rsidP="00202F27">
            <w:pPr>
              <w:bidi w:val="0"/>
              <w:spacing w:line="125" w:lineRule="atLeast"/>
              <w:jc w:val="right"/>
              <w:rPr>
                <w:rFonts w:ascii="Times New Roman" w:hAnsi="Times New Roman"/>
                <w:bCs/>
                <w:iCs/>
              </w:rPr>
            </w:pPr>
            <w:r w:rsidRPr="00202F27" w:rsidR="00202F27">
              <w:rPr>
                <w:rFonts w:ascii="Times New Roman" w:hAnsi="Times New Roman"/>
                <w:bCs/>
                <w:iCs/>
              </w:rPr>
              <w:t>0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202F27" w:rsidP="00202F27">
            <w:pPr>
              <w:bidi w:val="0"/>
              <w:spacing w:line="125" w:lineRule="atLeast"/>
              <w:jc w:val="right"/>
              <w:rPr>
                <w:rFonts w:ascii="Times New Roman" w:hAnsi="Times New Roman"/>
                <w:bCs/>
                <w:iCs/>
              </w:rPr>
            </w:pPr>
            <w:r w:rsidRPr="00202F27">
              <w:rPr>
                <w:rFonts w:ascii="Times New Roman" w:hAnsi="Times New Roman"/>
                <w:bCs/>
                <w:iCs/>
              </w:rPr>
              <w:t xml:space="preserve">            </w:t>
            </w:r>
            <w:r w:rsidRPr="00202F27" w:rsidR="00202F27">
              <w:rPr>
                <w:rFonts w:ascii="Times New Roman" w:hAnsi="Times New Roman"/>
                <w:bCs/>
                <w:iCs/>
              </w:rPr>
              <w:t>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202F27" w:rsidP="001A20A7">
            <w:pPr>
              <w:bidi w:val="0"/>
              <w:spacing w:line="125" w:lineRule="atLeast"/>
              <w:jc w:val="right"/>
              <w:rPr>
                <w:rFonts w:ascii="Times New Roman" w:hAnsi="Times New Roman"/>
                <w:bCs/>
                <w:iCs/>
              </w:rPr>
            </w:pPr>
            <w:r w:rsidRPr="00202F27">
              <w:rPr>
                <w:rFonts w:ascii="Times New Roman" w:hAnsi="Times New Roman"/>
                <w:bCs/>
                <w:iCs/>
              </w:rPr>
              <w:t>0</w:t>
            </w:r>
          </w:p>
        </w:tc>
      </w:tr>
      <w:tr>
        <w:tblPrEx>
          <w:tblW w:w="8764" w:type="dxa"/>
          <w:tblLayout w:type="fixed"/>
          <w:tblCellMar>
            <w:left w:w="0" w:type="dxa"/>
            <w:right w:w="0" w:type="dxa"/>
          </w:tblCellMar>
        </w:tblPrEx>
        <w:trPr>
          <w:trHeight w:val="125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600271" w:rsidP="001A20A7">
            <w:pPr>
              <w:bidi w:val="0"/>
              <w:spacing w:line="125" w:lineRule="atLeas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z toho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P="001A20A7">
            <w:pPr>
              <w:bidi w:val="0"/>
              <w:spacing w:line="125" w:lineRule="atLeast"/>
              <w:jc w:val="right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P="001A20A7">
            <w:pPr>
              <w:numPr>
                <w:numId w:val="1"/>
              </w:numPr>
              <w:bidi w:val="0"/>
              <w:spacing w:line="125" w:lineRule="atLeast"/>
              <w:jc w:val="right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P="001A20A7">
            <w:pPr>
              <w:numPr>
                <w:numId w:val="1"/>
              </w:numPr>
              <w:bidi w:val="0"/>
              <w:spacing w:line="125" w:lineRule="atLeast"/>
              <w:jc w:val="right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P="001A20A7">
            <w:pPr>
              <w:numPr>
                <w:numId w:val="1"/>
              </w:numPr>
              <w:bidi w:val="0"/>
              <w:spacing w:line="125" w:lineRule="atLeast"/>
              <w:jc w:val="right"/>
              <w:rPr>
                <w:rFonts w:ascii="Times New Roman" w:hAnsi="Times New Roman"/>
                <w:b/>
                <w:bCs/>
                <w:iCs/>
              </w:rPr>
            </w:pPr>
          </w:p>
        </w:tc>
      </w:tr>
      <w:tr>
        <w:tblPrEx>
          <w:tblW w:w="8764" w:type="dxa"/>
          <w:tblLayout w:type="fixed"/>
          <w:tblCellMar>
            <w:left w:w="0" w:type="dxa"/>
            <w:right w:w="0" w:type="dxa"/>
          </w:tblCellMar>
        </w:tblPrEx>
        <w:trPr>
          <w:trHeight w:val="125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600271" w:rsidP="001A20A7">
            <w:pPr>
              <w:numPr>
                <w:numId w:val="1"/>
              </w:numPr>
              <w:bidi w:val="0"/>
              <w:spacing w:line="125" w:lineRule="atLeast"/>
              <w:rPr>
                <w:rFonts w:ascii="Times New Roman" w:hAnsi="Times New Roman"/>
                <w:b/>
                <w:bCs/>
                <w:i/>
                <w:iCs/>
              </w:rPr>
            </w:pPr>
            <w:r w:rsidRPr="00600271">
              <w:rPr>
                <w:rFonts w:ascii="Times New Roman" w:hAnsi="Times New Roman"/>
                <w:b/>
                <w:bCs/>
                <w:i/>
                <w:iCs/>
              </w:rPr>
              <w:t>vplyv na rozpočty obcí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6C121A" w:rsidP="001A20A7">
            <w:pPr>
              <w:bidi w:val="0"/>
              <w:spacing w:line="125" w:lineRule="atLeast"/>
              <w:jc w:val="right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202F27" w:rsidP="001A20A7">
            <w:pPr>
              <w:bidi w:val="0"/>
              <w:spacing w:line="125" w:lineRule="atLeast"/>
              <w:jc w:val="right"/>
              <w:rPr>
                <w:rFonts w:ascii="Times New Roman" w:hAnsi="Times New Roman"/>
                <w:bCs/>
                <w:iCs/>
              </w:rPr>
            </w:pPr>
            <w:r w:rsidRPr="00202F27" w:rsidR="00202F27">
              <w:rPr>
                <w:rFonts w:ascii="Times New Roman" w:hAnsi="Times New Roman"/>
                <w:bCs/>
                <w:iCs/>
              </w:rPr>
              <w:t>0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202F27" w:rsidP="001A20A7">
            <w:pPr>
              <w:bidi w:val="0"/>
              <w:spacing w:line="125" w:lineRule="atLeast"/>
              <w:jc w:val="right"/>
              <w:rPr>
                <w:rFonts w:ascii="Times New Roman" w:hAnsi="Times New Roman"/>
                <w:bCs/>
                <w:iCs/>
              </w:rPr>
            </w:pPr>
            <w:r w:rsidRPr="00202F27" w:rsidR="00202F27">
              <w:rPr>
                <w:rFonts w:ascii="Times New Roman" w:hAnsi="Times New Roman"/>
                <w:bCs/>
                <w:iCs/>
              </w:rPr>
              <w:t>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202F27" w:rsidP="001A20A7">
            <w:pPr>
              <w:bidi w:val="0"/>
              <w:spacing w:line="125" w:lineRule="atLeast"/>
              <w:jc w:val="right"/>
              <w:rPr>
                <w:rFonts w:ascii="Times New Roman" w:hAnsi="Times New Roman"/>
                <w:bCs/>
                <w:iCs/>
              </w:rPr>
            </w:pPr>
            <w:r w:rsidRPr="00202F27" w:rsidR="00202F27">
              <w:rPr>
                <w:rFonts w:ascii="Times New Roman" w:hAnsi="Times New Roman"/>
                <w:bCs/>
                <w:iCs/>
              </w:rPr>
              <w:t>0</w:t>
            </w:r>
          </w:p>
        </w:tc>
      </w:tr>
      <w:tr>
        <w:tblPrEx>
          <w:tblW w:w="8764" w:type="dxa"/>
          <w:tblLayout w:type="fixed"/>
          <w:tblCellMar>
            <w:left w:w="0" w:type="dxa"/>
            <w:right w:w="0" w:type="dxa"/>
          </w:tblCellMar>
        </w:tblPrEx>
        <w:trPr>
          <w:trHeight w:val="125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4161A1" w:rsidP="001A20A7">
            <w:pPr>
              <w:numPr>
                <w:numId w:val="1"/>
              </w:numPr>
              <w:bidi w:val="0"/>
              <w:spacing w:line="125" w:lineRule="atLeast"/>
              <w:rPr>
                <w:rFonts w:ascii="Times New Roman" w:hAnsi="Times New Roman"/>
                <w:b/>
                <w:bCs/>
                <w:i/>
                <w:iCs/>
              </w:rPr>
            </w:pPr>
            <w:r w:rsidRPr="00600271">
              <w:rPr>
                <w:rFonts w:ascii="Times New Roman" w:hAnsi="Times New Roman"/>
                <w:b/>
                <w:bCs/>
                <w:i/>
                <w:iCs/>
              </w:rPr>
              <w:t>vplyv na rozpočty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 VUC</w:t>
            </w:r>
            <w:r w:rsidRPr="00600271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6C121A" w:rsidP="001A20A7">
            <w:pPr>
              <w:bidi w:val="0"/>
              <w:spacing w:line="125" w:lineRule="atLeast"/>
              <w:jc w:val="right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202F27" w:rsidP="001A20A7">
            <w:pPr>
              <w:bidi w:val="0"/>
              <w:spacing w:line="125" w:lineRule="atLeast"/>
              <w:jc w:val="right"/>
              <w:rPr>
                <w:rFonts w:ascii="Times New Roman" w:hAnsi="Times New Roman"/>
                <w:bCs/>
                <w:iCs/>
              </w:rPr>
            </w:pPr>
            <w:r w:rsidRPr="00202F27" w:rsidR="00202F27">
              <w:rPr>
                <w:rFonts w:ascii="Times New Roman" w:hAnsi="Times New Roman"/>
                <w:bCs/>
                <w:iCs/>
              </w:rPr>
              <w:t>0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202F27" w:rsidP="00202F27">
            <w:pPr>
              <w:bidi w:val="0"/>
              <w:spacing w:line="125" w:lineRule="atLeast"/>
              <w:jc w:val="right"/>
              <w:rPr>
                <w:rFonts w:ascii="Times New Roman" w:hAnsi="Times New Roman"/>
                <w:bCs/>
                <w:iCs/>
              </w:rPr>
            </w:pPr>
            <w:r w:rsidRPr="00202F27">
              <w:rPr>
                <w:rFonts w:ascii="Times New Roman" w:hAnsi="Times New Roman"/>
                <w:bCs/>
                <w:iCs/>
              </w:rPr>
              <w:t xml:space="preserve"> </w:t>
            </w:r>
            <w:r w:rsidRPr="00202F27" w:rsidR="00202F27">
              <w:rPr>
                <w:rFonts w:ascii="Times New Roman" w:hAnsi="Times New Roman"/>
                <w:bCs/>
                <w:iCs/>
              </w:rPr>
              <w:t>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202F27" w:rsidP="001A20A7">
            <w:pPr>
              <w:bidi w:val="0"/>
              <w:spacing w:line="125" w:lineRule="atLeast"/>
              <w:jc w:val="right"/>
              <w:rPr>
                <w:rFonts w:ascii="Times New Roman" w:hAnsi="Times New Roman"/>
                <w:bCs/>
                <w:iCs/>
              </w:rPr>
            </w:pPr>
            <w:r w:rsidRPr="00202F27" w:rsidR="00202F27">
              <w:rPr>
                <w:rFonts w:ascii="Times New Roman" w:hAnsi="Times New Roman"/>
                <w:bCs/>
                <w:iCs/>
              </w:rPr>
              <w:t>0</w:t>
            </w:r>
          </w:p>
        </w:tc>
      </w:tr>
      <w:tr>
        <w:tblPrEx>
          <w:tblW w:w="8764" w:type="dxa"/>
          <w:tblLayout w:type="fixed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4161A1" w:rsidP="001A20A7">
            <w:pPr>
              <w:bidi w:val="0"/>
              <w:spacing w:line="70" w:lineRule="atLeas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</w:rPr>
              <w:t xml:space="preserve">Celková zamestnanosť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6C121A" w:rsidP="001A20A7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6C121A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6C121A" w:rsidP="001A20A7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6C121A" w:rsidP="001A20A7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6C121A" w:rsidP="001A20A7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blPrEx>
          <w:tblW w:w="8764" w:type="dxa"/>
          <w:tblLayout w:type="fixed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4161A1" w:rsidP="001A20A7">
            <w:pPr>
              <w:bidi w:val="0"/>
              <w:spacing w:line="70" w:lineRule="atLeas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i/>
                <w:iCs/>
              </w:rPr>
              <w:t>- z toho vplyv na ŠR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6C121A" w:rsidP="001A20A7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6C121A">
              <w:rPr>
                <w:rFonts w:ascii="Times New Roman" w:hAnsi="Times New Roman"/>
              </w:rPr>
              <w:t>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6C121A" w:rsidP="001A20A7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6C121A" w:rsidP="001A20A7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6C121A" w:rsidP="001A20A7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blPrEx>
          <w:tblW w:w="8764" w:type="dxa"/>
          <w:tblLayout w:type="fixed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4161A1" w:rsidP="001A20A7">
            <w:pPr>
              <w:bidi w:val="0"/>
              <w:spacing w:line="70" w:lineRule="atLeas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</w:rPr>
              <w:t>Financovanie zabezpečené v rozpočte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6C121A" w:rsidP="001A20A7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6C121A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6C121A" w:rsidP="001A20A7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6C121A" w:rsidP="001A20A7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6C121A" w:rsidP="001A20A7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</w:p>
        </w:tc>
      </w:tr>
      <w:tr>
        <w:tblPrEx>
          <w:tblW w:w="8764" w:type="dxa"/>
          <w:tblLayout w:type="fixed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4161A1" w:rsidP="001A20A7">
            <w:pPr>
              <w:bidi w:val="0"/>
              <w:spacing w:line="7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 tom: za každý subjekt verejnej správy / program zvlášť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6C121A" w:rsidP="001A20A7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6C121A">
              <w:rPr>
                <w:rFonts w:ascii="Times New Roman" w:hAnsi="Times New Roman"/>
              </w:rPr>
              <w:t>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6C121A" w:rsidP="001A20A7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6C121A" w:rsidP="001A20A7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6C121A" w:rsidP="001A20A7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</w:p>
        </w:tc>
      </w:tr>
      <w:tr>
        <w:tblPrEx>
          <w:tblW w:w="8764" w:type="dxa"/>
          <w:tblLayout w:type="fixed"/>
          <w:tblCellMar>
            <w:left w:w="0" w:type="dxa"/>
            <w:right w:w="0" w:type="dxa"/>
          </w:tblCellMar>
        </w:tblPrEx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9222D8" w:rsidRPr="004161A1" w:rsidP="001A20A7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9222D8" w:rsidRPr="004161A1" w:rsidP="001A20A7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9222D8" w:rsidRPr="004161A1" w:rsidP="001A20A7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9222D8" w:rsidRPr="004161A1" w:rsidP="001A20A7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9222D8" w:rsidRPr="004161A1" w:rsidP="001A20A7">
            <w:pPr>
              <w:bidi w:val="0"/>
              <w:rPr>
                <w:rFonts w:ascii="Times New Roman" w:hAnsi="Times New Roman"/>
                <w:sz w:val="2"/>
              </w:rPr>
            </w:pPr>
          </w:p>
        </w:tc>
      </w:tr>
    </w:tbl>
    <w:p w:rsidR="009222D8" w:rsidP="009222D8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9222D8" w:rsidP="009222D8">
      <w:pPr>
        <w:bidi w:val="0"/>
        <w:rPr>
          <w:rFonts w:ascii="Times New Roman" w:hAnsi="Times New Roman"/>
          <w:b/>
          <w:bCs/>
        </w:rPr>
      </w:pPr>
    </w:p>
    <w:p w:rsidR="009222D8" w:rsidP="009222D8">
      <w:pPr>
        <w:bidi w:val="0"/>
        <w:rPr>
          <w:rFonts w:ascii="Times New Roman" w:hAnsi="Times New Roman"/>
          <w:b/>
          <w:bCs/>
        </w:rPr>
      </w:pPr>
    </w:p>
    <w:p w:rsidR="009222D8" w:rsidP="009222D8">
      <w:pPr>
        <w:bidi w:val="0"/>
        <w:rPr>
          <w:rFonts w:ascii="Times New Roman" w:hAnsi="Times New Roman"/>
          <w:b/>
          <w:bCs/>
        </w:rPr>
      </w:pPr>
    </w:p>
    <w:p w:rsidR="009222D8" w:rsidP="009222D8">
      <w:pPr>
        <w:bidi w:val="0"/>
        <w:rPr>
          <w:rFonts w:ascii="Times New Roman" w:hAnsi="Times New Roman"/>
          <w:b/>
          <w:bCs/>
        </w:rPr>
      </w:pPr>
    </w:p>
    <w:p w:rsidR="009222D8" w:rsidP="009222D8">
      <w:pPr>
        <w:bidi w:val="0"/>
        <w:rPr>
          <w:rFonts w:ascii="Times New Roman" w:hAnsi="Times New Roman"/>
          <w:b/>
          <w:bCs/>
        </w:rPr>
      </w:pPr>
    </w:p>
    <w:p w:rsidR="009222D8" w:rsidP="009222D8">
      <w:pPr>
        <w:bidi w:val="0"/>
        <w:rPr>
          <w:rFonts w:ascii="Times New Roman" w:hAnsi="Times New Roman"/>
          <w:b/>
          <w:bCs/>
        </w:rPr>
      </w:pPr>
    </w:p>
    <w:p w:rsidR="009222D8" w:rsidP="009222D8">
      <w:pPr>
        <w:bidi w:val="0"/>
        <w:rPr>
          <w:rFonts w:ascii="Times New Roman" w:hAnsi="Times New Roman"/>
        </w:rPr>
      </w:pPr>
      <w:r w:rsidRPr="004161A1">
        <w:rPr>
          <w:rFonts w:ascii="Times New Roman" w:hAnsi="Times New Roman"/>
          <w:b/>
          <w:bCs/>
        </w:rPr>
        <w:t>2.2. Financovanie návrhu</w:t>
      </w:r>
    </w:p>
    <w:p w:rsidR="009222D8" w:rsidP="009222D8">
      <w:pPr>
        <w:bidi w:val="0"/>
        <w:jc w:val="right"/>
        <w:rPr>
          <w:rFonts w:ascii="Times New Roman" w:hAnsi="Times New Roman"/>
        </w:rPr>
      </w:pPr>
      <w:r w:rsidRPr="004161A1">
        <w:rPr>
          <w:rFonts w:ascii="Times New Roman" w:hAnsi="Times New Roman"/>
          <w:sz w:val="20"/>
          <w:szCs w:val="20"/>
        </w:rPr>
        <w:t>Tabuľka č. 2</w:t>
      </w:r>
    </w:p>
    <w:tbl>
      <w:tblPr>
        <w:tblStyle w:val="TableNormal"/>
        <w:tblW w:w="9568" w:type="dxa"/>
        <w:tblLayout w:type="fixed"/>
        <w:tblCellMar>
          <w:left w:w="0" w:type="dxa"/>
          <w:right w:w="0" w:type="dxa"/>
        </w:tblCellMar>
      </w:tblPr>
      <w:tblGrid>
        <w:gridCol w:w="3006"/>
        <w:gridCol w:w="608"/>
        <w:gridCol w:w="2432"/>
        <w:gridCol w:w="1657"/>
        <w:gridCol w:w="1865"/>
      </w:tblGrid>
      <w:tr>
        <w:tblPrEx>
          <w:tblW w:w="9568" w:type="dxa"/>
          <w:tblLayout w:type="fixed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3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4161A1" w:rsidP="001A20A7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color w:val="FFFFFF"/>
              </w:rPr>
              <w:t>Financovanie</w:t>
            </w:r>
          </w:p>
        </w:tc>
        <w:tc>
          <w:tcPr>
            <w:tcW w:w="6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4161A1" w:rsidP="001A20A7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color w:val="FFFFFF"/>
              </w:rPr>
              <w:t xml:space="preserve">Vplyv na rozpočet verejnej správy </w:t>
            </w:r>
            <w:r w:rsidRPr="004161A1">
              <w:rPr>
                <w:rFonts w:ascii="Times New Roman" w:hAnsi="Times New Roman"/>
                <w:b/>
                <w:bCs/>
              </w:rPr>
              <w:t>(v eurách)</w:t>
            </w:r>
          </w:p>
        </w:tc>
      </w:tr>
      <w:tr>
        <w:tblPrEx>
          <w:tblW w:w="9568" w:type="dxa"/>
          <w:tblLayout w:type="fixed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3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9222D8" w:rsidRPr="004161A1" w:rsidP="001A20A7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4161A1" w:rsidP="001A20A7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color w:val="FFFFFF"/>
              </w:rPr>
              <w:t>r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4161A1" w:rsidP="001A20A7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2014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4161A1" w:rsidP="001A20A7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2015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4161A1" w:rsidP="001A20A7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2016</w:t>
            </w:r>
          </w:p>
        </w:tc>
      </w:tr>
      <w:tr>
        <w:tblPrEx>
          <w:tblW w:w="9568" w:type="dxa"/>
          <w:tblLayout w:type="fixed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4161A1" w:rsidP="001A20A7">
            <w:pPr>
              <w:bidi w:val="0"/>
              <w:spacing w:line="7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P="001A20A7">
            <w:pPr>
              <w:bidi w:val="0"/>
              <w:spacing w:line="125" w:lineRule="atLeast"/>
              <w:jc w:val="right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P="001A20A7">
            <w:pPr>
              <w:bidi w:val="0"/>
              <w:spacing w:line="125" w:lineRule="atLeast"/>
              <w:jc w:val="right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P="001A20A7">
            <w:pPr>
              <w:bidi w:val="0"/>
              <w:spacing w:line="125" w:lineRule="atLeast"/>
              <w:jc w:val="right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6C121A" w:rsidP="001A20A7">
            <w:pPr>
              <w:bidi w:val="0"/>
              <w:spacing w:line="125" w:lineRule="atLeast"/>
              <w:jc w:val="right"/>
              <w:rPr>
                <w:rFonts w:ascii="Times New Roman" w:hAnsi="Times New Roman"/>
              </w:rPr>
            </w:pPr>
          </w:p>
        </w:tc>
      </w:tr>
      <w:tr>
        <w:tblPrEx>
          <w:tblW w:w="9568" w:type="dxa"/>
          <w:tblLayout w:type="fixed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4161A1" w:rsidP="001A20A7">
            <w:pPr>
              <w:bidi w:val="0"/>
              <w:spacing w:line="70" w:lineRule="atLeas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</w:rPr>
              <w:t>Celkový vplyv na rozpočet verejnej správy ( - príjmy, + výdavky)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6C121A" w:rsidP="001A20A7">
            <w:pPr>
              <w:bidi w:val="0"/>
              <w:spacing w:line="125" w:lineRule="atLeast"/>
              <w:jc w:val="right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7B241D" w:rsidP="001A20A7">
            <w:pPr>
              <w:bidi w:val="0"/>
              <w:spacing w:line="125" w:lineRule="atLeast"/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="005D4DA5">
              <w:rPr>
                <w:rFonts w:ascii="Times New Roman" w:hAnsi="Times New Roman"/>
                <w:b/>
                <w:bCs/>
                <w:iCs/>
              </w:rPr>
              <w:t>+</w:t>
            </w:r>
            <w:r>
              <w:rPr>
                <w:rFonts w:ascii="Times New Roman" w:hAnsi="Times New Roman"/>
                <w:b/>
                <w:bCs/>
                <w:iCs/>
              </w:rPr>
              <w:t xml:space="preserve"> 1 321 040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7B241D" w:rsidP="001A20A7">
            <w:pPr>
              <w:bidi w:val="0"/>
              <w:spacing w:line="125" w:lineRule="atLeast"/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="005D4DA5">
              <w:rPr>
                <w:rFonts w:ascii="Times New Roman" w:hAnsi="Times New Roman"/>
                <w:b/>
                <w:bCs/>
                <w:iCs/>
              </w:rPr>
              <w:t>+</w:t>
            </w:r>
            <w:r>
              <w:rPr>
                <w:rFonts w:ascii="Times New Roman" w:hAnsi="Times New Roman"/>
                <w:b/>
                <w:bCs/>
                <w:iCs/>
              </w:rPr>
              <w:t>1 472 959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7B241D" w:rsidP="001A20A7">
            <w:pPr>
              <w:bidi w:val="0"/>
              <w:spacing w:line="125" w:lineRule="atLeast"/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="005D4DA5">
              <w:rPr>
                <w:rFonts w:ascii="Times New Roman" w:hAnsi="Times New Roman"/>
                <w:b/>
                <w:bCs/>
                <w:iCs/>
              </w:rPr>
              <w:t>+</w:t>
            </w:r>
            <w:r>
              <w:rPr>
                <w:rFonts w:ascii="Times New Roman" w:hAnsi="Times New Roman"/>
                <w:b/>
                <w:bCs/>
                <w:iCs/>
              </w:rPr>
              <w:t>1 512 730</w:t>
            </w:r>
          </w:p>
        </w:tc>
      </w:tr>
      <w:tr>
        <w:tblPrEx>
          <w:tblW w:w="9568" w:type="dxa"/>
          <w:tblLayout w:type="fixed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P="001A20A7">
            <w:pPr>
              <w:bidi w:val="0"/>
              <w:spacing w:line="7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na obce (+príjmy, -výdavky)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DE6CB4" w:rsidP="001A20A7">
            <w:pPr>
              <w:bidi w:val="0"/>
              <w:spacing w:line="70" w:lineRule="atLeast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5D63DD" w:rsidP="001A20A7">
            <w:pPr>
              <w:bidi w:val="0"/>
              <w:spacing w:line="125" w:lineRule="atLeast"/>
              <w:ind w:left="720"/>
              <w:rPr>
                <w:rFonts w:ascii="Times New Roman" w:hAnsi="Times New Roman"/>
                <w:b/>
                <w:bCs/>
                <w:iCs/>
              </w:rPr>
            </w:pPr>
            <w:r w:rsidRPr="005D63DD">
              <w:rPr>
                <w:rFonts w:ascii="Times New Roman" w:hAnsi="Times New Roman"/>
                <w:b/>
                <w:bCs/>
                <w:iCs/>
              </w:rPr>
              <w:t xml:space="preserve">    </w:t>
            </w:r>
            <w:r w:rsidR="006065CE">
              <w:rPr>
                <w:rFonts w:ascii="Times New Roman" w:hAnsi="Times New Roman"/>
                <w:b/>
                <w:bCs/>
                <w:iCs/>
              </w:rPr>
              <w:t xml:space="preserve">    </w:t>
            </w:r>
            <w:r w:rsidRPr="005D63DD">
              <w:rPr>
                <w:rFonts w:ascii="Times New Roman" w:hAnsi="Times New Roman"/>
                <w:b/>
                <w:bCs/>
                <w:iCs/>
              </w:rPr>
              <w:t xml:space="preserve"> </w:t>
            </w:r>
            <w:r w:rsidR="005D4DA5">
              <w:rPr>
                <w:rFonts w:ascii="Times New Roman" w:hAnsi="Times New Roman"/>
                <w:b/>
                <w:bCs/>
                <w:iCs/>
              </w:rPr>
              <w:t>+</w:t>
            </w:r>
            <w:r w:rsidRPr="005D63DD">
              <w:rPr>
                <w:rFonts w:ascii="Times New Roman" w:hAnsi="Times New Roman"/>
                <w:b/>
                <w:bCs/>
                <w:iCs/>
              </w:rPr>
              <w:t xml:space="preserve"> 405 752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5D63DD" w:rsidP="001A20A7">
            <w:pPr>
              <w:bidi w:val="0"/>
              <w:spacing w:line="125" w:lineRule="atLeast"/>
              <w:ind w:left="360"/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="005D4DA5">
              <w:rPr>
                <w:rFonts w:ascii="Times New Roman" w:hAnsi="Times New Roman"/>
                <w:b/>
                <w:bCs/>
                <w:iCs/>
              </w:rPr>
              <w:t>+</w:t>
            </w:r>
            <w:r w:rsidRPr="005D63DD">
              <w:rPr>
                <w:rFonts w:ascii="Times New Roman" w:hAnsi="Times New Roman"/>
                <w:b/>
                <w:bCs/>
                <w:iCs/>
              </w:rPr>
              <w:t>452 413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5D63DD" w:rsidP="001A20A7">
            <w:pPr>
              <w:bidi w:val="0"/>
              <w:spacing w:line="125" w:lineRule="atLeast"/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="005D4DA5">
              <w:rPr>
                <w:rFonts w:ascii="Times New Roman" w:hAnsi="Times New Roman"/>
                <w:b/>
                <w:bCs/>
                <w:iCs/>
              </w:rPr>
              <w:t>+</w:t>
            </w:r>
            <w:r w:rsidRPr="005D63DD">
              <w:rPr>
                <w:rFonts w:ascii="Times New Roman" w:hAnsi="Times New Roman"/>
                <w:b/>
                <w:bCs/>
                <w:iCs/>
              </w:rPr>
              <w:t>464 628</w:t>
            </w:r>
          </w:p>
        </w:tc>
      </w:tr>
      <w:tr>
        <w:tblPrEx>
          <w:tblW w:w="9568" w:type="dxa"/>
          <w:tblLayout w:type="fixed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156B00" w:rsidP="001A20A7">
            <w:pPr>
              <w:bidi w:val="0"/>
              <w:spacing w:line="70" w:lineRule="atLeast"/>
              <w:rPr>
                <w:rFonts w:ascii="Times New Roman" w:hAnsi="Times New Roman"/>
              </w:rPr>
            </w:pPr>
            <w:r w:rsidRPr="00156B00">
              <w:rPr>
                <w:rFonts w:ascii="Times New Roman" w:hAnsi="Times New Roman"/>
              </w:rPr>
              <w:t xml:space="preserve"> na VUC (+</w:t>
            </w:r>
            <w:r>
              <w:rPr>
                <w:rFonts w:ascii="Times New Roman" w:hAnsi="Times New Roman"/>
              </w:rPr>
              <w:t>príjmy,-</w:t>
            </w:r>
            <w:r w:rsidRPr="00156B00">
              <w:rPr>
                <w:rFonts w:ascii="Times New Roman" w:hAnsi="Times New Roman"/>
              </w:rPr>
              <w:t>výdavky)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156B00" w:rsidP="001A20A7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156B00">
              <w:rPr>
                <w:rFonts w:ascii="Times New Roman" w:hAnsi="Times New Roman"/>
              </w:rPr>
              <w:t>0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5D63DD" w:rsidP="001A20A7">
            <w:pPr>
              <w:bidi w:val="0"/>
              <w:spacing w:line="125" w:lineRule="atLeast"/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="005D4DA5">
              <w:rPr>
                <w:rFonts w:ascii="Times New Roman" w:hAnsi="Times New Roman"/>
                <w:b/>
                <w:bCs/>
                <w:iCs/>
              </w:rPr>
              <w:t>+</w:t>
            </w:r>
            <w:r w:rsidRPr="005D63DD">
              <w:rPr>
                <w:rFonts w:ascii="Times New Roman" w:hAnsi="Times New Roman"/>
                <w:b/>
                <w:bCs/>
                <w:iCs/>
              </w:rPr>
              <w:t xml:space="preserve"> 915 288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5D63DD" w:rsidP="001A20A7">
            <w:pPr>
              <w:bidi w:val="0"/>
              <w:spacing w:line="125" w:lineRule="atLeast"/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="005D4DA5">
              <w:rPr>
                <w:rFonts w:ascii="Times New Roman" w:hAnsi="Times New Roman"/>
                <w:b/>
                <w:bCs/>
                <w:iCs/>
              </w:rPr>
              <w:t>+</w:t>
            </w:r>
            <w:r w:rsidRPr="005D63DD">
              <w:rPr>
                <w:rFonts w:ascii="Times New Roman" w:hAnsi="Times New Roman"/>
                <w:b/>
                <w:bCs/>
                <w:iCs/>
              </w:rPr>
              <w:t xml:space="preserve"> 1 020 546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5D63DD" w:rsidP="001A20A7">
            <w:pPr>
              <w:bidi w:val="0"/>
              <w:spacing w:line="125" w:lineRule="atLeast"/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="005D4DA5">
              <w:rPr>
                <w:rFonts w:ascii="Times New Roman" w:hAnsi="Times New Roman"/>
                <w:b/>
                <w:bCs/>
                <w:iCs/>
              </w:rPr>
              <w:t>+</w:t>
            </w:r>
            <w:r w:rsidRPr="005D63DD">
              <w:rPr>
                <w:rFonts w:ascii="Times New Roman" w:hAnsi="Times New Roman"/>
                <w:b/>
                <w:bCs/>
                <w:iCs/>
              </w:rPr>
              <w:t xml:space="preserve"> 1 48 102</w:t>
            </w:r>
          </w:p>
        </w:tc>
      </w:tr>
      <w:tr>
        <w:tblPrEx>
          <w:tblW w:w="9568" w:type="dxa"/>
          <w:tblLayout w:type="fixed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P="001A20A7">
            <w:pPr>
              <w:bidi w:val="0"/>
              <w:spacing w:line="7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 </w:t>
            </w:r>
          </w:p>
          <w:p w:rsidR="009222D8" w:rsidRPr="004161A1" w:rsidP="001A20A7">
            <w:pPr>
              <w:bidi w:val="0"/>
              <w:spacing w:line="7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 toho vplyv na ŠR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P="001A20A7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</w:p>
          <w:p w:rsidR="009222D8" w:rsidRPr="004161A1" w:rsidP="001A20A7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6C121A" w:rsidP="001A20A7">
            <w:pPr>
              <w:bidi w:val="0"/>
              <w:spacing w:line="125" w:lineRule="atLeast"/>
              <w:jc w:val="right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30268E" w:rsidP="001A20A7">
            <w:pPr>
              <w:bidi w:val="0"/>
              <w:spacing w:line="125" w:lineRule="atLeast"/>
              <w:jc w:val="right"/>
              <w:rPr>
                <w:rFonts w:ascii="Times New Roman" w:hAnsi="Times New Roman"/>
                <w:b/>
                <w:bCs/>
                <w:iCs/>
                <w:color w:val="FF0000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30268E" w:rsidP="001A20A7">
            <w:pPr>
              <w:bidi w:val="0"/>
              <w:spacing w:line="125" w:lineRule="atLeast"/>
              <w:jc w:val="right"/>
              <w:rPr>
                <w:rFonts w:ascii="Times New Roman" w:hAnsi="Times New Roman"/>
                <w:b/>
                <w:bCs/>
                <w:iCs/>
                <w:color w:val="FF0000"/>
              </w:rPr>
            </w:pPr>
          </w:p>
        </w:tc>
      </w:tr>
      <w:tr>
        <w:tblPrEx>
          <w:tblW w:w="9568" w:type="dxa"/>
          <w:tblLayout w:type="fixed"/>
          <w:tblCellMar>
            <w:left w:w="0" w:type="dxa"/>
            <w:right w:w="0" w:type="dxa"/>
          </w:tblCellMar>
        </w:tblPrEx>
        <w:trPr>
          <w:trHeight w:val="151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4161A1" w:rsidP="001A20A7">
            <w:pPr>
              <w:bidi w:val="0"/>
              <w:spacing w:line="151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financovanie zabezpečené v rozpočte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4161A1" w:rsidP="001A20A7">
            <w:pPr>
              <w:bidi w:val="0"/>
              <w:spacing w:line="151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4B4D43" w:rsidP="001A20A7">
            <w:pPr>
              <w:bidi w:val="0"/>
              <w:spacing w:line="125" w:lineRule="atLeast"/>
              <w:jc w:val="right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4B4D43" w:rsidP="001A20A7">
            <w:pPr>
              <w:bidi w:val="0"/>
              <w:spacing w:line="125" w:lineRule="atLeast"/>
              <w:jc w:val="right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4B4D43" w:rsidP="001A20A7">
            <w:pPr>
              <w:bidi w:val="0"/>
              <w:spacing w:line="125" w:lineRule="atLeast"/>
              <w:jc w:val="right"/>
              <w:rPr>
                <w:rFonts w:ascii="Times New Roman" w:hAnsi="Times New Roman"/>
                <w:b/>
                <w:bCs/>
                <w:iCs/>
              </w:rPr>
            </w:pPr>
          </w:p>
        </w:tc>
      </w:tr>
      <w:tr>
        <w:tblPrEx>
          <w:tblW w:w="9568" w:type="dxa"/>
          <w:tblLayout w:type="fixed"/>
          <w:tblCellMar>
            <w:left w:w="0" w:type="dxa"/>
            <w:right w:w="0" w:type="dxa"/>
          </w:tblCellMar>
        </w:tblPrEx>
        <w:trPr>
          <w:trHeight w:val="135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4161A1" w:rsidP="001A20A7">
            <w:pPr>
              <w:bidi w:val="0"/>
              <w:spacing w:line="13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ostatné zdroje financovania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4161A1" w:rsidP="001A20A7">
            <w:pPr>
              <w:bidi w:val="0"/>
              <w:spacing w:line="135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4161A1" w:rsidP="001A20A7">
            <w:pPr>
              <w:bidi w:val="0"/>
              <w:spacing w:line="135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4161A1" w:rsidP="001A20A7">
            <w:pPr>
              <w:bidi w:val="0"/>
              <w:spacing w:line="135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4161A1" w:rsidP="001A20A7">
            <w:pPr>
              <w:bidi w:val="0"/>
              <w:spacing w:line="135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blPrEx>
          <w:tblW w:w="9568" w:type="dxa"/>
          <w:tblLayout w:type="fixed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4161A1" w:rsidP="001A20A7">
            <w:pPr>
              <w:bidi w:val="0"/>
              <w:spacing w:line="7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Rozpočtovo nekrytý vplyv</w:t>
            </w:r>
            <w:r w:rsidRPr="004161A1">
              <w:rPr>
                <w:rFonts w:ascii="Times New Roman" w:hAnsi="Times New Roman"/>
                <w:b/>
                <w:bCs/>
              </w:rPr>
              <w:t>/ úspora</w:t>
            </w:r>
            <w:r>
              <w:rPr>
                <w:rFonts w:ascii="Times New Roman" w:hAnsi="Times New Roman"/>
                <w:b/>
                <w:bCs/>
              </w:rPr>
              <w:t>*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4161A1" w:rsidP="001A20A7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2D569C" w:rsidP="001A20A7">
            <w:pPr>
              <w:bidi w:val="0"/>
              <w:spacing w:line="70" w:lineRule="atLeast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1 321 040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4B4D43" w:rsidP="001A20A7">
            <w:pPr>
              <w:bidi w:val="0"/>
              <w:spacing w:line="125" w:lineRule="atLeast"/>
              <w:jc w:val="right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1 472 958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222D8" w:rsidRPr="004B4D43" w:rsidP="001A20A7">
            <w:pPr>
              <w:bidi w:val="0"/>
              <w:spacing w:line="125" w:lineRule="atLeast"/>
              <w:jc w:val="right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1 512 730</w:t>
            </w:r>
          </w:p>
        </w:tc>
      </w:tr>
    </w:tbl>
    <w:p w:rsidR="000E4062" w:rsidP="005007B3">
      <w:pPr>
        <w:bidi w:val="0"/>
        <w:rPr>
          <w:rFonts w:ascii="Times New Roman" w:hAnsi="Times New Roman"/>
        </w:rPr>
      </w:pPr>
    </w:p>
    <w:p w:rsidR="00532FC7" w:rsidP="00532FC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návrhu rozpočtu verejnej správy na ro</w:t>
      </w:r>
      <w:r w:rsidR="006065CE">
        <w:rPr>
          <w:rFonts w:ascii="Times New Roman" w:hAnsi="Times New Roman"/>
        </w:rPr>
        <w:t xml:space="preserve">ky 2014 až 2016 sú zabezpečené </w:t>
      </w:r>
      <w:r>
        <w:rPr>
          <w:rFonts w:ascii="Times New Roman" w:hAnsi="Times New Roman"/>
        </w:rPr>
        <w:t xml:space="preserve">výdavky na spolufinancovanie sociálnych služieb z prostriedkov štátneho rozpočtu v sume 52 000 </w:t>
      </w:r>
      <w:r w:rsidR="00312A4F">
        <w:rPr>
          <w:rFonts w:ascii="Times New Roman" w:hAnsi="Times New Roman"/>
        </w:rPr>
        <w:t>000</w:t>
      </w:r>
      <w:r>
        <w:rPr>
          <w:rFonts w:ascii="Times New Roman" w:hAnsi="Times New Roman"/>
        </w:rPr>
        <w:t xml:space="preserve"> eur. Vzhľadom na to, že v porovnaní s rokom 2013 sa v roku 2014 zvyšuje počet miest v zariadeniach sociálnych služieb o</w:t>
      </w:r>
      <w:r w:rsidR="006065CE">
        <w:rPr>
          <w:rFonts w:ascii="Times New Roman" w:hAnsi="Times New Roman"/>
        </w:rPr>
        <w:t> 3181 (z toho v novozriadených o 2960), MPSVR SR požaduje</w:t>
      </w:r>
      <w:r>
        <w:rPr>
          <w:rFonts w:ascii="Times New Roman" w:hAnsi="Times New Roman"/>
        </w:rPr>
        <w:t xml:space="preserve"> rozpočet</w:t>
      </w:r>
      <w:r w:rsidR="006065CE">
        <w:rPr>
          <w:rFonts w:ascii="Times New Roman" w:hAnsi="Times New Roman"/>
        </w:rPr>
        <w:t xml:space="preserve"> výdavkov kapitoly na rok 2014 zvýšiť o 10 456 760 eur (na rok </w:t>
      </w:r>
      <w:r>
        <w:rPr>
          <w:rFonts w:ascii="Times New Roman" w:hAnsi="Times New Roman"/>
        </w:rPr>
        <w:t>2015 o</w:t>
      </w:r>
      <w:r w:rsidR="00312A4F">
        <w:rPr>
          <w:rFonts w:ascii="Times New Roman" w:hAnsi="Times New Roman"/>
        </w:rPr>
        <w:t> </w:t>
      </w:r>
      <w:r>
        <w:rPr>
          <w:rFonts w:ascii="Times New Roman" w:hAnsi="Times New Roman"/>
        </w:rPr>
        <w:t>19</w:t>
      </w:r>
      <w:r w:rsidR="00312A4F">
        <w:rPr>
          <w:rFonts w:ascii="Times New Roman" w:hAnsi="Times New Roman"/>
        </w:rPr>
        <w:t> 453</w:t>
      </w:r>
      <w:r w:rsidR="006065CE">
        <w:rPr>
          <w:rFonts w:ascii="Times New Roman" w:hAnsi="Times New Roman"/>
        </w:rPr>
        <w:t> </w:t>
      </w:r>
      <w:r w:rsidR="00312A4F">
        <w:rPr>
          <w:rFonts w:ascii="Times New Roman" w:hAnsi="Times New Roman"/>
        </w:rPr>
        <w:t>880</w:t>
      </w:r>
      <w:r w:rsidR="006065C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eur a na rok 2016 o</w:t>
      </w:r>
      <w:r w:rsidR="00312A4F">
        <w:rPr>
          <w:rFonts w:ascii="Times New Roman" w:hAnsi="Times New Roman"/>
        </w:rPr>
        <w:t xml:space="preserve"> 21 608 120 </w:t>
      </w:r>
      <w:r>
        <w:rPr>
          <w:rFonts w:ascii="Times New Roman" w:hAnsi="Times New Roman"/>
        </w:rPr>
        <w:t>eur). Vyčíslené zvýšenie výdavkov však nevyplýva z predkladanej novely zákona o sociálnych službách.</w:t>
      </w:r>
    </w:p>
    <w:p w:rsidR="00532FC7" w:rsidP="00532FC7">
      <w:pPr>
        <w:bidi w:val="0"/>
        <w:rPr>
          <w:rFonts w:ascii="Times New Roman" w:hAnsi="Times New Roman"/>
        </w:rPr>
      </w:pPr>
    </w:p>
    <w:p w:rsidR="001F0EB6" w:rsidRPr="006F6A99" w:rsidP="005007B3">
      <w:pPr>
        <w:bidi w:val="0"/>
        <w:rPr>
          <w:rFonts w:ascii="Times New Roman" w:hAnsi="Times New Roman"/>
          <w:b/>
          <w:bCs/>
        </w:rPr>
      </w:pPr>
    </w:p>
    <w:p w:rsidR="005007B3" w:rsidP="005007B3">
      <w:pPr>
        <w:bidi w:val="0"/>
        <w:rPr>
          <w:rFonts w:ascii="Times New Roman" w:hAnsi="Times New Roman"/>
          <w:b/>
          <w:bCs/>
        </w:rPr>
      </w:pPr>
      <w:r w:rsidRPr="006F6A99">
        <w:rPr>
          <w:rFonts w:ascii="Times New Roman" w:hAnsi="Times New Roman"/>
          <w:b/>
          <w:bCs/>
        </w:rPr>
        <w:t>Návrh na riešenie úbytku príjmov alebo zvýšených výdavkov podľa § 33 ods. 1 zákona č. 523/2004 Z. z. o rozpočtových pravidlách verejnej správy:</w:t>
      </w:r>
    </w:p>
    <w:p w:rsidR="005007B3" w:rsidRPr="006F6A99" w:rsidP="005007B3">
      <w:pPr>
        <w:bidi w:val="0"/>
        <w:rPr>
          <w:rFonts w:ascii="Times New Roman" w:hAnsi="Times New Roman"/>
          <w:b/>
          <w:bCs/>
        </w:rPr>
      </w:pPr>
    </w:p>
    <w:p w:rsidR="005007B3" w:rsidP="005007B3">
      <w:pPr>
        <w:bidi w:val="0"/>
        <w:jc w:val="both"/>
        <w:rPr>
          <w:rFonts w:ascii="Times New Roman" w:hAnsi="Times New Roman"/>
        </w:rPr>
      </w:pPr>
    </w:p>
    <w:p w:rsidR="005007B3" w:rsidRPr="00490E1E" w:rsidP="005007B3">
      <w:pPr>
        <w:pBdr>
          <w:top w:val="single" w:sz="4" w:space="1" w:color="auto"/>
          <w:left w:val="single" w:sz="4" w:space="4" w:color="auto"/>
          <w:right w:val="single" w:sz="4" w:space="4" w:color="auto"/>
        </w:pBdr>
        <w:bidi w:val="0"/>
        <w:ind w:firstLine="709"/>
        <w:jc w:val="both"/>
        <w:rPr>
          <w:rFonts w:ascii="Times New Roman" w:hAnsi="Times New Roman"/>
          <w:sz w:val="10"/>
          <w:szCs w:val="10"/>
        </w:rPr>
      </w:pPr>
    </w:p>
    <w:p w:rsidR="005007B3" w:rsidRPr="00B92A97" w:rsidP="006065CE">
      <w:pPr>
        <w:pBdr>
          <w:top w:val="single" w:sz="4" w:space="1" w:color="auto"/>
          <w:left w:val="single" w:sz="4" w:space="4" w:color="auto"/>
          <w:right w:val="single" w:sz="4" w:space="4" w:color="auto"/>
        </w:pBdr>
        <w:bidi w:val="0"/>
        <w:jc w:val="both"/>
        <w:rPr>
          <w:rFonts w:ascii="Times New Roman" w:hAnsi="Times New Roman"/>
          <w:sz w:val="10"/>
          <w:szCs w:val="10"/>
        </w:rPr>
      </w:pPr>
    </w:p>
    <w:p w:rsidR="005007B3" w:rsidP="006065CE">
      <w:pPr>
        <w:pBdr>
          <w:left w:val="single" w:sz="4" w:space="4" w:color="auto"/>
          <w:bottom w:val="single" w:sz="4" w:space="1" w:color="auto"/>
          <w:right w:val="single" w:sz="4" w:space="4" w:color="auto"/>
        </w:pBd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Zo štátneho rozpočtu bude naďalej poskytovaný finančný príspevok pre zariadenia sociálnych služieb zriadené alebo založené obcou a pre vybrané druhy sociálnych služieb v pôsobnosti obcí - na lokálnej úrovni, poskytované neverejnými poskytovateľmi. </w:t>
      </w:r>
    </w:p>
    <w:p w:rsidR="005007B3" w:rsidRPr="00B92A97" w:rsidP="005007B3">
      <w:pPr>
        <w:pBdr>
          <w:left w:val="single" w:sz="4" w:space="4" w:color="auto"/>
          <w:bottom w:val="single" w:sz="4" w:space="1" w:color="auto"/>
          <w:right w:val="single" w:sz="4" w:space="4" w:color="auto"/>
        </w:pBdr>
        <w:bidi w:val="0"/>
        <w:jc w:val="both"/>
        <w:rPr>
          <w:rFonts w:ascii="Times New Roman" w:hAnsi="Times New Roman"/>
          <w:sz w:val="10"/>
          <w:szCs w:val="10"/>
        </w:rPr>
      </w:pPr>
    </w:p>
    <w:p w:rsidR="002F3D7D" w:rsidP="006065CE">
      <w:pPr>
        <w:bidi w:val="0"/>
        <w:ind w:firstLine="708"/>
        <w:jc w:val="both"/>
        <w:rPr>
          <w:rFonts w:ascii="Times New Roman" w:hAnsi="Times New Roman"/>
        </w:rPr>
      </w:pPr>
    </w:p>
    <w:p w:rsidR="00B20F59" w:rsidP="002F3D7D">
      <w:pPr>
        <w:bidi w:val="0"/>
        <w:jc w:val="both"/>
        <w:rPr>
          <w:rFonts w:ascii="Times New Roman" w:hAnsi="Times New Roman"/>
        </w:rPr>
      </w:pPr>
    </w:p>
    <w:p w:rsidR="00532FC7" w:rsidP="002F3D7D">
      <w:pPr>
        <w:bidi w:val="0"/>
        <w:jc w:val="both"/>
        <w:rPr>
          <w:rFonts w:ascii="Times New Roman" w:hAnsi="Times New Roman"/>
        </w:rPr>
      </w:pPr>
      <w:r w:rsidR="005007B3">
        <w:rPr>
          <w:rFonts w:ascii="Times New Roman" w:hAnsi="Times New Roman"/>
        </w:rPr>
        <w:t xml:space="preserve">Celkový vplyv na výdavkovú časť  štátneho rozpočtu na rok 2014 na financovanie sociálnych služieb na  lokálnej úrovni predstavuje  </w:t>
      </w:r>
      <w:r w:rsidR="003F4641">
        <w:rPr>
          <w:rFonts w:ascii="Times New Roman" w:hAnsi="Times New Roman"/>
        </w:rPr>
        <w:t>62 456 760 eur</w:t>
      </w:r>
      <w:r w:rsidRPr="009F6F46" w:rsidR="005007B3">
        <w:rPr>
          <w:rFonts w:ascii="Times New Roman" w:hAnsi="Times New Roman"/>
          <w:b/>
        </w:rPr>
        <w:t xml:space="preserve">, </w:t>
      </w:r>
      <w:r w:rsidR="002F3D7D">
        <w:rPr>
          <w:rFonts w:ascii="Times New Roman" w:hAnsi="Times New Roman"/>
        </w:rPr>
        <w:t xml:space="preserve">na rok 2015 </w:t>
      </w:r>
      <w:r w:rsidRPr="009F6F46" w:rsidR="005007B3">
        <w:rPr>
          <w:rFonts w:ascii="Times New Roman" w:hAnsi="Times New Roman"/>
        </w:rPr>
        <w:t xml:space="preserve">je predpokladaný </w:t>
      </w:r>
      <w:r w:rsidR="005007B3">
        <w:rPr>
          <w:rFonts w:ascii="Times New Roman" w:hAnsi="Times New Roman"/>
        </w:rPr>
        <w:t xml:space="preserve">vplyv na výdavkovú časť </w:t>
      </w:r>
      <w:r w:rsidRPr="009F6F46" w:rsidR="005007B3">
        <w:rPr>
          <w:rFonts w:ascii="Times New Roman" w:hAnsi="Times New Roman"/>
        </w:rPr>
        <w:t>štátn</w:t>
      </w:r>
      <w:r w:rsidR="005007B3">
        <w:rPr>
          <w:rFonts w:ascii="Times New Roman" w:hAnsi="Times New Roman"/>
        </w:rPr>
        <w:t>eho</w:t>
      </w:r>
      <w:r w:rsidRPr="009F6F46" w:rsidR="005007B3">
        <w:rPr>
          <w:rFonts w:ascii="Times New Roman" w:hAnsi="Times New Roman"/>
        </w:rPr>
        <w:t xml:space="preserve"> rozpoč</w:t>
      </w:r>
      <w:r w:rsidR="005007B3">
        <w:rPr>
          <w:rFonts w:ascii="Times New Roman" w:hAnsi="Times New Roman"/>
        </w:rPr>
        <w:t>tu</w:t>
      </w:r>
      <w:r w:rsidRPr="009F6F46" w:rsidR="005007B3">
        <w:rPr>
          <w:rFonts w:ascii="Times New Roman" w:hAnsi="Times New Roman"/>
        </w:rPr>
        <w:t xml:space="preserve"> </w:t>
      </w:r>
      <w:r w:rsidR="003F4641">
        <w:rPr>
          <w:rFonts w:ascii="Times New Roman" w:hAnsi="Times New Roman"/>
        </w:rPr>
        <w:t>71 453 880 eur</w:t>
      </w:r>
      <w:r w:rsidRPr="009F6F46" w:rsidR="005007B3">
        <w:rPr>
          <w:rFonts w:ascii="Times New Roman" w:hAnsi="Times New Roman"/>
        </w:rPr>
        <w:t xml:space="preserve">  a na rok 2016  </w:t>
      </w:r>
      <w:r w:rsidR="00E40B32">
        <w:rPr>
          <w:rFonts w:ascii="Times New Roman" w:hAnsi="Times New Roman"/>
        </w:rPr>
        <w:t>je to 73 608 120 eur.</w:t>
      </w:r>
      <w:r w:rsidR="006065CE">
        <w:rPr>
          <w:rFonts w:ascii="Times New Roman" w:hAnsi="Times New Roman"/>
          <w:b/>
        </w:rPr>
        <w:t xml:space="preserve"> </w:t>
      </w:r>
      <w:r w:rsidRPr="009F6F46" w:rsidR="005007B3">
        <w:rPr>
          <w:rFonts w:ascii="Times New Roman" w:hAnsi="Times New Roman"/>
        </w:rPr>
        <w:t>V</w:t>
      </w:r>
      <w:r w:rsidR="005007B3">
        <w:rPr>
          <w:rFonts w:ascii="Times New Roman" w:hAnsi="Times New Roman"/>
        </w:rPr>
        <w:t xml:space="preserve"> sumách</w:t>
      </w:r>
      <w:r w:rsidRPr="009F6F46" w:rsidR="005007B3">
        <w:rPr>
          <w:rFonts w:ascii="Times New Roman" w:hAnsi="Times New Roman"/>
        </w:rPr>
        <w:t xml:space="preserve"> </w:t>
      </w:r>
      <w:r w:rsidR="006065CE">
        <w:rPr>
          <w:rFonts w:ascii="Times New Roman" w:hAnsi="Times New Roman"/>
        </w:rPr>
        <w:t xml:space="preserve">na roky 2015 a 2016 </w:t>
      </w:r>
      <w:r w:rsidRPr="009F6F46" w:rsidR="005007B3">
        <w:rPr>
          <w:rFonts w:ascii="Times New Roman" w:hAnsi="Times New Roman"/>
        </w:rPr>
        <w:t>sú zahrnuté aj predpokladané výdavky z dôvodu navýšenia kapacity zariadení sociálnych služieb na lokálnej úrovni z dôvodu začatia poskytovania sociálnych služieb v novootvorených zariadeniach, ktoré b</w:t>
      </w:r>
      <w:r w:rsidR="005007B3">
        <w:rPr>
          <w:rFonts w:ascii="Times New Roman" w:hAnsi="Times New Roman"/>
        </w:rPr>
        <w:t>udú</w:t>
      </w:r>
      <w:r w:rsidRPr="009F6F46" w:rsidR="005007B3">
        <w:rPr>
          <w:rFonts w:ascii="Times New Roman" w:hAnsi="Times New Roman"/>
        </w:rPr>
        <w:t xml:space="preserve"> vybudovan</w:t>
      </w:r>
      <w:r w:rsidR="005007B3">
        <w:rPr>
          <w:rFonts w:ascii="Times New Roman" w:hAnsi="Times New Roman"/>
        </w:rPr>
        <w:t xml:space="preserve">é a ukončené </w:t>
      </w:r>
      <w:r w:rsidRPr="009F6F46" w:rsidR="005007B3">
        <w:rPr>
          <w:rFonts w:ascii="Times New Roman" w:hAnsi="Times New Roman"/>
        </w:rPr>
        <w:t>z finančných prostriedkov Regionálneho operačného programu</w:t>
      </w:r>
      <w:r w:rsidR="005007B3">
        <w:rPr>
          <w:rFonts w:ascii="Times New Roman" w:hAnsi="Times New Roman"/>
        </w:rPr>
        <w:t xml:space="preserve">, 2.1c - 2010/02 – Budovanie nových zariadení sociálnych služieb, </w:t>
      </w:r>
      <w:r w:rsidRPr="009F6F46" w:rsidR="005007B3">
        <w:rPr>
          <w:rFonts w:ascii="Times New Roman" w:hAnsi="Times New Roman"/>
        </w:rPr>
        <w:t>ako aj z vlastných zdrojov obcí, miest a</w:t>
      </w:r>
      <w:r w:rsidR="006B06AE">
        <w:rPr>
          <w:rFonts w:ascii="Times New Roman" w:hAnsi="Times New Roman"/>
        </w:rPr>
        <w:t xml:space="preserve"> vybraných </w:t>
      </w:r>
      <w:r w:rsidRPr="009F6F46" w:rsidR="005007B3">
        <w:rPr>
          <w:rFonts w:ascii="Times New Roman" w:hAnsi="Times New Roman"/>
        </w:rPr>
        <w:t>neverejných poskytovateľov</w:t>
      </w:r>
      <w:r w:rsidR="005007B3">
        <w:rPr>
          <w:rFonts w:ascii="Times New Roman" w:hAnsi="Times New Roman"/>
        </w:rPr>
        <w:t xml:space="preserve"> v rokoch 2014 až 2016. </w:t>
      </w:r>
      <w:r>
        <w:rPr>
          <w:rFonts w:ascii="Times New Roman" w:hAnsi="Times New Roman"/>
        </w:rPr>
        <w:t>Vyčíslené zvýšenie výdavkov však nevyplýva z predkladanej novely zákona o sociálnych službách.</w:t>
      </w:r>
    </w:p>
    <w:p w:rsidR="005007B3" w:rsidP="005007B3">
      <w:pPr>
        <w:pBdr>
          <w:left w:val="single" w:sz="4" w:space="4" w:color="auto"/>
          <w:bottom w:val="single" w:sz="4" w:space="1" w:color="auto"/>
          <w:right w:val="single" w:sz="4" w:space="4" w:color="auto"/>
        </w:pBdr>
        <w:bidi w:val="0"/>
        <w:ind w:firstLine="709"/>
        <w:jc w:val="both"/>
        <w:rPr>
          <w:rFonts w:ascii="Times New Roman" w:hAnsi="Times New Roman"/>
        </w:rPr>
      </w:pPr>
    </w:p>
    <w:p w:rsidR="005007B3" w:rsidRPr="00B92A97" w:rsidP="005007B3">
      <w:pPr>
        <w:pBdr>
          <w:left w:val="single" w:sz="4" w:space="4" w:color="auto"/>
          <w:bottom w:val="single" w:sz="4" w:space="1" w:color="auto"/>
          <w:right w:val="single" w:sz="4" w:space="4" w:color="auto"/>
        </w:pBdr>
        <w:bidi w:val="0"/>
        <w:ind w:firstLine="709"/>
        <w:jc w:val="both"/>
        <w:rPr>
          <w:rFonts w:ascii="Times New Roman" w:hAnsi="Times New Roman"/>
          <w:sz w:val="10"/>
          <w:szCs w:val="10"/>
        </w:rPr>
      </w:pPr>
    </w:p>
    <w:p w:rsidR="005007B3" w:rsidRPr="00B13391" w:rsidP="002F3D7D">
      <w:pPr>
        <w:pBdr>
          <w:left w:val="single" w:sz="4" w:space="4" w:color="auto"/>
          <w:bottom w:val="single" w:sz="4" w:space="1" w:color="auto"/>
          <w:right w:val="single" w:sz="4" w:space="4" w:color="auto"/>
        </w:pBd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 dôvodu zvýšenia ochrany príjmu klientov pred neprimeranou úhradou sa navrhuje zvýšiť  zostatok z príjmu po zaplatení úhrady za sociálnu službu - percentuálne sumy životného minima a násobky sumy životného minima v závislosti od druhu sociálnej služby a formy pobytu. Navrhovaná zmena sa premietne do vplyvov na  rozpočty obcí a vyšších územných celkov, a to v predpokladanom znížení príjmovej časti z platenia úhrady za sociálnu službu. Predpokladaný celkový vplyv na rozpočty obcí v roku 2014 je v znížení príjmov vo výške  </w:t>
      </w:r>
      <w:r w:rsidRPr="00F423FE" w:rsidR="00F423FE">
        <w:rPr>
          <w:rFonts w:ascii="Times New Roman" w:hAnsi="Times New Roman"/>
          <w:b/>
        </w:rPr>
        <w:t>405 752</w:t>
      </w:r>
      <w:r w:rsidR="00A62F46">
        <w:rPr>
          <w:rFonts w:ascii="Times New Roman" w:hAnsi="Times New Roman"/>
          <w:b/>
        </w:rPr>
        <w:t xml:space="preserve"> eur</w:t>
      </w:r>
      <w:r>
        <w:rPr>
          <w:rFonts w:ascii="Times New Roman" w:hAnsi="Times New Roman"/>
        </w:rPr>
        <w:t xml:space="preserve"> a týka sa cca  </w:t>
      </w:r>
      <w:r w:rsidR="00ED69ED">
        <w:rPr>
          <w:rFonts w:ascii="Times New Roman" w:hAnsi="Times New Roman"/>
        </w:rPr>
        <w:t xml:space="preserve">4 698 </w:t>
      </w:r>
      <w:r>
        <w:rPr>
          <w:rFonts w:ascii="Times New Roman" w:hAnsi="Times New Roman"/>
        </w:rPr>
        <w:t xml:space="preserve">klientov sociálnych služieb. Predpokladaný celkový vplyv na rozpočty vyšších územných celkom v roku 2014  je v znížení príjmov z platenia úhrady za sociálnu službu vo výške  </w:t>
      </w:r>
      <w:r w:rsidRPr="00F423FE" w:rsidR="00F423FE">
        <w:rPr>
          <w:rFonts w:ascii="Times New Roman" w:hAnsi="Times New Roman"/>
          <w:b/>
        </w:rPr>
        <w:t>915 288</w:t>
      </w:r>
      <w:r w:rsidRPr="00D8017D">
        <w:rPr>
          <w:rFonts w:ascii="Times New Roman" w:hAnsi="Times New Roman"/>
          <w:b/>
        </w:rPr>
        <w:t xml:space="preserve"> </w:t>
      </w:r>
      <w:r w:rsidR="00A62F46">
        <w:rPr>
          <w:rFonts w:ascii="Times New Roman" w:hAnsi="Times New Roman"/>
          <w:b/>
        </w:rPr>
        <w:t>eur</w:t>
      </w:r>
      <w:r>
        <w:rPr>
          <w:rFonts w:ascii="Times New Roman" w:hAnsi="Times New Roman"/>
        </w:rPr>
        <w:t xml:space="preserve"> a týka sa cca 11 976 klientov sociálnych služieb. Pri tomto vplyve na príjmovú časť rozpočtov obcí a vyšších územných celkov nie je zohľadnená úspešnosť vymáhania pohľadávok nezaplatenej úhrady alebo jej časti od povinných osôb, a to pri zmene ich príjmových a majetkových pomerov. Navrhovaná právna úprava zvýšenia zostatkov z príjmu po zaplatení úhrady za sociálnu službu totiž nič nemení na právnej skutočnosti, že nezaplatená úhrada alebo jej časť (po uplatnení právnej ochrany zostatku z príjmu po zaplatení úhrady) je pohľadávka, ktorá sa vymáha priebežne pri zmene príjmových a majetkových pomerov platiteľa úhrady, najneskôr v dedičskom konaní.</w:t>
      </w:r>
      <w:r w:rsidR="00A62F46">
        <w:rPr>
          <w:rFonts w:ascii="Times New Roman" w:hAnsi="Times New Roman"/>
        </w:rPr>
        <w:t xml:space="preserve"> </w:t>
      </w:r>
      <w:r w:rsidRPr="00B13391" w:rsidR="00E43956">
        <w:rPr>
          <w:rFonts w:ascii="Times New Roman" w:hAnsi="Times New Roman"/>
        </w:rPr>
        <w:t>M</w:t>
      </w:r>
      <w:r w:rsidRPr="00B13391" w:rsidR="00A62F46">
        <w:rPr>
          <w:rFonts w:ascii="Times New Roman" w:hAnsi="Times New Roman"/>
        </w:rPr>
        <w:t>aximalistický výpočet dopadu z titulu ochrany príjmu</w:t>
      </w:r>
      <w:r w:rsidRPr="00B13391" w:rsidR="00E43956">
        <w:rPr>
          <w:rFonts w:ascii="Times New Roman" w:hAnsi="Times New Roman"/>
        </w:rPr>
        <w:t xml:space="preserve"> na rok 2014 pre obce je 811 504 eur a pre vyššie územné celky 1 830 577 eur</w:t>
      </w:r>
      <w:r w:rsidR="003B0BCE">
        <w:rPr>
          <w:rFonts w:ascii="Times New Roman" w:hAnsi="Times New Roman"/>
        </w:rPr>
        <w:t xml:space="preserve"> Maximalistický dopad bol zreálnený na základe viacerých faktorov (spoločne posudzované osoby, povinnosť vymáhať nezaplatenú úhradu alebo jej časť od zaopatrených plnoletých detí a rodičov, ) z týchto dôvodov je </w:t>
      </w:r>
      <w:r w:rsidR="006065CE">
        <w:rPr>
          <w:rFonts w:ascii="Times New Roman" w:hAnsi="Times New Roman"/>
        </w:rPr>
        <w:t xml:space="preserve">predpokladaná suma dopadu vo výške </w:t>
      </w:r>
      <w:r w:rsidR="003B0BCE">
        <w:rPr>
          <w:rFonts w:ascii="Times New Roman" w:hAnsi="Times New Roman"/>
        </w:rPr>
        <w:t xml:space="preserve">405 752 </w:t>
      </w:r>
      <w:r w:rsidR="006065CE">
        <w:rPr>
          <w:rFonts w:ascii="Times New Roman" w:hAnsi="Times New Roman"/>
        </w:rPr>
        <w:t>eur pre rozpočet obcí</w:t>
      </w:r>
      <w:r w:rsidR="003B0BCE">
        <w:rPr>
          <w:rFonts w:ascii="Times New Roman" w:hAnsi="Times New Roman"/>
        </w:rPr>
        <w:t xml:space="preserve"> a 915</w:t>
      </w:r>
      <w:r w:rsidR="006065CE">
        <w:rPr>
          <w:rFonts w:ascii="Times New Roman" w:hAnsi="Times New Roman"/>
        </w:rPr>
        <w:t> </w:t>
      </w:r>
      <w:r w:rsidR="003B0BCE">
        <w:rPr>
          <w:rFonts w:ascii="Times New Roman" w:hAnsi="Times New Roman"/>
        </w:rPr>
        <w:t>288</w:t>
      </w:r>
      <w:r w:rsidR="006065CE">
        <w:rPr>
          <w:rFonts w:ascii="Times New Roman" w:hAnsi="Times New Roman"/>
        </w:rPr>
        <w:t xml:space="preserve"> eur</w:t>
      </w:r>
      <w:r w:rsidR="003B0BCE">
        <w:rPr>
          <w:rFonts w:ascii="Times New Roman" w:hAnsi="Times New Roman"/>
        </w:rPr>
        <w:t xml:space="preserve"> pre rozpočt</w:t>
      </w:r>
      <w:r w:rsidR="006065CE">
        <w:rPr>
          <w:rFonts w:ascii="Times New Roman" w:hAnsi="Times New Roman"/>
        </w:rPr>
        <w:t>y vyšších</w:t>
      </w:r>
      <w:r w:rsidR="003B0BCE">
        <w:rPr>
          <w:rFonts w:ascii="Times New Roman" w:hAnsi="Times New Roman"/>
        </w:rPr>
        <w:t xml:space="preserve">  územn</w:t>
      </w:r>
      <w:r w:rsidR="006065CE">
        <w:rPr>
          <w:rFonts w:ascii="Times New Roman" w:hAnsi="Times New Roman"/>
        </w:rPr>
        <w:t xml:space="preserve">ých </w:t>
      </w:r>
      <w:r w:rsidR="003B0BCE">
        <w:rPr>
          <w:rFonts w:ascii="Times New Roman" w:hAnsi="Times New Roman"/>
        </w:rPr>
        <w:t>celk</w:t>
      </w:r>
      <w:r w:rsidR="006065CE">
        <w:rPr>
          <w:rFonts w:ascii="Times New Roman" w:hAnsi="Times New Roman"/>
        </w:rPr>
        <w:t>ov</w:t>
      </w:r>
      <w:r w:rsidR="003B0BCE">
        <w:rPr>
          <w:rFonts w:ascii="Times New Roman" w:hAnsi="Times New Roman"/>
        </w:rPr>
        <w:t xml:space="preserve">.  </w:t>
      </w:r>
    </w:p>
    <w:p w:rsidR="00E43956" w:rsidRPr="00B92A97" w:rsidP="005007B3">
      <w:pPr>
        <w:pBdr>
          <w:left w:val="single" w:sz="4" w:space="4" w:color="auto"/>
          <w:bottom w:val="single" w:sz="4" w:space="1" w:color="auto"/>
          <w:right w:val="single" w:sz="4" w:space="4" w:color="auto"/>
        </w:pBdr>
        <w:bidi w:val="0"/>
        <w:ind w:firstLine="709"/>
        <w:jc w:val="both"/>
        <w:rPr>
          <w:rFonts w:ascii="Times New Roman" w:hAnsi="Times New Roman"/>
          <w:sz w:val="10"/>
          <w:szCs w:val="10"/>
        </w:rPr>
      </w:pPr>
    </w:p>
    <w:p w:rsidR="0063453F" w:rsidRPr="00E43956" w:rsidP="002F3D7D">
      <w:pPr>
        <w:pBdr>
          <w:left w:val="single" w:sz="4" w:space="4" w:color="auto"/>
          <w:bottom w:val="single" w:sz="4" w:space="1" w:color="auto"/>
          <w:right w:val="single" w:sz="4" w:space="4" w:color="auto"/>
        </w:pBdr>
        <w:bidi w:val="0"/>
        <w:jc w:val="both"/>
        <w:rPr>
          <w:rFonts w:ascii="Times New Roman" w:hAnsi="Times New Roman"/>
        </w:rPr>
      </w:pPr>
      <w:r w:rsidR="005007B3">
        <w:rPr>
          <w:rFonts w:ascii="Times New Roman" w:hAnsi="Times New Roman"/>
        </w:rPr>
        <w:t xml:space="preserve">V  roku 2013 bolo vynaložených na poskytovanie finančného príspevku pre zariadenia sociálnych služieb zriadených alebo založených obcami a pre vybrané druhy sociálnych služieb poskytovaných neverejnými poskytovateľmi na lokálnej úrovni zo štátneho rozpočtu z kapitoly Ministerstva práce, sociálnych vecí a rodiny SR celkovo 51 796 674 </w:t>
      </w:r>
      <w:r w:rsidR="00245288">
        <w:rPr>
          <w:rFonts w:ascii="Times New Roman" w:hAnsi="Times New Roman"/>
        </w:rPr>
        <w:t>eur</w:t>
      </w:r>
      <w:r w:rsidR="005007B3">
        <w:rPr>
          <w:rFonts w:ascii="Times New Roman" w:hAnsi="Times New Roman"/>
        </w:rPr>
        <w:t xml:space="preserve">, z toho pre obecné zariadenia sociálnych služieb 36 690 936 </w:t>
      </w:r>
      <w:r w:rsidR="00245288">
        <w:rPr>
          <w:rFonts w:ascii="Times New Roman" w:hAnsi="Times New Roman"/>
        </w:rPr>
        <w:t>eur</w:t>
      </w:r>
      <w:r w:rsidR="005007B3">
        <w:rPr>
          <w:rFonts w:ascii="Times New Roman" w:hAnsi="Times New Roman"/>
        </w:rPr>
        <w:t xml:space="preserve"> a pre neverejných poskytovateľov 15 105 738 </w:t>
      </w:r>
      <w:r w:rsidR="00245288">
        <w:rPr>
          <w:rFonts w:ascii="Times New Roman" w:hAnsi="Times New Roman"/>
        </w:rPr>
        <w:t>eur</w:t>
      </w:r>
      <w:r w:rsidR="005007B3">
        <w:rPr>
          <w:rFonts w:ascii="Times New Roman" w:hAnsi="Times New Roman"/>
        </w:rPr>
        <w:t xml:space="preserve">. Ministerstvo práce, sociálnych vecí a rodiny SR uplatnilo na tieto účely  finančnej podpory poskytovania sociálnych služieb v návrhu rozpočtu na rok 2014 sumu </w:t>
      </w:r>
      <w:r w:rsidRPr="00E43956" w:rsidR="005007B3">
        <w:rPr>
          <w:rFonts w:ascii="Times New Roman" w:hAnsi="Times New Roman"/>
        </w:rPr>
        <w:t>5</w:t>
      </w:r>
      <w:r w:rsidRPr="00E43956" w:rsidR="00E43956">
        <w:rPr>
          <w:rFonts w:ascii="Times New Roman" w:hAnsi="Times New Roman"/>
        </w:rPr>
        <w:t>2</w:t>
      </w:r>
      <w:r w:rsidRPr="00E43956">
        <w:rPr>
          <w:rFonts w:ascii="Times New Roman" w:hAnsi="Times New Roman"/>
        </w:rPr>
        <w:t> 000 000</w:t>
      </w:r>
      <w:r w:rsidRPr="00E43956" w:rsidR="005007B3">
        <w:rPr>
          <w:rFonts w:ascii="Times New Roman" w:hAnsi="Times New Roman"/>
        </w:rPr>
        <w:t xml:space="preserve"> </w:t>
      </w:r>
      <w:r w:rsidRPr="00E43956" w:rsidR="00245288">
        <w:rPr>
          <w:rFonts w:ascii="Times New Roman" w:hAnsi="Times New Roman"/>
        </w:rPr>
        <w:t>eur</w:t>
      </w:r>
      <w:r w:rsidRPr="00E43956" w:rsidR="005007B3">
        <w:rPr>
          <w:rFonts w:ascii="Times New Roman" w:hAnsi="Times New Roman"/>
        </w:rPr>
        <w:t xml:space="preserve">. </w:t>
      </w:r>
      <w:r w:rsidRPr="00E43956">
        <w:rPr>
          <w:rFonts w:ascii="Times New Roman" w:hAnsi="Times New Roman"/>
        </w:rPr>
        <w:t xml:space="preserve">Vzhľadom na novootvorené kapacity zariadení sociálnych služieb v roku 2014 (lokálna úroveň), ktoré boli vytvorené a vybudované najmä zo štrukturálnych fondov EÚ, predpokladáme, že suma vo výške </w:t>
      </w:r>
      <w:r w:rsidRPr="00E43956" w:rsidR="00E43956">
        <w:rPr>
          <w:rFonts w:ascii="Times New Roman" w:hAnsi="Times New Roman"/>
          <w:b/>
        </w:rPr>
        <w:t>10 456 760</w:t>
      </w:r>
      <w:r w:rsidRPr="00E43956">
        <w:rPr>
          <w:rFonts w:ascii="Times New Roman" w:hAnsi="Times New Roman"/>
          <w:b/>
        </w:rPr>
        <w:t xml:space="preserve"> eur</w:t>
      </w:r>
      <w:r w:rsidRPr="00E43956">
        <w:rPr>
          <w:rFonts w:ascii="Times New Roman" w:hAnsi="Times New Roman"/>
        </w:rPr>
        <w:t xml:space="preserve"> nie je pokrytá v štátnom rozpočte. Podotýkame, že ide o obligatórne financovanie podľa súčasne platného právneho stavu a nie o dopady z titulu návrhu novely zákona o sociálnych službách.</w:t>
      </w:r>
    </w:p>
    <w:p w:rsidR="005007B3" w:rsidP="0063453F">
      <w:pPr>
        <w:pBdr>
          <w:left w:val="single" w:sz="4" w:space="4" w:color="auto"/>
          <w:bottom w:val="single" w:sz="4" w:space="1" w:color="auto"/>
          <w:right w:val="single" w:sz="4" w:space="4" w:color="auto"/>
        </w:pBdr>
        <w:bidi w:val="0"/>
        <w:jc w:val="both"/>
        <w:rPr>
          <w:rFonts w:ascii="Times New Roman" w:hAnsi="Times New Roman"/>
        </w:rPr>
      </w:pPr>
    </w:p>
    <w:p w:rsidR="005007B3" w:rsidRPr="00477B7F" w:rsidP="005007B3">
      <w:pPr>
        <w:bidi w:val="0"/>
        <w:jc w:val="both"/>
        <w:rPr>
          <w:rFonts w:ascii="Times New Roman" w:hAnsi="Times New Roman"/>
        </w:rPr>
      </w:pPr>
    </w:p>
    <w:p w:rsidR="005007B3" w:rsidRPr="006F6A99" w:rsidP="005007B3">
      <w:pPr>
        <w:bidi w:val="0"/>
        <w:rPr>
          <w:rFonts w:ascii="Times New Roman" w:hAnsi="Times New Roman"/>
          <w:b/>
          <w:bCs/>
        </w:rPr>
      </w:pPr>
    </w:p>
    <w:p w:rsidR="005007B3" w:rsidRPr="006F6A99" w:rsidP="005007B3">
      <w:pPr>
        <w:bidi w:val="0"/>
        <w:rPr>
          <w:rFonts w:ascii="Times New Roman" w:hAnsi="Times New Roman"/>
          <w:b/>
          <w:bCs/>
        </w:rPr>
      </w:pPr>
      <w:r w:rsidRPr="006F6A99">
        <w:rPr>
          <w:rFonts w:ascii="Times New Roman" w:hAnsi="Times New Roman"/>
          <w:b/>
          <w:bCs/>
        </w:rPr>
        <w:t>2.3. Popis a charakteristika návrhu</w:t>
      </w:r>
    </w:p>
    <w:p w:rsidR="005007B3" w:rsidRPr="006F6A99" w:rsidP="005007B3">
      <w:pPr>
        <w:bidi w:val="0"/>
        <w:rPr>
          <w:rFonts w:ascii="Times New Roman" w:hAnsi="Times New Roman"/>
        </w:rPr>
      </w:pPr>
    </w:p>
    <w:p w:rsidR="005007B3" w:rsidRPr="006F6A99" w:rsidP="005007B3">
      <w:pPr>
        <w:bidi w:val="0"/>
        <w:jc w:val="both"/>
        <w:rPr>
          <w:rFonts w:ascii="Times New Roman" w:hAnsi="Times New Roman"/>
          <w:b/>
          <w:bCs/>
        </w:rPr>
      </w:pPr>
      <w:r w:rsidRPr="006F6A99">
        <w:rPr>
          <w:rFonts w:ascii="Times New Roman" w:hAnsi="Times New Roman"/>
          <w:b/>
          <w:bCs/>
        </w:rPr>
        <w:t>2.3.1. Popis návrhu:</w:t>
      </w:r>
    </w:p>
    <w:p w:rsidR="005007B3" w:rsidRPr="006F6A99" w:rsidP="005007B3">
      <w:pPr>
        <w:bidi w:val="0"/>
        <w:rPr>
          <w:rFonts w:ascii="Times New Roman" w:hAnsi="Times New Roman"/>
        </w:rPr>
      </w:pPr>
    </w:p>
    <w:p w:rsidR="005007B3" w:rsidP="00C0546D">
      <w:pPr>
        <w:pStyle w:val="ListParagraph"/>
        <w:bidi w:val="0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Navrhovaná právna úprava </w:t>
      </w:r>
      <w:r w:rsidR="006065CE">
        <w:rPr>
          <w:rFonts w:ascii="Times New Roman" w:hAnsi="Times New Roman"/>
          <w:sz w:val="24"/>
          <w:szCs w:val="24"/>
        </w:rPr>
        <w:t xml:space="preserve">ustanovuje nové podmienky poskytovania finančných príspevkov zo štátneho rozpočtu. Ide najmä o štvrťročné poskytovanie finančných príspevkov, ktoré budú podmienené tým, </w:t>
      </w:r>
      <w:r w:rsidRPr="004D2684">
        <w:rPr>
          <w:rFonts w:ascii="Times New Roman" w:hAnsi="Times New Roman"/>
          <w:sz w:val="24"/>
          <w:szCs w:val="24"/>
        </w:rPr>
        <w:t>či si s</w:t>
      </w:r>
      <w:r>
        <w:rPr>
          <w:rFonts w:ascii="Times New Roman" w:hAnsi="Times New Roman"/>
          <w:sz w:val="24"/>
          <w:szCs w:val="24"/>
        </w:rPr>
        <w:t>ubjekt plní odvodové povinnosti a daňové povinnosti, resp. či sa vzniknuté pohľadávky</w:t>
      </w:r>
      <w:r w:rsidR="00EF6EB3">
        <w:rPr>
          <w:rFonts w:ascii="Times New Roman" w:hAnsi="Times New Roman"/>
          <w:sz w:val="24"/>
          <w:szCs w:val="24"/>
        </w:rPr>
        <w:t xml:space="preserve"> nevymáhajú výkonom rozhodnutia, zmena termínu podávania žiadostí, poskytovanie finančných príspevkov priamo neverejným poskytovateľom, bližšiu špecifikáciu obsahových náležitostí zmluvy.</w:t>
      </w:r>
      <w:r>
        <w:rPr>
          <w:rFonts w:ascii="Times New Roman" w:hAnsi="Times New Roman"/>
          <w:sz w:val="24"/>
          <w:szCs w:val="24"/>
        </w:rPr>
        <w:t xml:space="preserve"> </w:t>
      </w:r>
      <w:r w:rsidR="00EF6EB3">
        <w:rPr>
          <w:rFonts w:ascii="Times New Roman" w:hAnsi="Times New Roman"/>
          <w:sz w:val="24"/>
          <w:szCs w:val="24"/>
        </w:rPr>
        <w:t xml:space="preserve">Dopĺňajú a  upresňujú sa </w:t>
      </w:r>
      <w:r>
        <w:rPr>
          <w:rFonts w:ascii="Times New Roman" w:hAnsi="Times New Roman"/>
          <w:sz w:val="24"/>
          <w:szCs w:val="24"/>
        </w:rPr>
        <w:t xml:space="preserve">ekonomicky </w:t>
      </w:r>
      <w:r w:rsidRPr="004D2684">
        <w:rPr>
          <w:rFonts w:ascii="Times New Roman" w:hAnsi="Times New Roman"/>
          <w:sz w:val="24"/>
          <w:szCs w:val="24"/>
        </w:rPr>
        <w:t>oprávnené náklady</w:t>
      </w:r>
      <w:r>
        <w:rPr>
          <w:rFonts w:ascii="Times New Roman" w:hAnsi="Times New Roman"/>
          <w:sz w:val="24"/>
          <w:szCs w:val="24"/>
        </w:rPr>
        <w:t xml:space="preserve"> na účely regulácie úhrady za sociálnu službu</w:t>
      </w:r>
      <w:r w:rsidRPr="004D2684">
        <w:rPr>
          <w:rFonts w:ascii="Times New Roman" w:hAnsi="Times New Roman"/>
          <w:sz w:val="24"/>
          <w:szCs w:val="24"/>
        </w:rPr>
        <w:t>,  aby bolo jednoznačné, čo je možné započítať do nákladov sociálnej služby</w:t>
      </w:r>
      <w:r>
        <w:rPr>
          <w:rFonts w:ascii="Times New Roman" w:hAnsi="Times New Roman"/>
          <w:sz w:val="24"/>
          <w:szCs w:val="24"/>
        </w:rPr>
        <w:t xml:space="preserve"> na tieto účely. U</w:t>
      </w:r>
      <w:r w:rsidRPr="004D2684">
        <w:rPr>
          <w:rFonts w:ascii="Times New Roman" w:hAnsi="Times New Roman"/>
          <w:sz w:val="24"/>
          <w:szCs w:val="24"/>
        </w:rPr>
        <w:t>prav</w:t>
      </w:r>
      <w:r>
        <w:rPr>
          <w:rFonts w:ascii="Times New Roman" w:hAnsi="Times New Roman"/>
          <w:sz w:val="24"/>
          <w:szCs w:val="24"/>
        </w:rPr>
        <w:t xml:space="preserve">ujú sa </w:t>
      </w:r>
      <w:r w:rsidRPr="004D2684">
        <w:rPr>
          <w:rFonts w:ascii="Times New Roman" w:hAnsi="Times New Roman"/>
          <w:sz w:val="24"/>
          <w:szCs w:val="24"/>
        </w:rPr>
        <w:t>hr</w:t>
      </w:r>
      <w:r>
        <w:rPr>
          <w:rFonts w:ascii="Times New Roman" w:hAnsi="Times New Roman"/>
          <w:sz w:val="24"/>
          <w:szCs w:val="24"/>
        </w:rPr>
        <w:t>ani</w:t>
      </w:r>
      <w:r w:rsidRPr="004D2684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</w:t>
      </w:r>
      <w:r w:rsidRPr="004D2684">
        <w:rPr>
          <w:rFonts w:ascii="Times New Roman" w:hAnsi="Times New Roman"/>
          <w:sz w:val="24"/>
          <w:szCs w:val="24"/>
        </w:rPr>
        <w:t xml:space="preserve"> ochrany príjmu pred neprimeranou úhradou</w:t>
      </w:r>
      <w:r>
        <w:rPr>
          <w:rFonts w:ascii="Times New Roman" w:hAnsi="Times New Roman"/>
          <w:sz w:val="24"/>
          <w:szCs w:val="24"/>
        </w:rPr>
        <w:t xml:space="preserve"> tak, že pri jednotlivých druhoch sociálnej služby, ale aj pri jednotlivých formách sa zvyšuje percento alebo násobok sumy životného minima, ktoré musí </w:t>
      </w:r>
      <w:r w:rsidR="00EE7810">
        <w:rPr>
          <w:rFonts w:ascii="Times New Roman" w:hAnsi="Times New Roman"/>
          <w:sz w:val="24"/>
          <w:szCs w:val="24"/>
        </w:rPr>
        <w:t>prijímateľovi sociálnej služby</w:t>
      </w:r>
      <w:r>
        <w:rPr>
          <w:rFonts w:ascii="Times New Roman" w:hAnsi="Times New Roman"/>
          <w:sz w:val="24"/>
          <w:szCs w:val="24"/>
        </w:rPr>
        <w:t>, resp. iným povinným osobám zostať po zaplatení úhrady. Z</w:t>
      </w:r>
      <w:r w:rsidRPr="004D2684">
        <w:rPr>
          <w:rFonts w:ascii="Times New Roman" w:hAnsi="Times New Roman"/>
          <w:sz w:val="24"/>
          <w:szCs w:val="24"/>
        </w:rPr>
        <w:t>av</w:t>
      </w:r>
      <w:r>
        <w:rPr>
          <w:rFonts w:ascii="Times New Roman" w:hAnsi="Times New Roman"/>
          <w:sz w:val="24"/>
          <w:szCs w:val="24"/>
        </w:rPr>
        <w:t>ádza sa nová systematika</w:t>
      </w:r>
      <w:r w:rsidRPr="004D2684">
        <w:rPr>
          <w:rFonts w:ascii="Times New Roman" w:hAnsi="Times New Roman"/>
          <w:sz w:val="24"/>
          <w:szCs w:val="24"/>
        </w:rPr>
        <w:t xml:space="preserve"> členenia sociálnych služieb, aby zodpovedali požiadavkám praxe (sociálne služby krízovej intervencie, sociálne služby pre rodinu s deťmi, sociálne služby pre osoby so zdravotným postihnutím a seniorov, sociálne služby s použitím telekomunikačných technológií, podporné služby)</w:t>
      </w:r>
      <w:r>
        <w:rPr>
          <w:rFonts w:ascii="Times New Roman" w:hAnsi="Times New Roman"/>
          <w:sz w:val="24"/>
          <w:szCs w:val="24"/>
        </w:rPr>
        <w:t>. Nanovo</w:t>
      </w:r>
      <w:r w:rsidR="00EF6E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sa </w:t>
      </w:r>
      <w:r w:rsidRPr="004D2684">
        <w:rPr>
          <w:rFonts w:ascii="Times New Roman" w:hAnsi="Times New Roman"/>
          <w:sz w:val="24"/>
          <w:szCs w:val="24"/>
        </w:rPr>
        <w:t>rozprac</w:t>
      </w:r>
      <w:r>
        <w:rPr>
          <w:rFonts w:ascii="Times New Roman" w:hAnsi="Times New Roman"/>
          <w:sz w:val="24"/>
          <w:szCs w:val="24"/>
        </w:rPr>
        <w:t>ovávajú</w:t>
      </w:r>
      <w:r w:rsidRPr="004D2684">
        <w:rPr>
          <w:rFonts w:ascii="Times New Roman" w:hAnsi="Times New Roman"/>
          <w:sz w:val="24"/>
          <w:szCs w:val="24"/>
        </w:rPr>
        <w:t xml:space="preserve"> podmienky a</w:t>
      </w:r>
      <w:r>
        <w:rPr>
          <w:rFonts w:ascii="Times New Roman" w:hAnsi="Times New Roman"/>
          <w:sz w:val="24"/>
          <w:szCs w:val="24"/>
        </w:rPr>
        <w:t> činnosti</w:t>
      </w:r>
      <w:r w:rsidRPr="004D26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pri </w:t>
      </w:r>
      <w:r w:rsidRPr="004D2684">
        <w:rPr>
          <w:rFonts w:ascii="Times New Roman" w:hAnsi="Times New Roman"/>
          <w:sz w:val="24"/>
          <w:szCs w:val="24"/>
        </w:rPr>
        <w:t>poskytovan</w:t>
      </w:r>
      <w:r>
        <w:rPr>
          <w:rFonts w:ascii="Times New Roman" w:hAnsi="Times New Roman"/>
          <w:sz w:val="24"/>
          <w:szCs w:val="24"/>
        </w:rPr>
        <w:t>í</w:t>
      </w:r>
      <w:r w:rsidRPr="004D2684">
        <w:rPr>
          <w:rFonts w:ascii="Times New Roman" w:hAnsi="Times New Roman"/>
          <w:sz w:val="24"/>
          <w:szCs w:val="24"/>
        </w:rPr>
        <w:t xml:space="preserve"> služieb krízovej intervencie</w:t>
      </w:r>
      <w:r>
        <w:rPr>
          <w:rFonts w:ascii="Times New Roman" w:hAnsi="Times New Roman"/>
          <w:sz w:val="24"/>
          <w:szCs w:val="24"/>
        </w:rPr>
        <w:t xml:space="preserve">. </w:t>
      </w:r>
      <w:r w:rsidRPr="004D2684">
        <w:rPr>
          <w:rFonts w:ascii="Times New Roman" w:hAnsi="Times New Roman"/>
          <w:sz w:val="24"/>
          <w:szCs w:val="24"/>
        </w:rPr>
        <w:t>Sprís</w:t>
      </w:r>
      <w:r>
        <w:rPr>
          <w:rFonts w:ascii="Times New Roman" w:hAnsi="Times New Roman"/>
          <w:sz w:val="24"/>
          <w:szCs w:val="24"/>
        </w:rPr>
        <w:t>ňujú a dopĺňajú sa</w:t>
      </w:r>
      <w:r w:rsidRPr="004D2684">
        <w:rPr>
          <w:rFonts w:ascii="Times New Roman" w:hAnsi="Times New Roman"/>
          <w:sz w:val="24"/>
          <w:szCs w:val="24"/>
        </w:rPr>
        <w:t xml:space="preserve"> podmien</w:t>
      </w:r>
      <w:r>
        <w:rPr>
          <w:rFonts w:ascii="Times New Roman" w:hAnsi="Times New Roman"/>
          <w:sz w:val="24"/>
          <w:szCs w:val="24"/>
        </w:rPr>
        <w:t>ky</w:t>
      </w:r>
      <w:r w:rsidRPr="004D2684">
        <w:rPr>
          <w:rFonts w:ascii="Times New Roman" w:hAnsi="Times New Roman"/>
          <w:sz w:val="24"/>
          <w:szCs w:val="24"/>
        </w:rPr>
        <w:t xml:space="preserve"> registrácie poskytovateľov (napr. určenie kvalifikačných predpokladov</w:t>
      </w:r>
      <w:r>
        <w:rPr>
          <w:rFonts w:ascii="Times New Roman" w:hAnsi="Times New Roman"/>
          <w:sz w:val="24"/>
          <w:szCs w:val="24"/>
        </w:rPr>
        <w:t xml:space="preserve"> štatutára právnickej osoby a fyzickej osoby, ktorá je poskytovateľom sociálnej služby,</w:t>
      </w:r>
      <w:r w:rsidRPr="004D2684">
        <w:rPr>
          <w:rFonts w:ascii="Times New Roman" w:hAnsi="Times New Roman"/>
          <w:sz w:val="24"/>
          <w:szCs w:val="24"/>
        </w:rPr>
        <w:t xml:space="preserve"> zodpovednej osoby, predkladanie kópií  výročných správ o činnosti </w:t>
      </w:r>
      <w:r>
        <w:rPr>
          <w:rFonts w:ascii="Times New Roman" w:hAnsi="Times New Roman"/>
          <w:sz w:val="24"/>
          <w:szCs w:val="24"/>
        </w:rPr>
        <w:t xml:space="preserve"> a hospodárení poskytovateľa sociálnej služby</w:t>
      </w:r>
      <w:r w:rsidRPr="004D2684"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s cieľom, </w:t>
      </w:r>
      <w:r w:rsidRPr="004D2684">
        <w:rPr>
          <w:rFonts w:ascii="Times New Roman" w:hAnsi="Times New Roman"/>
          <w:sz w:val="24"/>
          <w:szCs w:val="24"/>
        </w:rPr>
        <w:t xml:space="preserve"> aby </w:t>
      </w:r>
      <w:r>
        <w:rPr>
          <w:rFonts w:ascii="Times New Roman" w:hAnsi="Times New Roman"/>
          <w:sz w:val="24"/>
          <w:szCs w:val="24"/>
        </w:rPr>
        <w:t>bola zabezpečená ochrana prijímateľa sociálnej služby. Dopĺňajú sa úkony opatrovateľskej služby v prílohe č.</w:t>
      </w:r>
      <w:r w:rsidR="00EE78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4, najmä v časti dohľadu nad dodržiavaním liečebného režimu. </w:t>
      </w:r>
      <w:r w:rsidRPr="0074118A">
        <w:rPr>
          <w:rFonts w:ascii="Times New Roman" w:hAnsi="Times New Roman"/>
          <w:sz w:val="24"/>
          <w:szCs w:val="24"/>
        </w:rPr>
        <w:t>V posudkovej činnosti sa umožňuje posudzovanie odkázanosti na pomoc inej fyzickej  osoby aj sestrám s vysokoškolským vzdelaním a súčasne  sa zvyšuje  participácia  a zodpovednosť sociálneho pracovníka v posudkovom procese.</w:t>
      </w:r>
      <w:r>
        <w:rPr>
          <w:rFonts w:ascii="Times New Roman" w:hAnsi="Times New Roman"/>
          <w:sz w:val="24"/>
          <w:szCs w:val="24"/>
        </w:rPr>
        <w:t xml:space="preserve"> Konkretizujú sa</w:t>
      </w:r>
      <w:r w:rsidRPr="004D2684">
        <w:rPr>
          <w:rFonts w:ascii="Times New Roman" w:hAnsi="Times New Roman"/>
          <w:sz w:val="24"/>
          <w:szCs w:val="24"/>
        </w:rPr>
        <w:t xml:space="preserve"> podmien</w:t>
      </w:r>
      <w:r>
        <w:rPr>
          <w:rFonts w:ascii="Times New Roman" w:hAnsi="Times New Roman"/>
          <w:sz w:val="24"/>
          <w:szCs w:val="24"/>
        </w:rPr>
        <w:t>ky</w:t>
      </w:r>
      <w:r w:rsidRPr="004D2684">
        <w:rPr>
          <w:rFonts w:ascii="Times New Roman" w:hAnsi="Times New Roman"/>
          <w:sz w:val="24"/>
          <w:szCs w:val="24"/>
        </w:rPr>
        <w:t xml:space="preserve"> bezodkladného zabezpečenia sociálnej</w:t>
      </w:r>
      <w:r>
        <w:rPr>
          <w:rFonts w:ascii="Times New Roman" w:hAnsi="Times New Roman"/>
          <w:sz w:val="24"/>
          <w:szCs w:val="24"/>
        </w:rPr>
        <w:t xml:space="preserve"> služby. Bližšie sa  </w:t>
      </w:r>
      <w:r w:rsidRPr="004D2684">
        <w:rPr>
          <w:rFonts w:ascii="Times New Roman" w:hAnsi="Times New Roman"/>
          <w:sz w:val="24"/>
          <w:szCs w:val="24"/>
        </w:rPr>
        <w:t>uprav</w:t>
      </w:r>
      <w:r>
        <w:rPr>
          <w:rFonts w:ascii="Times New Roman" w:hAnsi="Times New Roman"/>
          <w:sz w:val="24"/>
          <w:szCs w:val="24"/>
        </w:rPr>
        <w:t>ujú</w:t>
      </w:r>
      <w:r w:rsidRPr="004D2684">
        <w:rPr>
          <w:rFonts w:ascii="Times New Roman" w:hAnsi="Times New Roman"/>
          <w:sz w:val="24"/>
          <w:szCs w:val="24"/>
        </w:rPr>
        <w:t xml:space="preserve"> podmienky plánovania sociálnej služby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2684">
        <w:rPr>
          <w:rFonts w:ascii="Times New Roman" w:hAnsi="Times New Roman"/>
          <w:sz w:val="24"/>
          <w:szCs w:val="24"/>
        </w:rPr>
        <w:t xml:space="preserve">(individuálny plán pre </w:t>
      </w:r>
      <w:r w:rsidR="00EE7810">
        <w:rPr>
          <w:rFonts w:ascii="Times New Roman" w:hAnsi="Times New Roman"/>
          <w:sz w:val="24"/>
          <w:szCs w:val="24"/>
        </w:rPr>
        <w:t>prijímateľa sociálnej služby</w:t>
      </w:r>
      <w:r w:rsidRPr="004D2684">
        <w:rPr>
          <w:rFonts w:ascii="Times New Roman" w:hAnsi="Times New Roman"/>
          <w:sz w:val="24"/>
          <w:szCs w:val="24"/>
        </w:rPr>
        <w:t xml:space="preserve"> -  jeho náležitosti,  proces  a spôsob spracovania a kontroly)</w:t>
      </w:r>
      <w:r>
        <w:rPr>
          <w:rFonts w:ascii="Times New Roman" w:hAnsi="Times New Roman"/>
          <w:sz w:val="24"/>
          <w:szCs w:val="24"/>
        </w:rPr>
        <w:t xml:space="preserve">. </w:t>
      </w:r>
      <w:r w:rsidRPr="004D2684">
        <w:rPr>
          <w:rFonts w:ascii="Times New Roman" w:hAnsi="Times New Roman"/>
          <w:sz w:val="24"/>
          <w:szCs w:val="24"/>
        </w:rPr>
        <w:t>Rozšir</w:t>
      </w:r>
      <w:r>
        <w:rPr>
          <w:rFonts w:ascii="Times New Roman" w:hAnsi="Times New Roman"/>
          <w:sz w:val="24"/>
          <w:szCs w:val="24"/>
        </w:rPr>
        <w:t xml:space="preserve">ujú sa </w:t>
      </w:r>
      <w:r w:rsidRPr="004D2684">
        <w:rPr>
          <w:rFonts w:ascii="Times New Roman" w:hAnsi="Times New Roman"/>
          <w:sz w:val="24"/>
          <w:szCs w:val="24"/>
        </w:rPr>
        <w:t xml:space="preserve"> odborn</w:t>
      </w:r>
      <w:r>
        <w:rPr>
          <w:rFonts w:ascii="Times New Roman" w:hAnsi="Times New Roman"/>
          <w:sz w:val="24"/>
          <w:szCs w:val="24"/>
        </w:rPr>
        <w:t>é</w:t>
      </w:r>
      <w:r w:rsidRPr="004D2684">
        <w:rPr>
          <w:rFonts w:ascii="Times New Roman" w:hAnsi="Times New Roman"/>
          <w:sz w:val="24"/>
          <w:szCs w:val="24"/>
        </w:rPr>
        <w:t xml:space="preserve"> činnost</w:t>
      </w:r>
      <w:r>
        <w:rPr>
          <w:rFonts w:ascii="Times New Roman" w:hAnsi="Times New Roman"/>
          <w:sz w:val="24"/>
          <w:szCs w:val="24"/>
        </w:rPr>
        <w:t>i</w:t>
      </w:r>
      <w:r w:rsidRPr="004D2684">
        <w:rPr>
          <w:rFonts w:ascii="Times New Roman" w:hAnsi="Times New Roman"/>
          <w:sz w:val="24"/>
          <w:szCs w:val="24"/>
        </w:rPr>
        <w:t xml:space="preserve"> v nadväznosti na nové definície podmienok poskytovania jednotlivých druhov sociálnych služieb (napr. preventívna aktivita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2684">
        <w:rPr>
          <w:rFonts w:ascii="Times New Roman" w:hAnsi="Times New Roman"/>
          <w:sz w:val="24"/>
          <w:szCs w:val="24"/>
        </w:rPr>
        <w:t>- rizikové správanie)</w:t>
      </w:r>
      <w:r>
        <w:rPr>
          <w:rFonts w:ascii="Times New Roman" w:hAnsi="Times New Roman"/>
          <w:sz w:val="24"/>
          <w:szCs w:val="24"/>
        </w:rPr>
        <w:t xml:space="preserve">. </w:t>
      </w:r>
      <w:r w:rsidRPr="004D2684">
        <w:rPr>
          <w:rFonts w:ascii="Times New Roman" w:hAnsi="Times New Roman"/>
          <w:sz w:val="24"/>
          <w:szCs w:val="24"/>
        </w:rPr>
        <w:t>Podrobne</w:t>
      </w:r>
      <w:r>
        <w:rPr>
          <w:rFonts w:ascii="Times New Roman" w:hAnsi="Times New Roman"/>
          <w:sz w:val="24"/>
          <w:szCs w:val="24"/>
        </w:rPr>
        <w:t xml:space="preserve"> sa </w:t>
      </w:r>
      <w:r w:rsidRPr="004D2684">
        <w:rPr>
          <w:rFonts w:ascii="Times New Roman" w:hAnsi="Times New Roman"/>
          <w:sz w:val="24"/>
          <w:szCs w:val="24"/>
        </w:rPr>
        <w:t xml:space="preserve"> uprav</w:t>
      </w:r>
      <w:r>
        <w:rPr>
          <w:rFonts w:ascii="Times New Roman" w:hAnsi="Times New Roman"/>
          <w:sz w:val="24"/>
          <w:szCs w:val="24"/>
        </w:rPr>
        <w:t xml:space="preserve">ujú </w:t>
      </w:r>
      <w:r w:rsidRPr="004D2684">
        <w:rPr>
          <w:rFonts w:ascii="Times New Roman" w:hAnsi="Times New Roman"/>
          <w:sz w:val="24"/>
          <w:szCs w:val="24"/>
        </w:rPr>
        <w:t>podmienky kvality (štandardy) sociáln</w:t>
      </w:r>
      <w:r>
        <w:rPr>
          <w:rFonts w:ascii="Times New Roman" w:hAnsi="Times New Roman"/>
          <w:sz w:val="24"/>
          <w:szCs w:val="24"/>
        </w:rPr>
        <w:t xml:space="preserve">ych služieb (podmienka kvality </w:t>
      </w:r>
      <w:r w:rsidRPr="004D2684">
        <w:rPr>
          <w:rFonts w:ascii="Times New Roman" w:hAnsi="Times New Roman"/>
          <w:sz w:val="24"/>
          <w:szCs w:val="24"/>
        </w:rPr>
        <w:t>a príslušné indikátory kvality)</w:t>
      </w:r>
      <w:r>
        <w:rPr>
          <w:rFonts w:ascii="Times New Roman" w:hAnsi="Times New Roman"/>
          <w:sz w:val="24"/>
          <w:szCs w:val="24"/>
        </w:rPr>
        <w:t>. Podrobnejšie sa u</w:t>
      </w:r>
      <w:r w:rsidRPr="004D2684">
        <w:rPr>
          <w:rFonts w:ascii="Times New Roman" w:hAnsi="Times New Roman"/>
          <w:sz w:val="24"/>
          <w:szCs w:val="24"/>
        </w:rPr>
        <w:t>prav</w:t>
      </w:r>
      <w:r>
        <w:rPr>
          <w:rFonts w:ascii="Times New Roman" w:hAnsi="Times New Roman"/>
          <w:sz w:val="24"/>
          <w:szCs w:val="24"/>
        </w:rPr>
        <w:t xml:space="preserve">ujú </w:t>
      </w:r>
      <w:r w:rsidRPr="004D2684">
        <w:rPr>
          <w:rFonts w:ascii="Times New Roman" w:hAnsi="Times New Roman"/>
          <w:sz w:val="24"/>
          <w:szCs w:val="24"/>
        </w:rPr>
        <w:t>podmienky procesu akreditácie v sociálnych službách, ktoré si vyžiadala aplikačná prax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2684">
        <w:rPr>
          <w:rFonts w:ascii="Times New Roman" w:hAnsi="Times New Roman"/>
          <w:sz w:val="24"/>
          <w:szCs w:val="24"/>
        </w:rPr>
        <w:t xml:space="preserve">(napr. </w:t>
      </w:r>
      <w:r>
        <w:rPr>
          <w:rFonts w:ascii="Times New Roman" w:hAnsi="Times New Roman"/>
          <w:sz w:val="24"/>
          <w:szCs w:val="24"/>
        </w:rPr>
        <w:t xml:space="preserve">možnosť predĺženia akreditácie na </w:t>
      </w:r>
      <w:r w:rsidRPr="004D2684">
        <w:rPr>
          <w:rFonts w:ascii="Times New Roman" w:hAnsi="Times New Roman"/>
          <w:sz w:val="24"/>
          <w:szCs w:val="24"/>
        </w:rPr>
        <w:t>5 rokov, kvalifikačné predpoklady lektorov vzdelávacích programov)</w:t>
      </w:r>
      <w:r>
        <w:rPr>
          <w:rFonts w:ascii="Times New Roman" w:hAnsi="Times New Roman"/>
          <w:sz w:val="24"/>
          <w:szCs w:val="24"/>
        </w:rPr>
        <w:t xml:space="preserve">. S cieľom podporiť proces deinštitucionalizácie v Slovenskej republike, t.j. vytvoriť podmienky transformácie pobytových sociálnych služieb </w:t>
      </w:r>
      <w:r w:rsidRPr="004D2684">
        <w:rPr>
          <w:rFonts w:ascii="Times New Roman" w:hAnsi="Times New Roman"/>
          <w:sz w:val="24"/>
          <w:szCs w:val="24"/>
        </w:rPr>
        <w:t>na alternatívne komunitné sociálne služby</w:t>
      </w:r>
      <w:r>
        <w:rPr>
          <w:rFonts w:ascii="Times New Roman" w:hAnsi="Times New Roman"/>
          <w:sz w:val="24"/>
          <w:szCs w:val="24"/>
        </w:rPr>
        <w:t>,</w:t>
      </w:r>
      <w:r w:rsidRPr="00525F53">
        <w:rPr>
          <w:rFonts w:ascii="Times New Roman" w:hAnsi="Times New Roman"/>
          <w:sz w:val="24"/>
          <w:szCs w:val="24"/>
        </w:rPr>
        <w:t xml:space="preserve"> </w:t>
      </w:r>
      <w:r w:rsidRPr="004D2684">
        <w:rPr>
          <w:rFonts w:ascii="Times New Roman" w:hAnsi="Times New Roman"/>
          <w:sz w:val="24"/>
          <w:szCs w:val="24"/>
        </w:rPr>
        <w:t>aby klient zotrval čo najdlhšie v prirodzenom domácom a komunitnom prostredí</w:t>
      </w:r>
      <w:r>
        <w:rPr>
          <w:rFonts w:ascii="Times New Roman" w:hAnsi="Times New Roman"/>
          <w:sz w:val="24"/>
          <w:szCs w:val="24"/>
        </w:rPr>
        <w:t xml:space="preserve">, sa upravujú viaceré podmienky poskytovania sociálnych služieb pobytového charakteru, napr. obmedzenie kapacity vo vybraných zariadeniach sociálnych služieb, zákaz prijímať deti a mládež do zariadenia typu domov sociálnych služieb s celoročnou pobytovou formou, obmedzenie hornej vekovej hranice pre prijatie do domova sociálnych služieb (nedovŕšenie dôchodkového veku), prijímanie klientov s vybraným druhom zdravotného postihnutia do špecializovaných zariadení. </w:t>
      </w:r>
    </w:p>
    <w:p w:rsidR="005007B3" w:rsidP="005007B3">
      <w:pPr>
        <w:pStyle w:val="ListParagraph"/>
        <w:bidi w:val="0"/>
        <w:ind w:left="0"/>
        <w:jc w:val="both"/>
        <w:rPr>
          <w:rFonts w:ascii="Times New Roman" w:hAnsi="Times New Roman"/>
          <w:sz w:val="24"/>
          <w:szCs w:val="24"/>
        </w:rPr>
      </w:pPr>
    </w:p>
    <w:p w:rsidR="005007B3" w:rsidRPr="006F6A99" w:rsidP="005007B3">
      <w:pPr>
        <w:bidi w:val="0"/>
        <w:rPr>
          <w:rFonts w:ascii="Times New Roman" w:hAnsi="Times New Roman"/>
          <w:b/>
          <w:bCs/>
        </w:rPr>
      </w:pPr>
      <w:r w:rsidRPr="006F6A99">
        <w:rPr>
          <w:rFonts w:ascii="Times New Roman" w:hAnsi="Times New Roman"/>
          <w:b/>
          <w:bCs/>
        </w:rPr>
        <w:t>2.3.2. Charakteristika návrhu podľa bodu  2.3.2. Metodiky :</w:t>
      </w:r>
    </w:p>
    <w:p w:rsidR="005007B3" w:rsidRPr="006F6A99" w:rsidP="005007B3">
      <w:pPr>
        <w:bidi w:val="0"/>
        <w:rPr>
          <w:rFonts w:ascii="Times New Roman" w:hAnsi="Times New Roman"/>
        </w:rPr>
      </w:pPr>
    </w:p>
    <w:p w:rsidR="005007B3" w:rsidRPr="006F6A99" w:rsidP="005007B3">
      <w:pPr>
        <w:pStyle w:val="BodyText"/>
        <w:bidi w:val="0"/>
        <w:rPr>
          <w:rFonts w:ascii="Times New Roman" w:hAnsi="Times New Roman"/>
          <w:b/>
        </w:rPr>
      </w:pPr>
      <w:r w:rsidRPr="006F6A99">
        <w:rPr>
          <w:rFonts w:ascii="Times New Roman" w:hAnsi="Times New Roman"/>
          <w:bdr w:val="single" w:sz="4" w:space="0" w:color="auto"/>
        </w:rPr>
        <w:t xml:space="preserve">     </w:t>
      </w:r>
      <w:r w:rsidRPr="006F6A99">
        <w:rPr>
          <w:rFonts w:ascii="Times New Roman" w:hAnsi="Times New Roman"/>
        </w:rPr>
        <w:t xml:space="preserve">  zmena sadzby</w:t>
      </w:r>
    </w:p>
    <w:p w:rsidR="005007B3" w:rsidRPr="006F6A99" w:rsidP="005007B3">
      <w:pPr>
        <w:pStyle w:val="BodyText"/>
        <w:bidi w:val="0"/>
        <w:rPr>
          <w:rFonts w:ascii="Times New Roman" w:hAnsi="Times New Roman"/>
          <w:b/>
        </w:rPr>
      </w:pPr>
      <w:r w:rsidRPr="006F6A99">
        <w:rPr>
          <w:rFonts w:ascii="Times New Roman" w:hAnsi="Times New Roman"/>
          <w:bdr w:val="single" w:sz="4" w:space="0" w:color="auto"/>
        </w:rPr>
        <w:t xml:space="preserve">     </w:t>
      </w:r>
      <w:r w:rsidRPr="006F6A99">
        <w:rPr>
          <w:rFonts w:ascii="Times New Roman" w:hAnsi="Times New Roman"/>
        </w:rPr>
        <w:t xml:space="preserve">  zmena v nároku</w:t>
      </w:r>
    </w:p>
    <w:p w:rsidR="005007B3" w:rsidRPr="006F6A99" w:rsidP="005007B3">
      <w:pPr>
        <w:pStyle w:val="BodyText"/>
        <w:bidi w:val="0"/>
        <w:rPr>
          <w:rFonts w:ascii="Times New Roman" w:hAnsi="Times New Roman"/>
          <w:b/>
        </w:rPr>
      </w:pPr>
      <w:r w:rsidRPr="006F6A99">
        <w:rPr>
          <w:rFonts w:ascii="Times New Roman" w:hAnsi="Times New Roman"/>
          <w:bdr w:val="single" w:sz="4" w:space="0" w:color="auto"/>
        </w:rPr>
        <w:t xml:space="preserve">     </w:t>
      </w:r>
      <w:r w:rsidRPr="006F6A99">
        <w:rPr>
          <w:rFonts w:ascii="Times New Roman" w:hAnsi="Times New Roman"/>
        </w:rPr>
        <w:t xml:space="preserve">  nová služba alebo nariadenie (alebo ich zrušenie)</w:t>
      </w:r>
    </w:p>
    <w:p w:rsidR="005007B3" w:rsidRPr="006F6A99" w:rsidP="005007B3">
      <w:pPr>
        <w:pStyle w:val="BodyText"/>
        <w:bidi w:val="0"/>
        <w:rPr>
          <w:rFonts w:ascii="Times New Roman" w:hAnsi="Times New Roman"/>
          <w:b/>
        </w:rPr>
      </w:pPr>
      <w:r w:rsidRPr="006F6A99">
        <w:rPr>
          <w:rFonts w:ascii="Times New Roman" w:hAnsi="Times New Roman"/>
          <w:bdr w:val="single" w:sz="4" w:space="0" w:color="auto"/>
        </w:rPr>
        <w:t xml:space="preserve">     </w:t>
      </w:r>
      <w:r w:rsidRPr="006F6A99">
        <w:rPr>
          <w:rFonts w:ascii="Times New Roman" w:hAnsi="Times New Roman"/>
        </w:rPr>
        <w:t xml:space="preserve">  kombinovaný návrh</w:t>
      </w:r>
    </w:p>
    <w:p w:rsidR="005007B3" w:rsidRPr="006F6A99" w:rsidP="005007B3">
      <w:pPr>
        <w:pStyle w:val="BodyText"/>
        <w:bidi w:val="0"/>
        <w:rPr>
          <w:rFonts w:ascii="Times New Roman" w:hAnsi="Times New Roman"/>
          <w:b/>
        </w:rPr>
      </w:pPr>
      <w:r w:rsidRPr="006F6A99">
        <w:rPr>
          <w:rFonts w:ascii="Times New Roman" w:hAnsi="Times New Roman"/>
          <w:bdr w:val="single" w:sz="4" w:space="0" w:color="auto"/>
        </w:rPr>
        <w:t xml:space="preserve">  </w:t>
      </w:r>
      <w:r>
        <w:rPr>
          <w:rFonts w:ascii="Times New Roman" w:hAnsi="Times New Roman"/>
          <w:bdr w:val="single" w:sz="4" w:space="0" w:color="auto"/>
        </w:rPr>
        <w:t>x</w:t>
      </w:r>
      <w:r w:rsidRPr="006F6A99">
        <w:rPr>
          <w:rFonts w:ascii="Times New Roman" w:hAnsi="Times New Roman"/>
          <w:bdr w:val="single" w:sz="4" w:space="0" w:color="auto"/>
        </w:rPr>
        <w:t xml:space="preserve"> </w:t>
      </w:r>
      <w:r w:rsidRPr="006F6A99">
        <w:rPr>
          <w:rFonts w:ascii="Times New Roman" w:hAnsi="Times New Roman"/>
        </w:rPr>
        <w:t xml:space="preserve">  iné </w:t>
      </w:r>
    </w:p>
    <w:p w:rsidR="005007B3" w:rsidP="005007B3">
      <w:pPr>
        <w:bidi w:val="0"/>
        <w:rPr>
          <w:rFonts w:ascii="Times New Roman" w:hAnsi="Times New Roman"/>
        </w:rPr>
      </w:pPr>
    </w:p>
    <w:p w:rsidR="00B20F59" w:rsidP="005007B3">
      <w:pPr>
        <w:bidi w:val="0"/>
        <w:rPr>
          <w:rFonts w:ascii="Times New Roman" w:hAnsi="Times New Roman"/>
          <w:b/>
          <w:bCs/>
        </w:rPr>
      </w:pPr>
    </w:p>
    <w:p w:rsidR="00B20F59" w:rsidP="005007B3">
      <w:pPr>
        <w:bidi w:val="0"/>
        <w:rPr>
          <w:rFonts w:ascii="Times New Roman" w:hAnsi="Times New Roman"/>
          <w:b/>
          <w:bCs/>
        </w:rPr>
      </w:pPr>
    </w:p>
    <w:p w:rsidR="00B20F59" w:rsidP="005007B3">
      <w:pPr>
        <w:bidi w:val="0"/>
        <w:rPr>
          <w:rFonts w:ascii="Times New Roman" w:hAnsi="Times New Roman"/>
          <w:b/>
          <w:bCs/>
        </w:rPr>
      </w:pPr>
    </w:p>
    <w:p w:rsidR="00B20F59" w:rsidP="005007B3">
      <w:pPr>
        <w:bidi w:val="0"/>
        <w:rPr>
          <w:rFonts w:ascii="Times New Roman" w:hAnsi="Times New Roman"/>
          <w:b/>
          <w:bCs/>
        </w:rPr>
      </w:pPr>
    </w:p>
    <w:p w:rsidR="00B20F59" w:rsidP="005007B3">
      <w:pPr>
        <w:bidi w:val="0"/>
        <w:rPr>
          <w:rFonts w:ascii="Times New Roman" w:hAnsi="Times New Roman"/>
          <w:b/>
          <w:bCs/>
        </w:rPr>
      </w:pPr>
    </w:p>
    <w:p w:rsidR="00B20F59" w:rsidP="005007B3">
      <w:pPr>
        <w:bidi w:val="0"/>
        <w:rPr>
          <w:rFonts w:ascii="Times New Roman" w:hAnsi="Times New Roman"/>
          <w:b/>
          <w:bCs/>
        </w:rPr>
      </w:pPr>
    </w:p>
    <w:p w:rsidR="005007B3" w:rsidRPr="006F6A99" w:rsidP="005007B3">
      <w:pPr>
        <w:bidi w:val="0"/>
        <w:rPr>
          <w:rFonts w:ascii="Times New Roman" w:hAnsi="Times New Roman"/>
        </w:rPr>
      </w:pPr>
      <w:r w:rsidRPr="006F6A99">
        <w:rPr>
          <w:rFonts w:ascii="Times New Roman" w:hAnsi="Times New Roman"/>
          <w:b/>
          <w:bCs/>
        </w:rPr>
        <w:t>2.3.3. Predpoklady vývoja objemu aktivít:</w:t>
      </w:r>
    </w:p>
    <w:p w:rsidR="005007B3" w:rsidRPr="006F6A99" w:rsidP="005007B3">
      <w:pPr>
        <w:bidi w:val="0"/>
        <w:rPr>
          <w:rFonts w:ascii="Times New Roman" w:hAnsi="Times New Roman"/>
        </w:rPr>
      </w:pPr>
    </w:p>
    <w:p w:rsidR="005007B3" w:rsidRPr="006F6A99" w:rsidP="005007B3">
      <w:pPr>
        <w:bidi w:val="0"/>
        <w:ind w:firstLine="708"/>
        <w:jc w:val="both"/>
        <w:rPr>
          <w:rFonts w:ascii="Times New Roman" w:hAnsi="Times New Roman"/>
        </w:rPr>
      </w:pPr>
      <w:r w:rsidRPr="006F6A99">
        <w:rPr>
          <w:rFonts w:ascii="Times New Roman" w:hAnsi="Times New Roman"/>
        </w:rPr>
        <w:t>Jasne popíšte, v prípade potreby použite nižšie uvedenú tabuľku. Uveďte aj odhady základov daní a/alebo poplatkov, ak sa ich táto zmena týka.</w:t>
      </w:r>
    </w:p>
    <w:p w:rsidR="005007B3" w:rsidP="005007B3">
      <w:pPr>
        <w:bidi w:val="0"/>
        <w:jc w:val="right"/>
        <w:rPr>
          <w:rFonts w:ascii="Times New Roman" w:hAnsi="Times New Roman"/>
          <w:sz w:val="20"/>
          <w:szCs w:val="20"/>
        </w:rPr>
      </w:pPr>
    </w:p>
    <w:p w:rsidR="005007B3" w:rsidRPr="006F6A99" w:rsidP="005007B3">
      <w:pPr>
        <w:bidi w:val="0"/>
        <w:jc w:val="right"/>
        <w:rPr>
          <w:rFonts w:ascii="Times New Roman" w:hAnsi="Times New Roman"/>
          <w:sz w:val="20"/>
          <w:szCs w:val="20"/>
        </w:rPr>
      </w:pPr>
      <w:r w:rsidRPr="006F6A99">
        <w:rPr>
          <w:rFonts w:ascii="Times New Roman" w:hAnsi="Times New Roman"/>
          <w:sz w:val="20"/>
          <w:szCs w:val="20"/>
        </w:rPr>
        <w:t xml:space="preserve">Tabuľka č. 3 </w:t>
      </w:r>
    </w:p>
    <w:tbl>
      <w:tblPr>
        <w:tblStyle w:val="TableNormal"/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</w:tblPr>
      <w:tblGrid>
        <w:gridCol w:w="4530"/>
        <w:gridCol w:w="1134"/>
        <w:gridCol w:w="1134"/>
        <w:gridCol w:w="1134"/>
        <w:gridCol w:w="1134"/>
      </w:tblGrid>
      <w:tr>
        <w:tblPrEx>
          <w:tblW w:w="0" w:type="auto"/>
          <w:tblInd w:w="7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</w:tblPrEx>
        <w:trPr>
          <w:cantSplit/>
          <w:trHeight w:val="70"/>
        </w:trPr>
        <w:tc>
          <w:tcPr>
            <w:tcW w:w="4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5007B3" w:rsidRPr="006F6A99" w:rsidP="005007B3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F6A99">
              <w:rPr>
                <w:rFonts w:ascii="Times New Roman" w:hAnsi="Times New Roman"/>
                <w:b/>
                <w:bCs/>
                <w:color w:val="FFFFFF"/>
              </w:rPr>
              <w:t>Objem aktivít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5007B3" w:rsidRPr="006F6A99" w:rsidP="005007B3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F6A99">
              <w:rPr>
                <w:rFonts w:ascii="Times New Roman" w:hAnsi="Times New Roman"/>
                <w:b/>
                <w:bCs/>
                <w:color w:val="FFFFFF"/>
              </w:rPr>
              <w:t>Odhadované objemy</w:t>
            </w:r>
          </w:p>
        </w:tc>
      </w:tr>
      <w:tr>
        <w:tblPrEx>
          <w:tblW w:w="0" w:type="auto"/>
          <w:tblInd w:w="78" w:type="dxa"/>
          <w:tblLayout w:type="fixed"/>
        </w:tblPrEx>
        <w:trPr>
          <w:cantSplit/>
          <w:trHeight w:val="70"/>
        </w:trPr>
        <w:tc>
          <w:tcPr>
            <w:tcW w:w="4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07B3" w:rsidRPr="006F6A99" w:rsidP="005007B3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5007B3" w:rsidRPr="006F6A99" w:rsidP="005007B3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F6A99">
              <w:rPr>
                <w:rFonts w:ascii="Times New Roman" w:hAnsi="Times New Roman"/>
                <w:b/>
                <w:bCs/>
                <w:color w:val="FFFFFF"/>
              </w:rPr>
              <w:t>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5007B3" w:rsidRPr="006F6A99" w:rsidP="005007B3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F6A99">
              <w:rPr>
                <w:rFonts w:ascii="Times New Roman" w:hAnsi="Times New Roman"/>
                <w:b/>
                <w:bCs/>
                <w:color w:val="FFFFFF"/>
              </w:rPr>
              <w:t>r + 1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5007B3" w:rsidRPr="006F6A99" w:rsidP="005007B3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F6A99">
              <w:rPr>
                <w:rFonts w:ascii="Times New Roman" w:hAnsi="Times New Roman"/>
                <w:b/>
                <w:bCs/>
                <w:color w:val="FFFFFF"/>
              </w:rPr>
              <w:t>r + 2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5007B3" w:rsidRPr="006F6A99" w:rsidP="005007B3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F6A99">
              <w:rPr>
                <w:rFonts w:ascii="Times New Roman" w:hAnsi="Times New Roman"/>
                <w:b/>
                <w:bCs/>
                <w:color w:val="FFFFFF"/>
              </w:rPr>
              <w:t>r + 3</w:t>
            </w:r>
          </w:p>
        </w:tc>
      </w:tr>
      <w:tr>
        <w:tblPrEx>
          <w:tblW w:w="0" w:type="auto"/>
          <w:tblInd w:w="78" w:type="dxa"/>
          <w:tblLayout w:type="fixed"/>
        </w:tblPrEx>
        <w:trPr>
          <w:trHeight w:val="7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07B3" w:rsidRPr="006F6A99" w:rsidP="005007B3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</w:rPr>
            </w:pPr>
            <w:r w:rsidRPr="006F6A99">
              <w:rPr>
                <w:rFonts w:ascii="Times New Roman" w:hAnsi="Times New Roman"/>
                <w:color w:val="000000"/>
              </w:rPr>
              <w:t>Indikátor ABC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07B3" w:rsidRPr="006F6A99" w:rsidP="005007B3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07B3" w:rsidRPr="006F6A99" w:rsidP="005007B3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07B3" w:rsidRPr="006F6A99" w:rsidP="005007B3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07B3" w:rsidRPr="006F6A99" w:rsidP="005007B3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0" w:type="auto"/>
          <w:tblInd w:w="78" w:type="dxa"/>
          <w:tblLayout w:type="fixed"/>
        </w:tblPrEx>
        <w:trPr>
          <w:trHeight w:val="7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07B3" w:rsidRPr="006F6A99" w:rsidP="005007B3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</w:rPr>
            </w:pPr>
            <w:r w:rsidRPr="006F6A99">
              <w:rPr>
                <w:rFonts w:ascii="Times New Roman" w:hAnsi="Times New Roman"/>
                <w:color w:val="000000"/>
              </w:rPr>
              <w:t>Indikátor KLM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07B3" w:rsidRPr="006F6A99" w:rsidP="005007B3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07B3" w:rsidRPr="006F6A99" w:rsidP="005007B3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07B3" w:rsidRPr="006F6A99" w:rsidP="005007B3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07B3" w:rsidRPr="006F6A99" w:rsidP="005007B3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0" w:type="auto"/>
          <w:tblInd w:w="78" w:type="dxa"/>
          <w:tblLayout w:type="fixed"/>
        </w:tblPrEx>
        <w:trPr>
          <w:trHeight w:val="7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07B3" w:rsidRPr="006F6A99" w:rsidP="005007B3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</w:rPr>
            </w:pPr>
            <w:r w:rsidRPr="006F6A99">
              <w:rPr>
                <w:rFonts w:ascii="Times New Roman" w:hAnsi="Times New Roman"/>
                <w:color w:val="000000"/>
              </w:rPr>
              <w:t>Indikátor XYZ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07B3" w:rsidRPr="006F6A99" w:rsidP="005007B3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07B3" w:rsidRPr="006F6A99" w:rsidP="005007B3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07B3" w:rsidRPr="006F6A99" w:rsidP="005007B3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07B3" w:rsidRPr="006F6A99" w:rsidP="005007B3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/>
                <w:color w:val="000000"/>
              </w:rPr>
            </w:pPr>
          </w:p>
        </w:tc>
      </w:tr>
    </w:tbl>
    <w:p w:rsidR="005007B3" w:rsidRPr="006F6A99" w:rsidP="005007B3">
      <w:pPr>
        <w:bidi w:val="0"/>
        <w:rPr>
          <w:rFonts w:ascii="Times New Roman" w:hAnsi="Times New Roman"/>
        </w:rPr>
      </w:pPr>
    </w:p>
    <w:p w:rsidR="005007B3" w:rsidP="005007B3">
      <w:pPr>
        <w:bidi w:val="0"/>
        <w:rPr>
          <w:rFonts w:ascii="Times New Roman" w:hAnsi="Times New Roman"/>
        </w:rPr>
      </w:pPr>
    </w:p>
    <w:p w:rsidR="00B20F59" w:rsidP="005007B3">
      <w:pPr>
        <w:bidi w:val="0"/>
        <w:rPr>
          <w:rFonts w:ascii="Times New Roman" w:hAnsi="Times New Roman"/>
        </w:rPr>
      </w:pPr>
    </w:p>
    <w:p w:rsidR="00954B5F" w:rsidP="005007B3">
      <w:pPr>
        <w:bidi w:val="0"/>
        <w:rPr>
          <w:rFonts w:ascii="Times New Roman" w:hAnsi="Times New Roman"/>
          <w:b/>
          <w:bCs/>
        </w:rPr>
      </w:pPr>
      <w:r w:rsidR="00DB4E6D">
        <w:rPr>
          <w:rFonts w:ascii="Times New Roman" w:hAnsi="Times New Roman"/>
          <w:b/>
          <w:bCs/>
        </w:rPr>
        <w:t xml:space="preserve">Počet miest podľa druhu sociálnej služby na rok 2014 </w:t>
      </w:r>
      <w:r w:rsidR="00E971AF">
        <w:rPr>
          <w:rFonts w:ascii="Times New Roman" w:hAnsi="Times New Roman"/>
          <w:b/>
          <w:bCs/>
        </w:rPr>
        <w:t>–</w:t>
      </w:r>
      <w:r w:rsidR="00DB4E6D">
        <w:rPr>
          <w:rFonts w:ascii="Times New Roman" w:hAnsi="Times New Roman"/>
          <w:b/>
          <w:bCs/>
        </w:rPr>
        <w:t xml:space="preserve"> obce</w:t>
      </w:r>
      <w:r w:rsidR="00E971AF">
        <w:rPr>
          <w:rFonts w:ascii="Times New Roman" w:hAnsi="Times New Roman"/>
          <w:b/>
          <w:bCs/>
        </w:rPr>
        <w:t xml:space="preserve"> a vybraný neverejní poskytovatelia</w:t>
      </w:r>
    </w:p>
    <w:p w:rsidR="00B20F59" w:rsidP="005007B3">
      <w:pPr>
        <w:bidi w:val="0"/>
        <w:rPr>
          <w:rFonts w:ascii="Times New Roman" w:hAnsi="Times New Roman"/>
          <w:b/>
          <w:bCs/>
        </w:rPr>
      </w:pPr>
    </w:p>
    <w:p w:rsidR="00DB4E6D" w:rsidP="005007B3">
      <w:pPr>
        <w:bidi w:val="0"/>
        <w:rPr>
          <w:rFonts w:ascii="Times New Roman" w:hAnsi="Times New Roman"/>
          <w:b/>
          <w:bCs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2"/>
        <w:gridCol w:w="2302"/>
        <w:gridCol w:w="2303"/>
        <w:gridCol w:w="2303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B4E6D" w:rsidRPr="009710BF" w:rsidP="005007B3">
            <w:pPr>
              <w:bidi w:val="0"/>
              <w:rPr>
                <w:rFonts w:ascii="Times New Roman" w:hAnsi="Times New Roman"/>
                <w:b/>
                <w:bCs/>
              </w:rPr>
            </w:pPr>
            <w:r w:rsidRPr="009710BF">
              <w:rPr>
                <w:rFonts w:ascii="Times New Roman" w:hAnsi="Times New Roman"/>
                <w:b/>
                <w:bCs/>
              </w:rPr>
              <w:t>Druh zariadenia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B4E6D" w:rsidRPr="009710BF" w:rsidP="005007B3">
            <w:pPr>
              <w:bidi w:val="0"/>
              <w:rPr>
                <w:rFonts w:ascii="Times New Roman" w:hAnsi="Times New Roman"/>
                <w:b/>
                <w:bCs/>
              </w:rPr>
            </w:pPr>
            <w:r w:rsidRPr="009710BF">
              <w:rPr>
                <w:rFonts w:ascii="Times New Roman" w:hAnsi="Times New Roman"/>
                <w:b/>
                <w:bCs/>
              </w:rPr>
              <w:t>Počet miest pre rok 2014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B4E6D" w:rsidRPr="009710BF" w:rsidP="005007B3">
            <w:pPr>
              <w:bidi w:val="0"/>
              <w:rPr>
                <w:rFonts w:ascii="Times New Roman" w:hAnsi="Times New Roman"/>
                <w:b/>
                <w:bCs/>
              </w:rPr>
            </w:pPr>
            <w:r w:rsidRPr="009710BF">
              <w:rPr>
                <w:rFonts w:ascii="Times New Roman" w:hAnsi="Times New Roman"/>
                <w:b/>
                <w:bCs/>
              </w:rPr>
              <w:t xml:space="preserve">Výška finančného príspevku zo ŠR /mesiac </w:t>
            </w:r>
            <w:r w:rsidRPr="009710BF" w:rsidR="00BD21BA">
              <w:rPr>
                <w:rFonts w:ascii="Times New Roman" w:hAnsi="Times New Roman"/>
                <w:b/>
                <w:bCs/>
              </w:rPr>
              <w:t>v eurách</w:t>
            </w:r>
            <w:r w:rsidRPr="009710BF">
              <w:rPr>
                <w:rFonts w:ascii="Times New Roman" w:hAnsi="Times New Roman"/>
                <w:b/>
                <w:bCs/>
              </w:rPr>
              <w:t>: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B4E6D" w:rsidRPr="009710BF" w:rsidP="005007B3">
            <w:pPr>
              <w:bidi w:val="0"/>
              <w:rPr>
                <w:rFonts w:ascii="Times New Roman" w:hAnsi="Times New Roman"/>
                <w:b/>
                <w:bCs/>
              </w:rPr>
            </w:pPr>
            <w:r w:rsidRPr="009710BF">
              <w:rPr>
                <w:rFonts w:ascii="Times New Roman" w:hAnsi="Times New Roman"/>
                <w:b/>
                <w:bCs/>
              </w:rPr>
              <w:t xml:space="preserve">Suma finančného príspevku zo ŠR/rok </w:t>
            </w:r>
            <w:r w:rsidRPr="009710BF" w:rsidR="00BD21BA">
              <w:rPr>
                <w:rFonts w:ascii="Times New Roman" w:hAnsi="Times New Roman"/>
                <w:b/>
                <w:bCs/>
              </w:rPr>
              <w:t>v eurách</w:t>
            </w:r>
            <w:r w:rsidRPr="009710BF">
              <w:rPr>
                <w:rFonts w:ascii="Times New Roman" w:hAnsi="Times New Roman"/>
                <w:b/>
                <w:bCs/>
              </w:rPr>
              <w:t>:</w:t>
            </w:r>
          </w:p>
        </w:tc>
      </w:tr>
      <w:tr>
        <w:tblPrEx>
          <w:tblW w:w="0" w:type="auto"/>
          <w:tblLook w:val="01E0"/>
        </w:tblPrEx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B4E6D" w:rsidRPr="009710BF" w:rsidP="005007B3">
            <w:pPr>
              <w:bidi w:val="0"/>
              <w:rPr>
                <w:rFonts w:ascii="Times New Roman" w:hAnsi="Times New Roman"/>
                <w:bCs/>
              </w:rPr>
            </w:pPr>
            <w:r w:rsidRPr="009710BF" w:rsidR="00BD21BA">
              <w:rPr>
                <w:rFonts w:ascii="Times New Roman" w:hAnsi="Times New Roman"/>
                <w:bCs/>
              </w:rPr>
              <w:t>Denný stacionár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B4E6D" w:rsidRPr="009710BF" w:rsidP="009710BF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9710BF" w:rsidR="00BD21BA">
              <w:rPr>
                <w:rFonts w:ascii="Times New Roman" w:hAnsi="Times New Roman"/>
                <w:bCs/>
              </w:rPr>
              <w:t>1 530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B4E6D" w:rsidRPr="009710BF" w:rsidP="009710BF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9710BF" w:rsidR="00BD21BA">
              <w:rPr>
                <w:rFonts w:ascii="Times New Roman" w:hAnsi="Times New Roman"/>
                <w:bCs/>
              </w:rPr>
              <w:t>184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B4E6D" w:rsidRPr="009710BF" w:rsidP="009710BF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9710BF" w:rsidR="00BD21BA">
              <w:rPr>
                <w:rFonts w:ascii="Times New Roman" w:hAnsi="Times New Roman"/>
                <w:bCs/>
              </w:rPr>
              <w:t>3 378 240</w:t>
            </w:r>
          </w:p>
        </w:tc>
      </w:tr>
      <w:tr>
        <w:tblPrEx>
          <w:tblW w:w="0" w:type="auto"/>
          <w:tblLook w:val="01E0"/>
        </w:tblPrEx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B4E6D" w:rsidRPr="009710BF" w:rsidP="005007B3">
            <w:pPr>
              <w:bidi w:val="0"/>
              <w:rPr>
                <w:rFonts w:ascii="Times New Roman" w:hAnsi="Times New Roman"/>
                <w:bCs/>
              </w:rPr>
            </w:pPr>
            <w:r w:rsidRPr="009710BF" w:rsidR="00BD21BA">
              <w:rPr>
                <w:rFonts w:ascii="Times New Roman" w:hAnsi="Times New Roman"/>
                <w:bCs/>
              </w:rPr>
              <w:t>Domov na pol ceste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B4E6D" w:rsidRPr="009710BF" w:rsidP="009710BF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9710BF" w:rsidR="00BD21BA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B4E6D" w:rsidRPr="009710BF" w:rsidP="009710BF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9710BF" w:rsidR="00BD21BA">
              <w:rPr>
                <w:rFonts w:ascii="Times New Roman" w:hAnsi="Times New Roman"/>
                <w:bCs/>
              </w:rPr>
              <w:t>150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B4E6D" w:rsidRPr="009710BF" w:rsidP="009710BF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9710BF" w:rsidR="00BD21BA">
              <w:rPr>
                <w:rFonts w:ascii="Times New Roman" w:hAnsi="Times New Roman"/>
                <w:bCs/>
              </w:rPr>
              <w:t>10 800</w:t>
            </w:r>
          </w:p>
        </w:tc>
      </w:tr>
      <w:tr>
        <w:tblPrEx>
          <w:tblW w:w="0" w:type="auto"/>
          <w:tblLook w:val="01E0"/>
        </w:tblPrEx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B4E6D" w:rsidRPr="009710BF" w:rsidP="005007B3">
            <w:pPr>
              <w:bidi w:val="0"/>
              <w:rPr>
                <w:rFonts w:ascii="Times New Roman" w:hAnsi="Times New Roman"/>
                <w:bCs/>
              </w:rPr>
            </w:pPr>
            <w:r w:rsidRPr="009710BF" w:rsidR="007848DE">
              <w:rPr>
                <w:rFonts w:ascii="Times New Roman" w:hAnsi="Times New Roman"/>
                <w:bCs/>
              </w:rPr>
              <w:t>Domov sociálnych služieb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B4E6D" w:rsidRPr="009710BF" w:rsidP="009710BF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9710BF" w:rsidR="007848DE">
              <w:rPr>
                <w:rFonts w:ascii="Times New Roman" w:hAnsi="Times New Roman"/>
                <w:bCs/>
              </w:rPr>
              <w:t>1 028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B4E6D" w:rsidRPr="009710BF" w:rsidP="009710BF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9710BF" w:rsidR="007848DE">
              <w:rPr>
                <w:rFonts w:ascii="Times New Roman" w:hAnsi="Times New Roman"/>
                <w:bCs/>
              </w:rPr>
              <w:t>330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B4E6D" w:rsidRPr="009710BF" w:rsidP="009710BF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9710BF" w:rsidR="007848DE">
              <w:rPr>
                <w:rFonts w:ascii="Times New Roman" w:hAnsi="Times New Roman"/>
                <w:bCs/>
              </w:rPr>
              <w:t>4 070 880</w:t>
            </w:r>
          </w:p>
        </w:tc>
      </w:tr>
      <w:tr>
        <w:tblPrEx>
          <w:tblW w:w="0" w:type="auto"/>
          <w:tblLook w:val="01E0"/>
        </w:tblPrEx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B4E6D" w:rsidRPr="009710BF" w:rsidP="005007B3">
            <w:pPr>
              <w:bidi w:val="0"/>
              <w:rPr>
                <w:rFonts w:ascii="Times New Roman" w:hAnsi="Times New Roman"/>
                <w:bCs/>
              </w:rPr>
            </w:pPr>
            <w:r w:rsidRPr="009710BF" w:rsidR="007848DE">
              <w:rPr>
                <w:rFonts w:ascii="Times New Roman" w:hAnsi="Times New Roman"/>
                <w:bCs/>
              </w:rPr>
              <w:t>Nocľaháreň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B4E6D" w:rsidRPr="009710BF" w:rsidP="009710BF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9710BF" w:rsidR="007848DE">
              <w:rPr>
                <w:rFonts w:ascii="Times New Roman" w:hAnsi="Times New Roman"/>
                <w:bCs/>
              </w:rPr>
              <w:t>933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B4E6D" w:rsidRPr="009710BF" w:rsidP="009710BF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9710BF" w:rsidR="007848DE">
              <w:rPr>
                <w:rFonts w:ascii="Times New Roman" w:hAnsi="Times New Roman"/>
                <w:bCs/>
              </w:rPr>
              <w:t>120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B4E6D" w:rsidRPr="009710BF" w:rsidP="009710BF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9710BF" w:rsidR="007848DE">
              <w:rPr>
                <w:rFonts w:ascii="Times New Roman" w:hAnsi="Times New Roman"/>
                <w:bCs/>
              </w:rPr>
              <w:t>1 209 600</w:t>
            </w:r>
          </w:p>
        </w:tc>
      </w:tr>
      <w:tr>
        <w:tblPrEx>
          <w:tblW w:w="0" w:type="auto"/>
          <w:tblLook w:val="01E0"/>
        </w:tblPrEx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B4E6D" w:rsidRPr="009710BF" w:rsidP="005007B3">
            <w:pPr>
              <w:bidi w:val="0"/>
              <w:rPr>
                <w:rFonts w:ascii="Times New Roman" w:hAnsi="Times New Roman"/>
                <w:bCs/>
              </w:rPr>
            </w:pPr>
            <w:r w:rsidRPr="009710BF" w:rsidR="007848DE">
              <w:rPr>
                <w:rFonts w:ascii="Times New Roman" w:hAnsi="Times New Roman"/>
                <w:bCs/>
              </w:rPr>
              <w:t>Špecializované zariadenie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B4E6D" w:rsidRPr="009710BF" w:rsidP="009710BF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9710BF" w:rsidR="007848DE">
              <w:rPr>
                <w:rFonts w:ascii="Times New Roman" w:hAnsi="Times New Roman"/>
                <w:bCs/>
              </w:rPr>
              <w:t>113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B4E6D" w:rsidRPr="009710BF" w:rsidP="009710BF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9710BF" w:rsidR="007848DE">
              <w:rPr>
                <w:rFonts w:ascii="Times New Roman" w:hAnsi="Times New Roman"/>
                <w:bCs/>
              </w:rPr>
              <w:t>330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B4E6D" w:rsidRPr="009710BF" w:rsidP="009710BF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9710BF" w:rsidR="007848DE">
              <w:rPr>
                <w:rFonts w:ascii="Times New Roman" w:hAnsi="Times New Roman"/>
                <w:bCs/>
              </w:rPr>
              <w:t>447 480</w:t>
            </w:r>
          </w:p>
        </w:tc>
      </w:tr>
      <w:tr>
        <w:tblPrEx>
          <w:tblW w:w="0" w:type="auto"/>
          <w:tblLook w:val="01E0"/>
        </w:tblPrEx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B4E6D" w:rsidRPr="009710BF" w:rsidP="005007B3">
            <w:pPr>
              <w:bidi w:val="0"/>
              <w:rPr>
                <w:rFonts w:ascii="Times New Roman" w:hAnsi="Times New Roman"/>
                <w:bCs/>
              </w:rPr>
            </w:pPr>
            <w:r w:rsidRPr="009710BF" w:rsidR="007848DE">
              <w:rPr>
                <w:rFonts w:ascii="Times New Roman" w:hAnsi="Times New Roman"/>
                <w:bCs/>
              </w:rPr>
              <w:t>Útulok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B4E6D" w:rsidRPr="009710BF" w:rsidP="009710BF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9710BF" w:rsidR="007848DE">
              <w:rPr>
                <w:rFonts w:ascii="Times New Roman" w:hAnsi="Times New Roman"/>
                <w:bCs/>
              </w:rPr>
              <w:t>472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B4E6D" w:rsidRPr="009710BF" w:rsidP="009710BF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9710BF" w:rsidR="007848DE">
              <w:rPr>
                <w:rFonts w:ascii="Times New Roman" w:hAnsi="Times New Roman"/>
                <w:bCs/>
              </w:rPr>
              <w:t>120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B4E6D" w:rsidRPr="009710BF" w:rsidP="009710BF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9710BF" w:rsidR="007848DE">
              <w:rPr>
                <w:rFonts w:ascii="Times New Roman" w:hAnsi="Times New Roman"/>
                <w:bCs/>
              </w:rPr>
              <w:t>679 680</w:t>
            </w:r>
          </w:p>
        </w:tc>
      </w:tr>
      <w:tr>
        <w:tblPrEx>
          <w:tblW w:w="0" w:type="auto"/>
          <w:tblLook w:val="01E0"/>
        </w:tblPrEx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B4E6D" w:rsidRPr="009710BF" w:rsidP="005007B3">
            <w:pPr>
              <w:bidi w:val="0"/>
              <w:rPr>
                <w:rFonts w:ascii="Times New Roman" w:hAnsi="Times New Roman"/>
                <w:bCs/>
              </w:rPr>
            </w:pPr>
            <w:r w:rsidRPr="009710BF" w:rsidR="007848DE">
              <w:rPr>
                <w:rFonts w:ascii="Times New Roman" w:hAnsi="Times New Roman"/>
                <w:bCs/>
              </w:rPr>
              <w:t>Zariadenie podporovaného bývania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B4E6D" w:rsidRPr="009710BF" w:rsidP="009710BF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9710BF" w:rsidR="007848DE">
              <w:rPr>
                <w:rFonts w:ascii="Times New Roman" w:hAnsi="Times New Roman"/>
                <w:bCs/>
              </w:rPr>
              <w:t>21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B4E6D" w:rsidRPr="009710BF" w:rsidP="009710BF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9710BF" w:rsidR="007848DE">
              <w:rPr>
                <w:rFonts w:ascii="Times New Roman" w:hAnsi="Times New Roman"/>
                <w:bCs/>
              </w:rPr>
              <w:t>200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B4E6D" w:rsidRPr="009710BF" w:rsidP="009710BF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9710BF" w:rsidR="007848DE">
              <w:rPr>
                <w:rFonts w:ascii="Times New Roman" w:hAnsi="Times New Roman"/>
                <w:bCs/>
              </w:rPr>
              <w:t>50 400</w:t>
            </w:r>
          </w:p>
        </w:tc>
      </w:tr>
      <w:tr>
        <w:tblPrEx>
          <w:tblW w:w="0" w:type="auto"/>
          <w:tblLook w:val="01E0"/>
        </w:tblPrEx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B4E6D" w:rsidRPr="009710BF" w:rsidP="005007B3">
            <w:pPr>
              <w:bidi w:val="0"/>
              <w:rPr>
                <w:rFonts w:ascii="Times New Roman" w:hAnsi="Times New Roman"/>
                <w:bCs/>
              </w:rPr>
            </w:pPr>
            <w:r w:rsidRPr="009710BF" w:rsidR="007848DE">
              <w:rPr>
                <w:rFonts w:ascii="Times New Roman" w:hAnsi="Times New Roman"/>
                <w:bCs/>
              </w:rPr>
              <w:t>Zariadenie núdzového bývania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B4E6D" w:rsidRPr="009710BF" w:rsidP="009710BF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9710BF" w:rsidR="007848DE">
              <w:rPr>
                <w:rFonts w:ascii="Times New Roman" w:hAnsi="Times New Roman"/>
                <w:bCs/>
              </w:rPr>
              <w:t>338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B4E6D" w:rsidRPr="009710BF" w:rsidP="009710BF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9710BF" w:rsidR="007848DE">
              <w:rPr>
                <w:rFonts w:ascii="Times New Roman" w:hAnsi="Times New Roman"/>
                <w:bCs/>
              </w:rPr>
              <w:t>150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B4E6D" w:rsidRPr="009710BF" w:rsidP="009710BF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9710BF" w:rsidR="007848DE">
              <w:rPr>
                <w:rFonts w:ascii="Times New Roman" w:hAnsi="Times New Roman"/>
                <w:bCs/>
              </w:rPr>
              <w:t>608 400</w:t>
            </w:r>
          </w:p>
        </w:tc>
      </w:tr>
      <w:tr>
        <w:tblPrEx>
          <w:tblW w:w="0" w:type="auto"/>
          <w:tblLook w:val="01E0"/>
        </w:tblPrEx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B4E6D" w:rsidRPr="009710BF" w:rsidP="005007B3">
            <w:pPr>
              <w:bidi w:val="0"/>
              <w:rPr>
                <w:rFonts w:ascii="Times New Roman" w:hAnsi="Times New Roman"/>
                <w:bCs/>
              </w:rPr>
            </w:pPr>
            <w:r w:rsidRPr="009710BF" w:rsidR="007848DE">
              <w:rPr>
                <w:rFonts w:ascii="Times New Roman" w:hAnsi="Times New Roman"/>
                <w:bCs/>
              </w:rPr>
              <w:t>Zariadenie opatrovateľskej služby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B4E6D" w:rsidRPr="009710BF" w:rsidP="009710BF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9710BF" w:rsidR="007848DE">
              <w:rPr>
                <w:rFonts w:ascii="Times New Roman" w:hAnsi="Times New Roman"/>
                <w:bCs/>
              </w:rPr>
              <w:t>1 982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B4E6D" w:rsidRPr="009710BF" w:rsidP="009710BF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9710BF" w:rsidR="007848DE">
              <w:rPr>
                <w:rFonts w:ascii="Times New Roman" w:hAnsi="Times New Roman"/>
                <w:bCs/>
              </w:rPr>
              <w:t>320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B4E6D" w:rsidRPr="009710BF" w:rsidP="009710BF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9710BF" w:rsidR="007848DE">
              <w:rPr>
                <w:rFonts w:ascii="Times New Roman" w:hAnsi="Times New Roman"/>
                <w:bCs/>
              </w:rPr>
              <w:t>7 610 880</w:t>
            </w:r>
          </w:p>
        </w:tc>
      </w:tr>
      <w:tr>
        <w:tblPrEx>
          <w:tblW w:w="0" w:type="auto"/>
          <w:tblLook w:val="01E0"/>
        </w:tblPrEx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B4E6D" w:rsidRPr="009710BF" w:rsidP="005007B3">
            <w:pPr>
              <w:bidi w:val="0"/>
              <w:rPr>
                <w:rFonts w:ascii="Times New Roman" w:hAnsi="Times New Roman"/>
                <w:bCs/>
              </w:rPr>
            </w:pPr>
            <w:r w:rsidRPr="009710BF" w:rsidR="007848DE">
              <w:rPr>
                <w:rFonts w:ascii="Times New Roman" w:hAnsi="Times New Roman"/>
                <w:bCs/>
              </w:rPr>
              <w:t>Zariadenie pre seniorov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B4E6D" w:rsidRPr="009710BF" w:rsidP="009710BF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9710BF" w:rsidR="007848DE">
              <w:rPr>
                <w:rFonts w:ascii="Times New Roman" w:hAnsi="Times New Roman"/>
                <w:bCs/>
              </w:rPr>
              <w:t>11 560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B4E6D" w:rsidRPr="009710BF" w:rsidP="009710BF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9710BF" w:rsidR="007848DE">
              <w:rPr>
                <w:rFonts w:ascii="Times New Roman" w:hAnsi="Times New Roman"/>
                <w:bCs/>
              </w:rPr>
              <w:t>320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B4E6D" w:rsidRPr="009710BF" w:rsidP="009710BF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9710BF" w:rsidR="007848DE">
              <w:rPr>
                <w:rFonts w:ascii="Times New Roman" w:hAnsi="Times New Roman"/>
                <w:bCs/>
              </w:rPr>
              <w:t>44 390 400</w:t>
            </w:r>
          </w:p>
        </w:tc>
      </w:tr>
      <w:tr>
        <w:tblPrEx>
          <w:tblW w:w="0" w:type="auto"/>
          <w:tblLook w:val="01E0"/>
        </w:tblPrEx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53C8F" w:rsidRPr="009710BF" w:rsidP="005007B3">
            <w:pPr>
              <w:bidi w:val="0"/>
              <w:rPr>
                <w:rFonts w:ascii="Times New Roman" w:hAnsi="Times New Roman"/>
                <w:b/>
                <w:bCs/>
              </w:rPr>
            </w:pPr>
            <w:r w:rsidRPr="009710BF">
              <w:rPr>
                <w:rFonts w:ascii="Times New Roman" w:hAnsi="Times New Roman"/>
                <w:b/>
                <w:bCs/>
              </w:rPr>
              <w:t>Spolu :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53C8F" w:rsidRPr="009710BF" w:rsidP="009710BF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53C8F" w:rsidRPr="009710BF" w:rsidP="009710BF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53C8F" w:rsidRPr="009710BF" w:rsidP="009710BF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  <w:r w:rsidRPr="009710BF">
              <w:rPr>
                <w:rFonts w:ascii="Times New Roman" w:hAnsi="Times New Roman"/>
                <w:b/>
                <w:bCs/>
              </w:rPr>
              <w:t>62 456 760</w:t>
            </w:r>
          </w:p>
        </w:tc>
      </w:tr>
    </w:tbl>
    <w:p w:rsidR="00DB4E6D" w:rsidRPr="00753C8F" w:rsidP="005007B3">
      <w:pPr>
        <w:bidi w:val="0"/>
        <w:rPr>
          <w:rFonts w:ascii="Times New Roman" w:hAnsi="Times New Roman"/>
          <w:b/>
          <w:bCs/>
        </w:rPr>
      </w:pPr>
    </w:p>
    <w:p w:rsidR="00954B5F" w:rsidP="005007B3">
      <w:pPr>
        <w:bidi w:val="0"/>
        <w:rPr>
          <w:rFonts w:ascii="Times New Roman" w:hAnsi="Times New Roman"/>
          <w:b/>
          <w:bCs/>
        </w:rPr>
      </w:pPr>
      <w:r w:rsidR="00B13391">
        <w:rPr>
          <w:rFonts w:ascii="Times New Roman" w:hAnsi="Times New Roman"/>
          <w:b/>
          <w:bCs/>
        </w:rPr>
        <w:t xml:space="preserve">Poznámka : </w:t>
      </w:r>
    </w:p>
    <w:p w:rsidR="00B13391" w:rsidRPr="00B13391" w:rsidP="00EF6EB3">
      <w:pPr>
        <w:bidi w:val="0"/>
        <w:jc w:val="both"/>
        <w:rPr>
          <w:rFonts w:ascii="Times New Roman" w:hAnsi="Times New Roman"/>
          <w:bCs/>
        </w:rPr>
      </w:pPr>
      <w:r w:rsidRPr="00B13391">
        <w:rPr>
          <w:rFonts w:ascii="Times New Roman" w:hAnsi="Times New Roman"/>
          <w:bCs/>
        </w:rPr>
        <w:t xml:space="preserve">Pri nocľahárni je suma finančného príspevku o 133 920 eur nižšia, nakoľko niektoré nocľahárne sú v prevádzke len sezónne, t. j. len niekoľko mesiacov v roku. </w:t>
      </w:r>
    </w:p>
    <w:p w:rsidR="00954B5F" w:rsidRPr="00B13391" w:rsidP="005007B3">
      <w:pPr>
        <w:bidi w:val="0"/>
        <w:rPr>
          <w:rFonts w:ascii="Times New Roman" w:hAnsi="Times New Roman"/>
          <w:bCs/>
        </w:rPr>
      </w:pPr>
    </w:p>
    <w:p w:rsidR="00954B5F" w:rsidRPr="00B13391" w:rsidP="005007B3">
      <w:pPr>
        <w:bidi w:val="0"/>
        <w:rPr>
          <w:rFonts w:ascii="Times New Roman" w:hAnsi="Times New Roman"/>
          <w:bCs/>
        </w:rPr>
      </w:pPr>
    </w:p>
    <w:p w:rsidR="00954B5F" w:rsidP="005007B3">
      <w:pPr>
        <w:bidi w:val="0"/>
        <w:rPr>
          <w:rFonts w:ascii="Times New Roman" w:hAnsi="Times New Roman"/>
          <w:b/>
          <w:bCs/>
        </w:rPr>
      </w:pPr>
    </w:p>
    <w:p w:rsidR="00954B5F" w:rsidP="005007B3">
      <w:pPr>
        <w:bidi w:val="0"/>
        <w:rPr>
          <w:rFonts w:ascii="Times New Roman" w:hAnsi="Times New Roman"/>
          <w:b/>
          <w:bCs/>
        </w:rPr>
      </w:pPr>
    </w:p>
    <w:p w:rsidR="00954B5F" w:rsidP="005007B3">
      <w:pPr>
        <w:bidi w:val="0"/>
        <w:rPr>
          <w:rFonts w:ascii="Times New Roman" w:hAnsi="Times New Roman"/>
          <w:b/>
          <w:bCs/>
        </w:rPr>
      </w:pPr>
    </w:p>
    <w:p w:rsidR="00954B5F" w:rsidP="005007B3">
      <w:pPr>
        <w:bidi w:val="0"/>
        <w:rPr>
          <w:rFonts w:ascii="Times New Roman" w:hAnsi="Times New Roman"/>
          <w:b/>
          <w:bCs/>
        </w:rPr>
      </w:pPr>
    </w:p>
    <w:p w:rsidR="005007B3" w:rsidRPr="006F6A99" w:rsidP="005007B3">
      <w:pPr>
        <w:bidi w:val="0"/>
        <w:rPr>
          <w:rFonts w:ascii="Times New Roman" w:hAnsi="Times New Roman"/>
          <w:b/>
          <w:bCs/>
        </w:rPr>
      </w:pPr>
      <w:r w:rsidRPr="006F6A99">
        <w:rPr>
          <w:rFonts w:ascii="Times New Roman" w:hAnsi="Times New Roman"/>
          <w:b/>
          <w:bCs/>
        </w:rPr>
        <w:t>2.3.4. Výpočty vplyvov na verejné financie</w:t>
      </w:r>
    </w:p>
    <w:p w:rsidR="005007B3" w:rsidRPr="006F6A99" w:rsidP="005007B3">
      <w:pPr>
        <w:pStyle w:val="BodyText21"/>
        <w:overflowPunct/>
        <w:autoSpaceDE/>
        <w:autoSpaceDN/>
        <w:bidi w:val="0"/>
        <w:adjustRightInd/>
        <w:textAlignment w:val="auto"/>
        <w:rPr>
          <w:rFonts w:ascii="Times New Roman" w:hAnsi="Times New Roman"/>
          <w:szCs w:val="24"/>
        </w:rPr>
      </w:pPr>
    </w:p>
    <w:p w:rsidR="005007B3" w:rsidRPr="00E5780D" w:rsidP="005007B3">
      <w:pPr>
        <w:bidi w:val="0"/>
        <w:ind w:firstLine="709"/>
        <w:jc w:val="both"/>
        <w:rPr>
          <w:rFonts w:ascii="Times New Roman" w:hAnsi="Times New Roman"/>
          <w:color w:val="0000FF"/>
        </w:rPr>
      </w:pPr>
      <w:r w:rsidRPr="00CE5163">
        <w:rPr>
          <w:rFonts w:ascii="Times New Roman" w:hAnsi="Times New Roman"/>
        </w:rPr>
        <w:t>Zo štátneho rozpočtu bude naďalej poskytovaný finančný príspevok pre zariadenia sociálnych služieb</w:t>
      </w:r>
      <w:r>
        <w:rPr>
          <w:rFonts w:ascii="Times New Roman" w:hAnsi="Times New Roman"/>
        </w:rPr>
        <w:t xml:space="preserve"> zriadené alebo založené obcou a pre vybrané druhy sociálnych služieb poskytované neverejnými poskytovateľmi. </w:t>
      </w:r>
    </w:p>
    <w:p w:rsidR="005007B3" w:rsidRPr="00B13391" w:rsidP="005007B3">
      <w:pPr>
        <w:bidi w:val="0"/>
        <w:ind w:firstLine="709"/>
        <w:jc w:val="both"/>
        <w:rPr>
          <w:rFonts w:ascii="Times New Roman" w:hAnsi="Times New Roman"/>
        </w:rPr>
      </w:pPr>
      <w:r w:rsidRPr="00B13391">
        <w:rPr>
          <w:rFonts w:ascii="Times New Roman" w:hAnsi="Times New Roman"/>
        </w:rPr>
        <w:t xml:space="preserve">Pre komplexnosť informácie uvádzame, že v roku 2013 bolo vynaložených na poskytovanie finančného príspevku pre zariadenia sociálnych služieb zriadených alebo založených obcami a pre vybrané druhy sociálnych služieb poskytovaných neverejnými poskytovateľmi na lokálnej úrovni zo štátneho rozpočtu z kapitoly Ministerstva práce, sociálnych vecí a rodiny SR celkovo 51 796 674 </w:t>
      </w:r>
      <w:r w:rsidRPr="00B13391" w:rsidR="00B13391">
        <w:rPr>
          <w:rFonts w:ascii="Times New Roman" w:hAnsi="Times New Roman"/>
        </w:rPr>
        <w:t>eur</w:t>
      </w:r>
      <w:r w:rsidRPr="00B13391">
        <w:rPr>
          <w:rFonts w:ascii="Times New Roman" w:hAnsi="Times New Roman"/>
        </w:rPr>
        <w:t xml:space="preserve">, z toho pre obecné zariadenia sociálnych služieb 36 690 936 </w:t>
      </w:r>
      <w:r w:rsidRPr="00B13391" w:rsidR="00B13391">
        <w:rPr>
          <w:rFonts w:ascii="Times New Roman" w:hAnsi="Times New Roman"/>
        </w:rPr>
        <w:t>eur</w:t>
      </w:r>
      <w:r w:rsidRPr="00B13391">
        <w:rPr>
          <w:rFonts w:ascii="Times New Roman" w:hAnsi="Times New Roman"/>
        </w:rPr>
        <w:t xml:space="preserve"> a pre neverejných poskytovateľov 15 105 738 </w:t>
      </w:r>
      <w:r w:rsidRPr="00B13391" w:rsidR="00B13391">
        <w:rPr>
          <w:rFonts w:ascii="Times New Roman" w:hAnsi="Times New Roman"/>
        </w:rPr>
        <w:t>eur</w:t>
      </w:r>
      <w:r w:rsidRPr="00B13391">
        <w:rPr>
          <w:rFonts w:ascii="Times New Roman" w:hAnsi="Times New Roman"/>
        </w:rPr>
        <w:t>. Ministerstvo práce, sociálnych vecí a rodiny SR uplatnilo na účely sociálnych služieb v rámci  prioritných výdavkových titulov v návrhu rozpočtu na rok 2014  sumu 5</w:t>
      </w:r>
      <w:r w:rsidRPr="00B13391" w:rsidR="00E43956">
        <w:rPr>
          <w:rFonts w:ascii="Times New Roman" w:hAnsi="Times New Roman"/>
        </w:rPr>
        <w:t>2</w:t>
      </w:r>
      <w:r w:rsidRPr="00B13391">
        <w:rPr>
          <w:rFonts w:ascii="Times New Roman" w:hAnsi="Times New Roman"/>
        </w:rPr>
        <w:t xml:space="preserve"> mil. €, keďže  súčasný návrh nezabezpečuje žiadne výdavky na sociálne služby. Táto suma však nezohľadňuje </w:t>
      </w:r>
      <w:r w:rsidRPr="00B13391" w:rsidR="00E5780D">
        <w:rPr>
          <w:rFonts w:ascii="Times New Roman" w:hAnsi="Times New Roman"/>
        </w:rPr>
        <w:t xml:space="preserve">nárast nových kapacít zariadení sociálnych služieb. </w:t>
      </w:r>
      <w:r w:rsidRPr="00B13391">
        <w:rPr>
          <w:rFonts w:ascii="Times New Roman" w:hAnsi="Times New Roman"/>
        </w:rPr>
        <w:t xml:space="preserve">Vychádzajúc z uvedených údajov predpokladáme, že suma vo výške </w:t>
      </w:r>
      <w:r w:rsidRPr="00B13391" w:rsidR="00B13391">
        <w:rPr>
          <w:rFonts w:ascii="Times New Roman" w:hAnsi="Times New Roman"/>
          <w:b/>
        </w:rPr>
        <w:t>10</w:t>
      </w:r>
      <w:r w:rsidRPr="00B13391" w:rsidR="00E5780D">
        <w:rPr>
          <w:rFonts w:ascii="Times New Roman" w:hAnsi="Times New Roman"/>
          <w:b/>
        </w:rPr>
        <w:t> 456 760 eur</w:t>
      </w:r>
      <w:r w:rsidRPr="00B13391">
        <w:rPr>
          <w:rFonts w:ascii="Times New Roman" w:hAnsi="Times New Roman"/>
        </w:rPr>
        <w:t xml:space="preserve"> nie je pokrytá v štátnom rozpočte.</w:t>
      </w:r>
    </w:p>
    <w:p w:rsidR="005007B3" w:rsidP="005007B3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Pri výpočte vplyvov na rozpočty obcí a vyšších územných celkov (zníženie príjmov z platenia úhrady za sociálnu službu)  z dôvodu zvýšenia ochrany príjmu  sme vychádzali z predpokladu, že táto zmena sa bude dotýkať najmä tých klientov sociálnych služieb, ktorých starobný alebo invalidný dôchodok je vo výške 255 až 350 </w:t>
      </w:r>
      <w:r w:rsidR="00885E17">
        <w:rPr>
          <w:rFonts w:ascii="Times New Roman" w:hAnsi="Times New Roman"/>
        </w:rPr>
        <w:t>eur</w:t>
      </w:r>
      <w:r>
        <w:rPr>
          <w:rFonts w:ascii="Times New Roman" w:hAnsi="Times New Roman"/>
        </w:rPr>
        <w:t xml:space="preserve">. Celkový počet takýchto klientov je cca  16 674 osôb. Vzhľadom na to, že zvýšenie ochrany príjmu bude rozdielne v závislosti od formy pobytu a druhu sociálnej služby, pri výpočte bolo potrebné vychádzať z týchto údajov a navyše rozlišovať počet klientov v zariadeniach obcí  a počet klientov opatrovateľskej služby v pôsobnosti obcí a počet klientov  v zariadeniach vyšších územných celkov. </w:t>
      </w:r>
    </w:p>
    <w:p w:rsidR="005007B3" w:rsidP="005007B3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 výpočte vplyvov na </w:t>
      </w:r>
      <w:r w:rsidRPr="00C14F7D">
        <w:rPr>
          <w:rFonts w:ascii="Times New Roman" w:hAnsi="Times New Roman"/>
          <w:b/>
        </w:rPr>
        <w:t>rozpočet obcí</w:t>
      </w:r>
      <w:r>
        <w:rPr>
          <w:rFonts w:ascii="Times New Roman" w:hAnsi="Times New Roman"/>
        </w:rPr>
        <w:t xml:space="preserve">  (zníženie príjmov z platenia úhrady za sociálnu službu) bol spôsob výpočtu nasledovný: </w:t>
      </w:r>
    </w:p>
    <w:p w:rsidR="005007B3" w:rsidP="005007B3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zariadeniach s celoročným pobytom sa navrhuje zvýšenie ochrany príjmu vo výške 9,72 </w:t>
      </w:r>
      <w:r w:rsidR="00ED69ED">
        <w:rPr>
          <w:rFonts w:ascii="Times New Roman" w:hAnsi="Times New Roman"/>
        </w:rPr>
        <w:t>eur</w:t>
      </w:r>
      <w:r>
        <w:rPr>
          <w:rFonts w:ascii="Times New Roman" w:hAnsi="Times New Roman"/>
        </w:rPr>
        <w:t xml:space="preserve"> mesačne na jedného klienta, pri počte klientov 2683 to predstavuje</w:t>
      </w:r>
      <w:r w:rsidRPr="001F2EB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vplyv vo výške  312 945 </w:t>
      </w:r>
      <w:r w:rsidR="00885E17">
        <w:rPr>
          <w:rFonts w:ascii="Times New Roman" w:hAnsi="Times New Roman"/>
        </w:rPr>
        <w:t>eur</w:t>
      </w:r>
      <w:r>
        <w:rPr>
          <w:rFonts w:ascii="Times New Roman" w:hAnsi="Times New Roman"/>
        </w:rPr>
        <w:t xml:space="preserve">  za 12 mesiacov (9,72x2 683x12). </w:t>
      </w:r>
    </w:p>
    <w:p w:rsidR="005007B3" w:rsidP="005007B3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zariadeniach s týždenným pobytom sa navrhuje zvýšenie ochrany príjmu vo výške19,47 </w:t>
      </w:r>
      <w:r w:rsidR="00885E17">
        <w:rPr>
          <w:rFonts w:ascii="Times New Roman" w:hAnsi="Times New Roman"/>
        </w:rPr>
        <w:t>eur</w:t>
      </w:r>
      <w:r>
        <w:rPr>
          <w:rFonts w:ascii="Times New Roman" w:hAnsi="Times New Roman"/>
        </w:rPr>
        <w:t xml:space="preserve"> mesačne na jedného klienta, pri počte klientov 11 to predstavuje</w:t>
      </w:r>
      <w:r w:rsidRPr="00C55A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vplyv vo výške 2 570 </w:t>
      </w:r>
      <w:r w:rsidR="00885E17">
        <w:rPr>
          <w:rFonts w:ascii="Times New Roman" w:hAnsi="Times New Roman"/>
        </w:rPr>
        <w:t>eur</w:t>
      </w:r>
      <w:r>
        <w:rPr>
          <w:rFonts w:ascii="Times New Roman" w:hAnsi="Times New Roman"/>
        </w:rPr>
        <w:t xml:space="preserve">  za 12 mesiacov (19,47x11x12). </w:t>
      </w:r>
    </w:p>
    <w:p w:rsidR="005007B3" w:rsidP="005007B3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zariadeniach s denným pobytom sa navrhuje zvýšenie ochrany príjmu vo výške 58,37 </w:t>
      </w:r>
      <w:r w:rsidR="00885E17">
        <w:rPr>
          <w:rFonts w:ascii="Times New Roman" w:hAnsi="Times New Roman"/>
        </w:rPr>
        <w:t>eur</w:t>
      </w:r>
      <w:r>
        <w:rPr>
          <w:rFonts w:ascii="Times New Roman" w:hAnsi="Times New Roman"/>
        </w:rPr>
        <w:t xml:space="preserve"> mesačne na jedného klienta, pri počte klientov 60 to predstavuje vplyv vo výške   42 026 €  za 12 mesiacov (58,37x60x12). </w:t>
      </w:r>
    </w:p>
    <w:p w:rsidR="005007B3" w:rsidP="005007B3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 opatrovateľskej službe sa navrhuje  zvýšenie ochrany príjmu vo výške 19,46 </w:t>
      </w:r>
      <w:r w:rsidR="00885E17">
        <w:rPr>
          <w:rFonts w:ascii="Times New Roman" w:hAnsi="Times New Roman"/>
        </w:rPr>
        <w:t>eur</w:t>
      </w:r>
      <w:r>
        <w:rPr>
          <w:rFonts w:ascii="Times New Roman" w:hAnsi="Times New Roman"/>
        </w:rPr>
        <w:t xml:space="preserve"> mesačne, pri počte klientov 1 944 to predstavuje vplyv vo výške 453 963 </w:t>
      </w:r>
      <w:r w:rsidR="00885E17">
        <w:rPr>
          <w:rFonts w:ascii="Times New Roman" w:hAnsi="Times New Roman"/>
        </w:rPr>
        <w:t>eur</w:t>
      </w:r>
      <w:r>
        <w:rPr>
          <w:rFonts w:ascii="Times New Roman" w:hAnsi="Times New Roman"/>
        </w:rPr>
        <w:t xml:space="preserve"> za 12 mesiacov (19,46 €x1944x12). </w:t>
      </w:r>
    </w:p>
    <w:p w:rsidR="005007B3" w:rsidP="005007B3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Predpokladaný celkový vplyv na rozpočty obcí (zníženie príjmov z platenia úhrady za sociálnu službu) je vo výške  </w:t>
      </w:r>
      <w:r w:rsidRPr="00F423FE" w:rsidR="00ED69ED">
        <w:rPr>
          <w:rFonts w:ascii="Times New Roman" w:hAnsi="Times New Roman"/>
          <w:b/>
        </w:rPr>
        <w:t>405</w:t>
      </w:r>
      <w:r w:rsidRPr="00F423FE" w:rsidR="00F423FE">
        <w:rPr>
          <w:rFonts w:ascii="Times New Roman" w:hAnsi="Times New Roman"/>
          <w:b/>
        </w:rPr>
        <w:t> </w:t>
      </w:r>
      <w:r w:rsidRPr="00F423FE" w:rsidR="00ED69ED">
        <w:rPr>
          <w:rFonts w:ascii="Times New Roman" w:hAnsi="Times New Roman"/>
          <w:b/>
        </w:rPr>
        <w:t>75</w:t>
      </w:r>
      <w:r w:rsidRPr="00F423FE" w:rsidR="00F423FE">
        <w:rPr>
          <w:rFonts w:ascii="Times New Roman" w:hAnsi="Times New Roman"/>
          <w:b/>
        </w:rPr>
        <w:t xml:space="preserve">2 </w:t>
      </w:r>
      <w:r w:rsidRPr="00F423FE" w:rsidR="00ED69ED">
        <w:rPr>
          <w:rFonts w:ascii="Times New Roman" w:hAnsi="Times New Roman"/>
          <w:b/>
        </w:rPr>
        <w:t>eur</w:t>
      </w:r>
      <w:r w:rsidR="00ED69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 týka cca  </w:t>
      </w:r>
      <w:r w:rsidR="00ED69ED">
        <w:rPr>
          <w:rFonts w:ascii="Times New Roman" w:hAnsi="Times New Roman"/>
        </w:rPr>
        <w:t xml:space="preserve">4 698 </w:t>
      </w:r>
      <w:r>
        <w:rPr>
          <w:rFonts w:ascii="Times New Roman" w:hAnsi="Times New Roman"/>
        </w:rPr>
        <w:t>klientov sociálnych služieb.</w:t>
      </w:r>
    </w:p>
    <w:p w:rsidR="00903C45" w:rsidP="00903C45">
      <w:pPr>
        <w:bidi w:val="0"/>
        <w:jc w:val="both"/>
        <w:rPr>
          <w:rFonts w:ascii="Times New Roman" w:hAnsi="Times New Roman"/>
        </w:rPr>
      </w:pPr>
      <w:r w:rsidR="00B20F59">
        <w:rPr>
          <w:rFonts w:ascii="Times New Roman" w:hAnsi="Times New Roman"/>
        </w:rPr>
        <w:tab/>
      </w:r>
      <w:r>
        <w:rPr>
          <w:rFonts w:ascii="Times New Roman" w:hAnsi="Times New Roman"/>
        </w:rPr>
        <w:t>Navrhované zvýšenie právnej ochrany zostatku z príjmu po zaplatení úhrady za sociálnu službu ovplyvní v zásade príjmy rozpočtu obcí ( resp. obcou zriadených alebo založených  právnických osôb), ako verejných poskytovateľov sociálnych služieb.</w:t>
      </w:r>
    </w:p>
    <w:p w:rsidR="00903C45" w:rsidP="00903C45">
      <w:pPr>
        <w:bidi w:val="0"/>
        <w:jc w:val="both"/>
        <w:rPr>
          <w:rFonts w:ascii="Times New Roman" w:hAnsi="Times New Roman"/>
        </w:rPr>
      </w:pPr>
      <w:r w:rsidR="00B20F59">
        <w:rPr>
          <w:rFonts w:ascii="Times New Roman" w:hAnsi="Times New Roman"/>
        </w:rPr>
        <w:tab/>
      </w:r>
      <w:r>
        <w:rPr>
          <w:rFonts w:ascii="Times New Roman" w:hAnsi="Times New Roman"/>
        </w:rPr>
        <w:t>Ide o predpokladané zníženie príjmov z titulu platenia úhrady za sociálnu službu</w:t>
      </w:r>
      <w:r w:rsidR="00B20F5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 rozpočtov obcí na rozpočtový rok  2014, 2015, 2016 o cca 405 752 eur, 452 41</w:t>
      </w:r>
      <w:r w:rsidR="00F332CA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eur a</w:t>
      </w:r>
      <w:r w:rsidR="00F332CA">
        <w:rPr>
          <w:rFonts w:ascii="Times New Roman" w:hAnsi="Times New Roman"/>
        </w:rPr>
        <w:t> </w:t>
      </w:r>
      <w:r>
        <w:rPr>
          <w:rFonts w:ascii="Times New Roman" w:hAnsi="Times New Roman"/>
        </w:rPr>
        <w:t>4</w:t>
      </w:r>
      <w:r w:rsidR="00F332CA">
        <w:rPr>
          <w:rFonts w:ascii="Times New Roman" w:hAnsi="Times New Roman"/>
        </w:rPr>
        <w:t xml:space="preserve">64 628 </w:t>
      </w:r>
      <w:r>
        <w:rPr>
          <w:rFonts w:ascii="Times New Roman" w:hAnsi="Times New Roman"/>
        </w:rPr>
        <w:t>eur.</w:t>
      </w:r>
    </w:p>
    <w:p w:rsidR="003E42B0" w:rsidP="00903C45">
      <w:pPr>
        <w:bidi w:val="0"/>
        <w:jc w:val="both"/>
        <w:rPr>
          <w:rFonts w:ascii="Times New Roman" w:hAnsi="Times New Roman"/>
        </w:rPr>
      </w:pPr>
      <w:r w:rsidR="00B20F59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Vychádzajúc z analýzy úrovne starobných dôchodkov na základe údajov sociálnej poisťovne cca 30,98%je poberateľov dôchodku vo výške 255 – 350 eur. Pri aplikácii tohto rozvrstvenia  výšky dôchodkov na jestvujúci počet prijímateľov sociálnej služby možno kvantifikovať, že  </w:t>
      </w:r>
    </w:p>
    <w:p w:rsidR="00903C45" w:rsidP="00903C45">
      <w:pPr>
        <w:bidi w:val="0"/>
        <w:jc w:val="both"/>
        <w:rPr>
          <w:rFonts w:ascii="Times New Roman" w:hAnsi="Times New Roman"/>
        </w:rPr>
      </w:pPr>
      <w:r w:rsidR="003E42B0">
        <w:rPr>
          <w:rFonts w:ascii="Times New Roman" w:hAnsi="Times New Roman"/>
        </w:rPr>
        <w:t>p</w:t>
      </w:r>
      <w:r>
        <w:rPr>
          <w:rFonts w:ascii="Times New Roman" w:hAnsi="Times New Roman"/>
        </w:rPr>
        <w:t xml:space="preserve">očet prijímateľov sociálnych služieb u verejných poskytovateľov </w:t>
      </w:r>
      <w:r w:rsidR="00F332CA">
        <w:rPr>
          <w:rFonts w:ascii="Times New Roman" w:hAnsi="Times New Roman"/>
        </w:rPr>
        <w:t xml:space="preserve">a </w:t>
      </w:r>
      <w:r>
        <w:rPr>
          <w:rFonts w:ascii="Times New Roman" w:hAnsi="Times New Roman"/>
        </w:rPr>
        <w:t xml:space="preserve">na lokálnej úrovni </w:t>
      </w:r>
      <w:r w:rsidR="003E42B0">
        <w:rPr>
          <w:rFonts w:ascii="Times New Roman" w:hAnsi="Times New Roman"/>
        </w:rPr>
        <w:t>v roku 201</w:t>
      </w:r>
      <w:r w:rsidR="008644AB">
        <w:rPr>
          <w:rFonts w:ascii="Times New Roman" w:hAnsi="Times New Roman"/>
        </w:rPr>
        <w:t xml:space="preserve">3 </w:t>
      </w:r>
      <w:r w:rsidR="003E42B0">
        <w:rPr>
          <w:rFonts w:ascii="Times New Roman" w:hAnsi="Times New Roman"/>
        </w:rPr>
        <w:t xml:space="preserve"> </w:t>
      </w:r>
      <w:r w:rsidR="008644AB">
        <w:rPr>
          <w:rFonts w:ascii="Times New Roman" w:hAnsi="Times New Roman"/>
        </w:rPr>
        <w:t>bol</w:t>
      </w:r>
      <w:r w:rsidR="003E42B0">
        <w:rPr>
          <w:rFonts w:ascii="Times New Roman" w:hAnsi="Times New Roman"/>
        </w:rPr>
        <w:t xml:space="preserve"> 8 886. </w:t>
      </w:r>
    </w:p>
    <w:p w:rsidR="00903C45" w:rsidP="00903C45">
      <w:pPr>
        <w:bidi w:val="0"/>
        <w:jc w:val="both"/>
        <w:rPr>
          <w:rFonts w:ascii="Times New Roman" w:hAnsi="Times New Roman"/>
        </w:rPr>
      </w:pPr>
      <w:r w:rsidR="00B20F59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Navrhovaná právna úprava ( § </w:t>
      </w:r>
      <w:smartTag w:uri="urn:schemas-microsoft-com:office:smarttags" w:element="metricconverter">
        <w:smartTagPr>
          <w:attr w:name="ProductID" w:val="72 a"/>
        </w:smartTagPr>
        <w:r>
          <w:rPr>
            <w:rFonts w:ascii="Times New Roman" w:hAnsi="Times New Roman"/>
          </w:rPr>
          <w:t>72 a</w:t>
        </w:r>
      </w:smartTag>
      <w:r>
        <w:rPr>
          <w:rFonts w:ascii="Times New Roman" w:hAnsi="Times New Roman"/>
        </w:rPr>
        <w:t>) obsahuje novú právnu úpravu zisťovania príjmu na účely platenia úhrady za sociálnu službu, a to v zásade osobitne pri pravidelných príjmov a osobitne pri nepravidelných príjmov. Táto úprava v zásade vytvára právne podmienky na to, aby poskytovateľ sociálnej služby u prijímateľov sociálnej služby, ktorí platia, vzhľadom na právnu ochranu zostatku z ich príjmu, len časť úhrady, resp. úhradu neplatia, mohol reagovať na zmenu v príjme ( napr. v prípade valorizácie dôchodku) už v nasledujúcom mesiaci a nie až s ročnou periodicitou prehodnocovania príjmu, ktorú ustanovovala doterajšia právna úprava. Takto koncipovaná právna úprava a jej uplatňovanie zvýši príjmy z platenia úhrady za sociálnu službu  (čím sa koriguje zníženie príjmu v dôsledku zvýšenia úrovne právnej ochrany  na základe kvalifikovaného odhadu o cca. 81 150 eur).</w:t>
      </w:r>
    </w:p>
    <w:p w:rsidR="00903C45" w:rsidP="00903C45">
      <w:pPr>
        <w:bidi w:val="0"/>
        <w:jc w:val="both"/>
        <w:rPr>
          <w:rFonts w:ascii="Times New Roman" w:hAnsi="Times New Roman"/>
        </w:rPr>
      </w:pPr>
      <w:r w:rsidR="00B20F59">
        <w:rPr>
          <w:rFonts w:ascii="Times New Roman" w:hAnsi="Times New Roman"/>
        </w:rPr>
        <w:tab/>
      </w:r>
      <w:r>
        <w:rPr>
          <w:rFonts w:ascii="Times New Roman" w:hAnsi="Times New Roman"/>
        </w:rPr>
        <w:t>Pri platení úhrady za sociálnu službu sa s príjmom prijímateľa sociálnej služby spoločne posudzujú a započítavajú aj príjmy osôb vymedzených v  § 72a ods. 8- to znamená, že za predpokladu, že cca 68 % prijímateľov sociálnych služieb má spoločne posudzovanú osobu, ktorej príjem a majetok ovplyvňuje v konečnom dôsledku možnosť platenia úhrady za sociálnu službu, i pri uplatnení právnej ochrany zostatku z príjmu,</w:t>
      </w:r>
      <w:r w:rsidRPr="007B702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táto skutková okolnosť zvýši príjmy z platenia úhrady za sociálnu službu  ( čím sa koriguje zníženie príjmu v dôsledku zvýšenia úrovne právnej ochrany  na základe kvalifikovaného odhadu o cca 121 726 eur).</w:t>
      </w:r>
    </w:p>
    <w:p w:rsidR="00903C45" w:rsidP="00903C45">
      <w:pPr>
        <w:bidi w:val="0"/>
        <w:jc w:val="both"/>
        <w:rPr>
          <w:rFonts w:ascii="Times New Roman" w:hAnsi="Times New Roman"/>
        </w:rPr>
      </w:pPr>
      <w:r w:rsidR="00B20F59">
        <w:rPr>
          <w:rFonts w:ascii="Times New Roman" w:hAnsi="Times New Roman"/>
        </w:rPr>
        <w:tab/>
      </w:r>
      <w:r>
        <w:rPr>
          <w:rFonts w:ascii="Times New Roman" w:hAnsi="Times New Roman"/>
        </w:rPr>
        <w:t>Zákon o sociálnych službách obsahuje (i v doterajšom znení) povinnosť vymáhať nezaplatenú úhradu za sociálnu službu alebo jej časť ( v dôsledku uplatnenej právnej ochrany povinného zostatku z príjmu po zaplatení úhrady za sociálnu službu) od zaopatrených plnoletých detí a rodičov, ak sa ich príjmy spoločne nezapočítavajú a neposudzujú s prijímateľom sociálnej služby ( § 73 ods. 10 a 11).</w:t>
      </w:r>
      <w:r w:rsidRPr="0083459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Táto právna skutočnosť a jej uplatňovanie zvýši príjmy z platenia úhrady za sociálnu službu  ( čím sa koriguje zníženie príjmu v dôsledku zvýšenia úrovne právnej ochrany  na základe kvalifikovaného odhadu o cca 121 726 eur)</w:t>
      </w:r>
    </w:p>
    <w:p w:rsidR="00903C45" w:rsidP="00903C45">
      <w:pPr>
        <w:bidi w:val="0"/>
        <w:jc w:val="both"/>
        <w:rPr>
          <w:rFonts w:ascii="Times New Roman" w:hAnsi="Times New Roman"/>
        </w:rPr>
      </w:pPr>
      <w:r w:rsidR="00B20F59">
        <w:rPr>
          <w:rFonts w:ascii="Times New Roman" w:hAnsi="Times New Roman"/>
        </w:rPr>
        <w:tab/>
      </w:r>
      <w:r>
        <w:rPr>
          <w:rFonts w:ascii="Times New Roman" w:hAnsi="Times New Roman"/>
        </w:rPr>
        <w:t>Nezaplatená úhrada alebo jej časť ( ak je uplatnená ochrana zostatku z príjmu po zaplatení úhrady za sociálnu službu u prijímateľa sociálnej služby a nevznikne povinnosť platiť túto nezaplatenú úhradu alebo jej časť zo strany povinných plnoletých zaopatrených detí alebo rodičov,</w:t>
      </w:r>
      <w:r w:rsidRPr="0083459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ak sa ich príjmy spoločne nezapočítavajú a neposudzujú s prijímateľom sociálnej služby – napr. z dôvodu neexistencie týchto osôb, resp. z dôvodu uplatnenia právnej ochrany povinného zostatku z ich príjmu po zaplatení tejto úhrady - § 73 ods. 8) je pohľadávka poskytovateľa sociálnej služby, ktorá sa priebežne vymáha pri zmenených príjmových a majetkových pomeroch prijímateľa sociálnej služby a nezaniká  jeho smrťou a vymáha sa najneskôr v dedičskom konaní po zomrelom prijímateľovi sociálnej služby. V dôsledku náležitej správy a vymáhania pohľadávok nezaplatenej úhrady alebo jej časti sa zvýšia príjmy z platenia úhrady za sociálnu službu  ( čím sa koriguje zníženie príjmu v dôsledku zvýšenia úrovne právnej ochrany  na základe kvalifikovaného odhadu o</w:t>
      </w:r>
      <w:r w:rsidR="003E42B0">
        <w:rPr>
          <w:rFonts w:ascii="Times New Roman" w:hAnsi="Times New Roman"/>
        </w:rPr>
        <w:t> </w:t>
      </w:r>
      <w:r>
        <w:rPr>
          <w:rFonts w:ascii="Times New Roman" w:hAnsi="Times New Roman"/>
        </w:rPr>
        <w:t>cca</w:t>
      </w:r>
      <w:r w:rsidR="003E42B0">
        <w:rPr>
          <w:rFonts w:ascii="Times New Roman" w:hAnsi="Times New Roman"/>
        </w:rPr>
        <w:t xml:space="preserve"> 20 287 eur</w:t>
      </w:r>
      <w:r>
        <w:rPr>
          <w:rFonts w:ascii="Times New Roman" w:hAnsi="Times New Roman"/>
        </w:rPr>
        <w:t>)</w:t>
      </w:r>
    </w:p>
    <w:p w:rsidR="00903C45" w:rsidP="00903C45">
      <w:pPr>
        <w:bidi w:val="0"/>
        <w:jc w:val="both"/>
        <w:rPr>
          <w:rFonts w:ascii="Times New Roman" w:hAnsi="Times New Roman"/>
        </w:rPr>
      </w:pPr>
      <w:r w:rsidR="00B20F59">
        <w:rPr>
          <w:rFonts w:ascii="Times New Roman" w:hAnsi="Times New Roman"/>
        </w:rPr>
        <w:tab/>
      </w:r>
      <w:r>
        <w:rPr>
          <w:rFonts w:ascii="Times New Roman" w:hAnsi="Times New Roman"/>
        </w:rPr>
        <w:t>Je v samosprávnej pôsobnosti obcí určovať výšku úhrady za poskytované sociálne služby verejnými poskytovateľmi sociálnej služby vo svojom územnom obvode, a to vo všeobecne záväznom nariadení (§ 72 ods. 2), a to v súlade s nimi uplatňovanou sociálnou politikou v území. Zvýšením regulovanej úhrady za sociálne služby ( najmä  v nadväznosti na vývoj cien výrobkov, tovarov a služieb v území a</w:t>
      </w:r>
      <w:r w:rsidR="00EF6EB3">
        <w:rPr>
          <w:rFonts w:ascii="Times New Roman" w:hAnsi="Times New Roman"/>
        </w:rPr>
        <w:t> </w:t>
      </w:r>
      <w:r>
        <w:rPr>
          <w:rFonts w:ascii="Times New Roman" w:hAnsi="Times New Roman"/>
        </w:rPr>
        <w:t>sociálno-ekonomickú situáciu obyvateľstva v území) je v samosprávnej pôsobnosti obcí a vyšších územných celkov zvýšiť príjmy z platenia úhrady za sociálnu službu  ( čím sa koriguje zníženie príjmu v dôsledku zvýšenia úrovne právnej ochrany  na základe kvalifikovaného odhadu o</w:t>
      </w:r>
      <w:r w:rsidR="003E42B0">
        <w:rPr>
          <w:rFonts w:ascii="Times New Roman" w:hAnsi="Times New Roman"/>
        </w:rPr>
        <w:t> </w:t>
      </w:r>
      <w:r>
        <w:rPr>
          <w:rFonts w:ascii="Times New Roman" w:hAnsi="Times New Roman"/>
        </w:rPr>
        <w:t>cca</w:t>
      </w:r>
      <w:r w:rsidR="003E42B0">
        <w:rPr>
          <w:rFonts w:ascii="Times New Roman" w:hAnsi="Times New Roman"/>
        </w:rPr>
        <w:t xml:space="preserve"> 60 863 eur).</w:t>
      </w:r>
    </w:p>
    <w:p w:rsidR="00F332CA" w:rsidP="00F332CA">
      <w:pPr>
        <w:bidi w:val="0"/>
        <w:jc w:val="both"/>
        <w:rPr>
          <w:rFonts w:ascii="Times New Roman" w:hAnsi="Times New Roman"/>
        </w:rPr>
      </w:pPr>
      <w:r w:rsidR="00B20F59">
        <w:rPr>
          <w:rFonts w:ascii="Times New Roman" w:hAnsi="Times New Roman"/>
        </w:rPr>
        <w:tab/>
      </w:r>
      <w:r>
        <w:rPr>
          <w:rFonts w:ascii="Times New Roman" w:hAnsi="Times New Roman"/>
        </w:rPr>
        <w:t>Navrhované zvýšenie právnej ochrany zostatku z príjmu po zaplatení úhrady za sociálnu službu ovplyvní v zásade aj príjmy rozpočtov vyšších územných celkov, resp. vyšším ú</w:t>
      </w:r>
      <w:r w:rsidR="00EF6EB3">
        <w:rPr>
          <w:rFonts w:ascii="Times New Roman" w:hAnsi="Times New Roman"/>
        </w:rPr>
        <w:t xml:space="preserve">zemným celkom zriadených </w:t>
      </w:r>
      <w:r>
        <w:rPr>
          <w:rFonts w:ascii="Times New Roman" w:hAnsi="Times New Roman"/>
        </w:rPr>
        <w:t>alebo založených právnických osôb, ako  verejných poskytovateľov sociálnych služieb.</w:t>
      </w:r>
    </w:p>
    <w:p w:rsidR="00F332CA" w:rsidP="00EF6EB3">
      <w:pPr>
        <w:bidi w:val="0"/>
        <w:rPr>
          <w:rFonts w:ascii="Times New Roman" w:hAnsi="Times New Roman"/>
        </w:rPr>
      </w:pPr>
      <w:r w:rsidR="00B20F59">
        <w:rPr>
          <w:rFonts w:ascii="Times New Roman" w:hAnsi="Times New Roman"/>
        </w:rPr>
        <w:tab/>
      </w:r>
      <w:r>
        <w:rPr>
          <w:rFonts w:ascii="Times New Roman" w:hAnsi="Times New Roman"/>
        </w:rPr>
        <w:t>Ide o predpokladané zníženie príjmov z titulu platenia úhrady za sociálnu službu</w:t>
      </w:r>
      <w:r w:rsidR="00EF6EB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u rozpočtov VUC na rozpočtový rok 2014, 2015, 2016 o cca  915 288 eur, 1 020 546 eur a 1 048 102 eur. </w:t>
      </w:r>
    </w:p>
    <w:p w:rsidR="00F332CA" w:rsidP="00F332CA">
      <w:pPr>
        <w:bidi w:val="0"/>
        <w:jc w:val="both"/>
        <w:rPr>
          <w:rFonts w:ascii="Times New Roman" w:hAnsi="Times New Roman"/>
        </w:rPr>
      </w:pPr>
      <w:r w:rsidR="00B20F59">
        <w:rPr>
          <w:rFonts w:ascii="Times New Roman" w:hAnsi="Times New Roman"/>
        </w:rPr>
        <w:tab/>
      </w:r>
      <w:r w:rsidR="00EF6EB3">
        <w:rPr>
          <w:rFonts w:ascii="Times New Roman" w:hAnsi="Times New Roman"/>
        </w:rPr>
        <w:t>Pri výpočte vplyvov na rozpočty obcí a vyšších územných celkov v dôsledku zvýšenia ochrany príjmu pred neprimeranou úhradou boli vzaté do úvahy nasledovné skutočnosti:</w:t>
      </w:r>
    </w:p>
    <w:p w:rsidR="00F332CA" w:rsidP="00F332CA">
      <w:pPr>
        <w:bidi w:val="0"/>
        <w:jc w:val="both"/>
        <w:rPr>
          <w:rFonts w:ascii="Times New Roman" w:hAnsi="Times New Roman"/>
        </w:rPr>
      </w:pPr>
      <w:r w:rsidR="00B20F59">
        <w:rPr>
          <w:rFonts w:ascii="Times New Roman" w:hAnsi="Times New Roman"/>
        </w:rPr>
        <w:tab/>
      </w:r>
      <w:r>
        <w:rPr>
          <w:rFonts w:ascii="Times New Roman" w:hAnsi="Times New Roman"/>
        </w:rPr>
        <w:t>Vychádzajúc z analýzy úrovne starobný</w:t>
      </w:r>
      <w:r w:rsidR="00EF6EB3">
        <w:rPr>
          <w:rFonts w:ascii="Times New Roman" w:hAnsi="Times New Roman"/>
        </w:rPr>
        <w:t>ch dôchodkov na základe údajov S</w:t>
      </w:r>
      <w:r>
        <w:rPr>
          <w:rFonts w:ascii="Times New Roman" w:hAnsi="Times New Roman"/>
        </w:rPr>
        <w:t>ociálnej poisťovne</w:t>
      </w:r>
      <w:r w:rsidR="00EF6EB3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cca 30,98%</w:t>
      </w:r>
      <w:r w:rsidR="00EF6EB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je poberateľov dôchodku vo výške 255 – 350 eur. Pri aplikácii tohto rozvrstvenia  výšky dôchodkov na jestvujúci počet prijímateľov sociálnej služby možno kvantifikovať, že  počet prijímateľov sociálnych sl</w:t>
      </w:r>
      <w:r w:rsidR="00EF6EB3">
        <w:rPr>
          <w:rFonts w:ascii="Times New Roman" w:hAnsi="Times New Roman"/>
        </w:rPr>
        <w:t>užieb u verejných poskytovateľov</w:t>
      </w:r>
      <w:r>
        <w:rPr>
          <w:rFonts w:ascii="Times New Roman" w:hAnsi="Times New Roman"/>
        </w:rPr>
        <w:t xml:space="preserve"> na</w:t>
      </w:r>
      <w:r w:rsidR="00EF6EB3">
        <w:rPr>
          <w:rFonts w:ascii="Times New Roman" w:hAnsi="Times New Roman"/>
        </w:rPr>
        <w:t xml:space="preserve"> lokálnej a </w:t>
      </w:r>
      <w:r>
        <w:rPr>
          <w:rFonts w:ascii="Times New Roman" w:hAnsi="Times New Roman"/>
        </w:rPr>
        <w:t xml:space="preserve">regionálnej úrovni v roku 2013 bol  </w:t>
      </w:r>
      <w:r w:rsidR="008644AB">
        <w:rPr>
          <w:rFonts w:ascii="Times New Roman" w:hAnsi="Times New Roman"/>
        </w:rPr>
        <w:t>38 656.</w:t>
      </w:r>
      <w:r>
        <w:rPr>
          <w:rFonts w:ascii="Times New Roman" w:hAnsi="Times New Roman"/>
        </w:rPr>
        <w:t xml:space="preserve"> </w:t>
      </w:r>
    </w:p>
    <w:p w:rsidR="00F332CA" w:rsidP="00F332CA">
      <w:pPr>
        <w:bidi w:val="0"/>
        <w:jc w:val="both"/>
        <w:rPr>
          <w:rFonts w:ascii="Times New Roman" w:hAnsi="Times New Roman"/>
        </w:rPr>
      </w:pPr>
      <w:r w:rsidR="00B20F59">
        <w:rPr>
          <w:rFonts w:ascii="Times New Roman" w:hAnsi="Times New Roman"/>
        </w:rPr>
        <w:tab/>
      </w:r>
      <w:r w:rsidR="00EF6EB3">
        <w:rPr>
          <w:rFonts w:ascii="Times New Roman" w:hAnsi="Times New Roman"/>
        </w:rPr>
        <w:t>Navrhovaná právna úprava (</w:t>
      </w:r>
      <w:r>
        <w:rPr>
          <w:rFonts w:ascii="Times New Roman" w:hAnsi="Times New Roman"/>
        </w:rPr>
        <w:t xml:space="preserve">§ </w:t>
      </w:r>
      <w:smartTag w:uri="urn:schemas-microsoft-com:office:smarttags" w:element="metricconverter">
        <w:smartTagPr>
          <w:attr w:name="ProductID" w:val="72 a"/>
        </w:smartTagPr>
        <w:r>
          <w:rPr>
            <w:rFonts w:ascii="Times New Roman" w:hAnsi="Times New Roman"/>
          </w:rPr>
          <w:t>72 a</w:t>
        </w:r>
      </w:smartTag>
      <w:r>
        <w:rPr>
          <w:rFonts w:ascii="Times New Roman" w:hAnsi="Times New Roman"/>
        </w:rPr>
        <w:t>) obsahuje novú právnu úpravu zisťovania príjmu na účely platenia úhrady za sociálnu službu, a to v zásade osobitne pri pravidelných príjmov a osobitne pri nepravidelných príjmov. Táto úprava v zásade vytvára právne podmienky na to, aby poskytovateľ sociálnej služby u prijímateľov sociálnej služby, ktorí platia, vzhľadom na právnu ochranu zostatku z ich príjmu, len časť úhrady, resp. úhradu neplatia, moh</w:t>
      </w:r>
      <w:r w:rsidR="00EF6EB3">
        <w:rPr>
          <w:rFonts w:ascii="Times New Roman" w:hAnsi="Times New Roman"/>
        </w:rPr>
        <w:t>ol reagovať na zmenu v príjme (</w:t>
      </w:r>
      <w:r>
        <w:rPr>
          <w:rFonts w:ascii="Times New Roman" w:hAnsi="Times New Roman"/>
        </w:rPr>
        <w:t>napr. v prípade valorizácie dôchodku) už v nasledujúcom mesiaci a nie až s ročnou periodicitou prehodnocovania príjmu, ktorú ustanovovala doterajšia právna úprava. Takto koncipovaná právna úprava a jej uplatňovanie zvýši príjmy z platen</w:t>
      </w:r>
      <w:r w:rsidR="00EF6EB3">
        <w:rPr>
          <w:rFonts w:ascii="Times New Roman" w:hAnsi="Times New Roman"/>
        </w:rPr>
        <w:t>ia úhrady za sociálnu službu  (</w:t>
      </w:r>
      <w:r>
        <w:rPr>
          <w:rFonts w:ascii="Times New Roman" w:hAnsi="Times New Roman"/>
        </w:rPr>
        <w:t>čím sa koriguje zníženie príjmu v dôsledku zvýšenia úrovne právnej ochrany  na základe kvalifikovaného odhadu o</w:t>
      </w:r>
      <w:r w:rsidR="008644AB">
        <w:rPr>
          <w:rFonts w:ascii="Times New Roman" w:hAnsi="Times New Roman"/>
        </w:rPr>
        <w:t> </w:t>
      </w:r>
      <w:r>
        <w:rPr>
          <w:rFonts w:ascii="Times New Roman" w:hAnsi="Times New Roman"/>
        </w:rPr>
        <w:t>cca</w:t>
      </w:r>
      <w:r w:rsidR="008644AB">
        <w:rPr>
          <w:rFonts w:ascii="Times New Roman" w:hAnsi="Times New Roman"/>
        </w:rPr>
        <w:t xml:space="preserve">  183 059 eur).</w:t>
      </w:r>
    </w:p>
    <w:p w:rsidR="00F332CA" w:rsidP="00F332CA">
      <w:pPr>
        <w:bidi w:val="0"/>
        <w:jc w:val="both"/>
        <w:rPr>
          <w:rFonts w:ascii="Times New Roman" w:hAnsi="Times New Roman"/>
        </w:rPr>
      </w:pPr>
      <w:r w:rsidR="00B20F59">
        <w:rPr>
          <w:rFonts w:ascii="Times New Roman" w:hAnsi="Times New Roman"/>
        </w:rPr>
        <w:tab/>
      </w:r>
      <w:r>
        <w:rPr>
          <w:rFonts w:ascii="Times New Roman" w:hAnsi="Times New Roman"/>
        </w:rPr>
        <w:t>Pri platení úhrady za sociálnu službu sa s príjmom prijímateľa sociálnej služby spoločne posudzujú a započítavajú aj príjmy osôb vymedzených v  § 72a ods. 8</w:t>
      </w:r>
      <w:r w:rsidR="00EF6EB3">
        <w:rPr>
          <w:rFonts w:ascii="Times New Roman" w:hAnsi="Times New Roman"/>
        </w:rPr>
        <w:t>. T</w:t>
      </w:r>
      <w:r>
        <w:rPr>
          <w:rFonts w:ascii="Times New Roman" w:hAnsi="Times New Roman"/>
        </w:rPr>
        <w:t>o znamená, že za predpokladu, že cca 68 % prijímateľov sociálnych služieb má spoločne posudzovanú osobu, ktorej príjem a majetok ovplyvňuje v konečnom dôsledku možnosť platenia úhrady za sociálnu službu, i pri uplatnení právnej ochrany zostatku z príjmu,</w:t>
      </w:r>
      <w:r w:rsidRPr="007B702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táto skutková okolnosť zvýši príjmy z platenia úhrady za sociálnu službu </w:t>
      </w:r>
      <w:r w:rsidR="00EF6EB3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čím sa koriguje zníženie príjmu v dôsledku zvýšenia úrovne právnej ochrany  na základe kvalifikovaného odhadu o cca.</w:t>
      </w:r>
      <w:r w:rsidR="008644AB">
        <w:rPr>
          <w:rFonts w:ascii="Times New Roman" w:hAnsi="Times New Roman"/>
        </w:rPr>
        <w:t xml:space="preserve"> 274 586 eur)</w:t>
      </w:r>
    </w:p>
    <w:p w:rsidR="00F332CA" w:rsidP="00F332CA">
      <w:pPr>
        <w:bidi w:val="0"/>
        <w:jc w:val="both"/>
        <w:rPr>
          <w:rFonts w:ascii="Times New Roman" w:hAnsi="Times New Roman"/>
        </w:rPr>
      </w:pPr>
      <w:r w:rsidR="00B20F59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Zákon o sociálnych službách obsahuje (i v doterajšom znení) povinnosť vymáhať nezaplatenú úhradu za sociálnu službu alebo </w:t>
      </w:r>
      <w:r w:rsidR="002F3D7D">
        <w:rPr>
          <w:rFonts w:ascii="Times New Roman" w:hAnsi="Times New Roman"/>
        </w:rPr>
        <w:t>jej časť (</w:t>
      </w:r>
      <w:r>
        <w:rPr>
          <w:rFonts w:ascii="Times New Roman" w:hAnsi="Times New Roman"/>
        </w:rPr>
        <w:t>v dôsledku uplatnenej právnej ochrany povinného zostatku z príjmu po zaplatení úhrady za sociálnu službu) od zaopatrených plnoletých detí a rodičov, ak sa ich príjmy spoločne nezapočítavajú a neposudzujú s </w:t>
      </w:r>
      <w:r w:rsidR="002F3D7D">
        <w:rPr>
          <w:rFonts w:ascii="Times New Roman" w:hAnsi="Times New Roman"/>
        </w:rPr>
        <w:t>prijímateľom sociálnej služby (</w:t>
      </w:r>
      <w:r>
        <w:rPr>
          <w:rFonts w:ascii="Times New Roman" w:hAnsi="Times New Roman"/>
        </w:rPr>
        <w:t>§ 73 ods. 10 a 11).</w:t>
      </w:r>
      <w:r w:rsidRPr="0083459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Táto právna skutočnosť a jej uplatňovanie zvýši príjmy z platen</w:t>
      </w:r>
      <w:r w:rsidR="002F3D7D">
        <w:rPr>
          <w:rFonts w:ascii="Times New Roman" w:hAnsi="Times New Roman"/>
        </w:rPr>
        <w:t>ia úhrady za sociálnu službu (</w:t>
      </w:r>
      <w:r>
        <w:rPr>
          <w:rFonts w:ascii="Times New Roman" w:hAnsi="Times New Roman"/>
        </w:rPr>
        <w:t>čím sa koriguje zníženie príjmu v dôsledku zvýšenia úrovne právnej ochrany  na základe kvalifikovaného odhadu o cca.</w:t>
      </w:r>
      <w:r w:rsidR="008644AB">
        <w:rPr>
          <w:rFonts w:ascii="Times New Roman" w:hAnsi="Times New Roman"/>
        </w:rPr>
        <w:t>274 586 eur)</w:t>
      </w:r>
      <w:r w:rsidR="002F3D7D">
        <w:rPr>
          <w:rFonts w:ascii="Times New Roman" w:hAnsi="Times New Roman"/>
        </w:rPr>
        <w:t>.</w:t>
      </w:r>
    </w:p>
    <w:p w:rsidR="00F332CA" w:rsidP="00F332CA">
      <w:pPr>
        <w:bidi w:val="0"/>
        <w:jc w:val="both"/>
        <w:rPr>
          <w:rFonts w:ascii="Times New Roman" w:hAnsi="Times New Roman"/>
        </w:rPr>
      </w:pPr>
      <w:r w:rsidR="00B20F59">
        <w:rPr>
          <w:rFonts w:ascii="Times New Roman" w:hAnsi="Times New Roman"/>
        </w:rPr>
        <w:tab/>
      </w:r>
      <w:r>
        <w:rPr>
          <w:rFonts w:ascii="Times New Roman" w:hAnsi="Times New Roman"/>
        </w:rPr>
        <w:t>Nezaplatená úhrada</w:t>
      </w:r>
      <w:r w:rsidR="002F3D7D">
        <w:rPr>
          <w:rFonts w:ascii="Times New Roman" w:hAnsi="Times New Roman"/>
        </w:rPr>
        <w:t xml:space="preserve"> alebo jej časť (</w:t>
      </w:r>
      <w:r>
        <w:rPr>
          <w:rFonts w:ascii="Times New Roman" w:hAnsi="Times New Roman"/>
        </w:rPr>
        <w:t>ak je uplatnená ochrana zostatku z príjmu po zaplatení úhrady za sociálnu službu u prijímateľa sociálnej služby a nevznikne povinnosť platiť túto nezaplatenú úhradu alebo jej časť zo strany povinných plnoletých zaopatrených detí alebo rodičov,</w:t>
      </w:r>
      <w:r w:rsidRPr="0083459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ak sa ich príjmy spoločne nezapočítavajú a neposudzujú s prijímateľom sociálnej služby – napr. z dôvodu neexistencie týchto osôb, resp. z dôvodu uplatnenia právnej ochrany povinného zostatku z ich príjmu po zaplatení tejto úhrady - § 73 ods. 8) je pohľadávka poskytovateľa sociálnej služby, ktorá sa priebežne vymáha pri zmenených príjmových a majetkových pomeroch prijímateľa sociálnej služby a nezaniká  jeho smrťou a vymáha sa najneskôr v dedičskom konaní po zomrelom prijímateľovi sociálnej služby. </w:t>
      </w:r>
      <w:r w:rsidR="00B20F59">
        <w:rPr>
          <w:rFonts w:ascii="Times New Roman" w:hAnsi="Times New Roman"/>
        </w:rPr>
        <w:tab/>
      </w:r>
      <w:r>
        <w:rPr>
          <w:rFonts w:ascii="Times New Roman" w:hAnsi="Times New Roman"/>
        </w:rPr>
        <w:t>V dôsledku náležitej správy a vymáhania pohľadávok nezaplatenej úhrady alebo jej časti sa zvýšia príjmy z platen</w:t>
      </w:r>
      <w:r w:rsidR="002F3D7D">
        <w:rPr>
          <w:rFonts w:ascii="Times New Roman" w:hAnsi="Times New Roman"/>
        </w:rPr>
        <w:t>ia úhrady za sociálnu službu (</w:t>
      </w:r>
      <w:r>
        <w:rPr>
          <w:rFonts w:ascii="Times New Roman" w:hAnsi="Times New Roman"/>
        </w:rPr>
        <w:t>čím sa koriguje zníženie príjmu v dôsledku zvýšenia úrovne právnej ochrany  na základe kvalifikovaného odhadu o</w:t>
      </w:r>
      <w:r w:rsidR="008644AB">
        <w:rPr>
          <w:rFonts w:ascii="Times New Roman" w:hAnsi="Times New Roman"/>
        </w:rPr>
        <w:t> </w:t>
      </w:r>
      <w:r>
        <w:rPr>
          <w:rFonts w:ascii="Times New Roman" w:hAnsi="Times New Roman"/>
        </w:rPr>
        <w:t>cca</w:t>
      </w:r>
      <w:r w:rsidR="008644AB">
        <w:rPr>
          <w:rFonts w:ascii="Times New Roman" w:hAnsi="Times New Roman"/>
        </w:rPr>
        <w:t xml:space="preserve"> 45 764 eur)</w:t>
      </w:r>
      <w:r w:rsidR="002F3D7D">
        <w:rPr>
          <w:rFonts w:ascii="Times New Roman" w:hAnsi="Times New Roman"/>
        </w:rPr>
        <w:t>.</w:t>
      </w:r>
    </w:p>
    <w:p w:rsidR="00F332CA" w:rsidP="00F332CA">
      <w:pPr>
        <w:bidi w:val="0"/>
        <w:jc w:val="both"/>
        <w:rPr>
          <w:rFonts w:ascii="Times New Roman" w:hAnsi="Times New Roman"/>
        </w:rPr>
      </w:pPr>
      <w:r w:rsidR="00B20F59">
        <w:rPr>
          <w:rFonts w:ascii="Times New Roman" w:hAnsi="Times New Roman"/>
        </w:rPr>
        <w:tab/>
      </w:r>
      <w:r>
        <w:rPr>
          <w:rFonts w:ascii="Times New Roman" w:hAnsi="Times New Roman"/>
        </w:rPr>
        <w:t>Je v samosprávnej pôsobnosti obcí a vyšších územných celkov určovať výšku úhrady za poskytované sociálne služby verejnými poskytovateľmi sociálnej služby vo svojom územnom obvode , a to vo všeobecne záväznom nariadení (§ 72 ods. 2), a to v súlade s nimi uplatňovanou sociálnou politikou v území. Zvýšením regulovanej úhrady za sociálne služby ( najmä  v nadväznosti na vývoj cien výrobkov, tovarov a služieb v území a sociálno- ekonomickú situáciu obyvateľstva v území) je v samosprávnej pôsobnosti obcí a vyšších územných celkov zvýšiť príjmy z platenia úhrady za sociálnu službu  ( čím sa koriguje zníženie príjmu v dôsledku zvýšenia úrovne právnej ochrany  na základe kvalifikovaného odhadu o</w:t>
      </w:r>
      <w:r w:rsidR="008644AB">
        <w:rPr>
          <w:rFonts w:ascii="Times New Roman" w:hAnsi="Times New Roman"/>
        </w:rPr>
        <w:t> </w:t>
      </w:r>
      <w:r>
        <w:rPr>
          <w:rFonts w:ascii="Times New Roman" w:hAnsi="Times New Roman"/>
        </w:rPr>
        <w:t>cca</w:t>
      </w:r>
      <w:r w:rsidR="008644AB">
        <w:rPr>
          <w:rFonts w:ascii="Times New Roman" w:hAnsi="Times New Roman"/>
        </w:rPr>
        <w:t xml:space="preserve">  137 293 eur).</w:t>
      </w:r>
    </w:p>
    <w:p w:rsidR="005007B3" w:rsidP="005007B3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 výpočte vplyvov na </w:t>
      </w:r>
      <w:r w:rsidRPr="00C14F7D">
        <w:rPr>
          <w:rFonts w:ascii="Times New Roman" w:hAnsi="Times New Roman"/>
          <w:b/>
        </w:rPr>
        <w:t>rozpočet vyšších územných celkov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(zníženie príjmov z platenia úhrady za sociálnu službu) bol spôsob výpočtu nasledovný: </w:t>
      </w:r>
    </w:p>
    <w:p w:rsidR="005007B3" w:rsidP="005007B3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zariadeniach s celoročným pobytom sa navrhuje zvýšenie ochrany príjmu vo výške 9,72 </w:t>
      </w:r>
      <w:r w:rsidR="00ED69ED">
        <w:rPr>
          <w:rFonts w:ascii="Times New Roman" w:hAnsi="Times New Roman"/>
        </w:rPr>
        <w:t>eur</w:t>
      </w:r>
      <w:r>
        <w:rPr>
          <w:rFonts w:ascii="Times New Roman" w:hAnsi="Times New Roman"/>
        </w:rPr>
        <w:t xml:space="preserve"> mesačne na jedného klienta, pri počte klientov 11 066 to predstavuje</w:t>
      </w:r>
      <w:r w:rsidRPr="001F2EB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vplyv vo výške 1 290738 </w:t>
      </w:r>
      <w:r w:rsidR="00ED69ED">
        <w:rPr>
          <w:rFonts w:ascii="Times New Roman" w:hAnsi="Times New Roman"/>
        </w:rPr>
        <w:t>eur</w:t>
      </w:r>
      <w:r>
        <w:rPr>
          <w:rFonts w:ascii="Times New Roman" w:hAnsi="Times New Roman"/>
        </w:rPr>
        <w:t xml:space="preserve">  za 12 mesiacov (9,72x11 066x12). </w:t>
      </w:r>
    </w:p>
    <w:p w:rsidR="005007B3" w:rsidP="005007B3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zariadeniach s týždenným pobytom sa navrhuje zvýšenie ochrany príjmu vo výške19,47 </w:t>
      </w:r>
      <w:r w:rsidR="00ED69ED">
        <w:rPr>
          <w:rFonts w:ascii="Times New Roman" w:hAnsi="Times New Roman"/>
        </w:rPr>
        <w:t>eur</w:t>
      </w:r>
      <w:r>
        <w:rPr>
          <w:rFonts w:ascii="Times New Roman" w:hAnsi="Times New Roman"/>
        </w:rPr>
        <w:t xml:space="preserve"> mesačne na jedného klienta, pri počte klientov 209 to predstavuje</w:t>
      </w:r>
      <w:r w:rsidRPr="00C55A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vplyv vo výške   48 831 </w:t>
      </w:r>
      <w:r w:rsidR="00ED69ED">
        <w:rPr>
          <w:rFonts w:ascii="Times New Roman" w:hAnsi="Times New Roman"/>
        </w:rPr>
        <w:t>eur</w:t>
      </w:r>
      <w:r>
        <w:rPr>
          <w:rFonts w:ascii="Times New Roman" w:hAnsi="Times New Roman"/>
        </w:rPr>
        <w:t xml:space="preserve">  za 12 mesiacov (19,47x209x12). </w:t>
      </w:r>
    </w:p>
    <w:p w:rsidR="005007B3" w:rsidP="005007B3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zariadeniach s denným pobytom sa navrhuje zvýšenie ochrany príjmu vo výške 58,37 </w:t>
      </w:r>
      <w:r w:rsidR="00ED69ED">
        <w:rPr>
          <w:rFonts w:ascii="Times New Roman" w:hAnsi="Times New Roman"/>
        </w:rPr>
        <w:t>eur</w:t>
      </w:r>
      <w:r>
        <w:rPr>
          <w:rFonts w:ascii="Times New Roman" w:hAnsi="Times New Roman"/>
        </w:rPr>
        <w:t xml:space="preserve"> mesačne na jedného klienta, pri počte klientov 701 to predstavuje vplyv vo výške  491 008 </w:t>
      </w:r>
      <w:r w:rsidR="00ED69ED">
        <w:rPr>
          <w:rFonts w:ascii="Times New Roman" w:hAnsi="Times New Roman"/>
        </w:rPr>
        <w:t>eur</w:t>
      </w:r>
      <w:r>
        <w:rPr>
          <w:rFonts w:ascii="Times New Roman" w:hAnsi="Times New Roman"/>
        </w:rPr>
        <w:t xml:space="preserve">  za 12 mesiacov (58,37x701x12). </w:t>
      </w:r>
    </w:p>
    <w:p w:rsidR="005007B3" w:rsidP="005007B3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Predpokladaný celkový vplyv na rozpočty vyšších územných celkov (zníženie príjmov z platenia úhrady za sociálnu službu)je vo výške  </w:t>
      </w:r>
      <w:r w:rsidRPr="00F423FE" w:rsidR="00F423FE">
        <w:rPr>
          <w:rFonts w:ascii="Times New Roman" w:hAnsi="Times New Roman"/>
          <w:b/>
        </w:rPr>
        <w:t>915 288</w:t>
      </w:r>
      <w:r w:rsidRPr="00D8017D">
        <w:rPr>
          <w:rFonts w:ascii="Times New Roman" w:hAnsi="Times New Roman"/>
          <w:b/>
        </w:rPr>
        <w:t xml:space="preserve"> </w:t>
      </w:r>
      <w:r w:rsidR="00ED69ED">
        <w:rPr>
          <w:rFonts w:ascii="Times New Roman" w:hAnsi="Times New Roman"/>
          <w:b/>
        </w:rPr>
        <w:t>eur</w:t>
      </w:r>
      <w:r>
        <w:rPr>
          <w:rFonts w:ascii="Times New Roman" w:hAnsi="Times New Roman"/>
        </w:rPr>
        <w:t xml:space="preserve"> a týka cca 11 976 klientov sociálnych služieb.</w:t>
      </w:r>
    </w:p>
    <w:p w:rsidR="003B0BCE" w:rsidP="005007B3">
      <w:pPr>
        <w:bidi w:val="0"/>
        <w:jc w:val="both"/>
        <w:rPr>
          <w:rFonts w:ascii="Times New Roman" w:hAnsi="Times New Roman"/>
        </w:rPr>
      </w:pPr>
    </w:p>
    <w:p w:rsidR="003B0BCE" w:rsidP="005007B3">
      <w:pPr>
        <w:bidi w:val="0"/>
        <w:jc w:val="both"/>
        <w:rPr>
          <w:rFonts w:ascii="Times New Roman" w:hAnsi="Times New Roman"/>
        </w:rPr>
      </w:pPr>
    </w:p>
    <w:p w:rsidR="003B0BCE" w:rsidP="005007B3">
      <w:pPr>
        <w:bidi w:val="0"/>
        <w:jc w:val="both"/>
        <w:rPr>
          <w:rFonts w:ascii="Times New Roman" w:hAnsi="Times New Roman"/>
        </w:rPr>
      </w:pPr>
    </w:p>
    <w:p w:rsidR="003B0BCE" w:rsidP="005007B3">
      <w:pPr>
        <w:bidi w:val="0"/>
        <w:jc w:val="both"/>
        <w:rPr>
          <w:rFonts w:ascii="Times New Roman" w:hAnsi="Times New Roman"/>
        </w:rPr>
      </w:pPr>
    </w:p>
    <w:p w:rsidR="0074118A" w:rsidP="005007B3">
      <w:pPr>
        <w:bidi w:val="0"/>
        <w:jc w:val="both"/>
        <w:rPr>
          <w:rFonts w:ascii="Times New Roman" w:hAnsi="Times New Roman"/>
        </w:rPr>
      </w:pPr>
    </w:p>
    <w:p w:rsidR="005007B3" w:rsidP="005007B3">
      <w:pPr>
        <w:bidi w:val="0"/>
        <w:jc w:val="both"/>
        <w:rPr>
          <w:rFonts w:ascii="Times New Roman" w:hAnsi="Times New Roman"/>
          <w:b/>
        </w:rPr>
        <w:sectPr w:rsidSect="005007B3">
          <w:footerReference w:type="even" r:id="rId5"/>
          <w:footerReference w:type="default" r:id="rId6"/>
          <w:headerReference w:type="first" r:id="rId7"/>
          <w:pgSz w:w="11906" w:h="16838"/>
          <w:pgMar w:top="1418" w:right="1418" w:bottom="1418" w:left="1418" w:header="708" w:footer="708" w:gutter="0"/>
          <w:lnNumType w:distance="0"/>
          <w:pgNumType w:start="0"/>
          <w:cols w:space="708"/>
          <w:noEndnote w:val="0"/>
          <w:titlePg/>
          <w:bidi w:val="0"/>
          <w:docGrid w:linePitch="360"/>
        </w:sectPr>
      </w:pPr>
    </w:p>
    <w:p w:rsidR="005007B3" w:rsidP="005007B3">
      <w:pPr>
        <w:pStyle w:val="BodyText"/>
        <w:tabs>
          <w:tab w:val="num" w:pos="1080"/>
        </w:tabs>
        <w:bidi w:val="0"/>
        <w:jc w:val="right"/>
        <w:rPr>
          <w:rFonts w:ascii="Times New Roman" w:hAnsi="Times New Roman"/>
          <w:bCs/>
        </w:rPr>
      </w:pPr>
      <w:r w:rsidRPr="00B20F59">
        <w:rPr>
          <w:rFonts w:ascii="Times New Roman" w:hAnsi="Times New Roman"/>
          <w:bCs/>
        </w:rPr>
        <w:t xml:space="preserve">Tabuľka č. 4 </w:t>
      </w:r>
    </w:p>
    <w:p w:rsidR="00B20F59" w:rsidRPr="00B20F59" w:rsidP="005007B3">
      <w:pPr>
        <w:pStyle w:val="BodyText"/>
        <w:tabs>
          <w:tab w:val="num" w:pos="1080"/>
        </w:tabs>
        <w:bidi w:val="0"/>
        <w:jc w:val="right"/>
        <w:rPr>
          <w:rFonts w:ascii="Times New Roman" w:hAnsi="Times New Roman"/>
          <w:b/>
          <w:bCs/>
        </w:rPr>
      </w:pPr>
    </w:p>
    <w:p w:rsidR="005007B3" w:rsidRPr="006F6A99" w:rsidP="005007B3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/>
          <w:bCs/>
        </w:rPr>
      </w:pPr>
    </w:p>
    <w:tbl>
      <w:tblPr>
        <w:tblStyle w:val="TableNormal"/>
        <w:tblpPr w:leftFromText="141" w:rightFromText="141" w:horzAnchor="margin" w:tblpXSpec="center" w:tblpY="533"/>
        <w:tblW w:w="13950" w:type="dxa"/>
        <w:tblCellMar>
          <w:left w:w="70" w:type="dxa"/>
          <w:right w:w="70" w:type="dxa"/>
        </w:tblCellMar>
      </w:tblPr>
      <w:tblGrid>
        <w:gridCol w:w="4950"/>
        <w:gridCol w:w="1500"/>
        <w:gridCol w:w="1500"/>
        <w:gridCol w:w="1500"/>
        <w:gridCol w:w="1500"/>
        <w:gridCol w:w="3000"/>
      </w:tblGrid>
      <w:tr>
        <w:tblPrEx>
          <w:tblW w:w="139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4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5007B3" w:rsidRPr="006F6A99" w:rsidP="005007B3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F6A99">
              <w:rPr>
                <w:rFonts w:ascii="Times New Roman" w:hAnsi="Times New Roman"/>
                <w:b/>
                <w:bCs/>
                <w:color w:val="FFFFFF"/>
              </w:rPr>
              <w:t>Príjmy (v eurách)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5007B3" w:rsidRPr="006F6A99" w:rsidP="005007B3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F6A99">
              <w:rPr>
                <w:rFonts w:ascii="Times New Roman" w:hAnsi="Times New Roman"/>
                <w:b/>
                <w:bCs/>
                <w:color w:val="FFFFFF"/>
              </w:rPr>
              <w:t>Vplyv na rozpočet verejnej správy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textDirection w:val="lrTb"/>
            <w:vAlign w:val="center"/>
          </w:tcPr>
          <w:p w:rsidR="005007B3" w:rsidRPr="006F6A99" w:rsidP="005007B3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F6A99">
              <w:rPr>
                <w:rFonts w:ascii="Times New Roman" w:hAnsi="Times New Roman"/>
                <w:b/>
                <w:bCs/>
                <w:color w:val="FFFFFF"/>
              </w:rPr>
              <w:t>poznámka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007B3" w:rsidRPr="006F6A99" w:rsidP="005007B3">
            <w:pPr>
              <w:bidi w:val="0"/>
              <w:rPr>
                <w:rFonts w:ascii="Times New Roman" w:hAnsi="Times New Roman"/>
                <w:b/>
                <w:bCs/>
                <w:color w:val="FFFFFF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5007B3" w:rsidRPr="006F6A99" w:rsidP="005007B3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F6A99">
              <w:rPr>
                <w:rFonts w:ascii="Times New Roman" w:hAnsi="Times New Roman"/>
                <w:b/>
                <w:bCs/>
                <w:color w:val="FFFFFF"/>
              </w:rPr>
              <w:t>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5007B3" w:rsidRPr="006F6A99" w:rsidP="005007B3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F6A99">
              <w:rPr>
                <w:rFonts w:ascii="Times New Roman" w:hAnsi="Times New Roman"/>
                <w:b/>
                <w:bCs/>
                <w:color w:val="FFFFFF"/>
              </w:rPr>
              <w:t>r + 1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5007B3" w:rsidRPr="006F6A99" w:rsidP="005007B3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F6A99">
              <w:rPr>
                <w:rFonts w:ascii="Times New Roman" w:hAnsi="Times New Roman"/>
                <w:b/>
                <w:bCs/>
                <w:color w:val="FFFFFF"/>
              </w:rPr>
              <w:t>r + 2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5007B3" w:rsidRPr="006F6A99" w:rsidP="005007B3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F6A99">
              <w:rPr>
                <w:rFonts w:ascii="Times New Roman" w:hAnsi="Times New Roman"/>
                <w:b/>
                <w:bCs/>
                <w:color w:val="FFFFFF"/>
              </w:rPr>
              <w:t>r + 3</w:t>
            </w: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007B3" w:rsidRPr="006F6A99" w:rsidP="005007B3">
            <w:pPr>
              <w:bidi w:val="0"/>
              <w:rPr>
                <w:rFonts w:ascii="Times New Roman" w:hAnsi="Times New Roman"/>
                <w:b/>
                <w:bCs/>
                <w:color w:val="FFFFFF"/>
              </w:rPr>
            </w:pP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07B3" w:rsidRPr="006F6A99" w:rsidP="005007B3">
            <w:pPr>
              <w:bidi w:val="0"/>
              <w:rPr>
                <w:rFonts w:ascii="Times New Roman" w:hAnsi="Times New Roman"/>
                <w:b/>
                <w:bCs/>
                <w:vertAlign w:val="superscript"/>
              </w:rPr>
            </w:pPr>
            <w:r w:rsidRPr="006F6A99">
              <w:rPr>
                <w:rFonts w:ascii="Times New Roman" w:hAnsi="Times New Roman"/>
                <w:b/>
                <w:bCs/>
              </w:rPr>
              <w:t>Daňové príjmy (100)</w:t>
            </w:r>
            <w:r w:rsidRPr="006F6A99">
              <w:rPr>
                <w:rFonts w:ascii="Times New Roman" w:hAnsi="Times New Roman"/>
                <w:b/>
                <w:bCs/>
                <w:vertAlign w:val="superscript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07B3" w:rsidRPr="006F6A99" w:rsidP="005007B3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07B3" w:rsidRPr="006F6A99" w:rsidP="005007B3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07B3" w:rsidRPr="006F6A99" w:rsidP="005007B3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07B3" w:rsidRPr="006F6A99" w:rsidP="005007B3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007B3" w:rsidRPr="006F6A99" w:rsidP="005007B3">
            <w:pPr>
              <w:bidi w:val="0"/>
              <w:rPr>
                <w:rFonts w:ascii="Times New Roman" w:hAnsi="Times New Roman"/>
              </w:rPr>
            </w:pPr>
            <w:r w:rsidRPr="006F6A99">
              <w:rPr>
                <w:rFonts w:ascii="Times New Roman" w:hAnsi="Times New Roman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D7BE4" w:rsidRPr="006F6A99" w:rsidP="005D7BE4">
            <w:pPr>
              <w:bidi w:val="0"/>
              <w:rPr>
                <w:rFonts w:ascii="Times New Roman" w:hAnsi="Times New Roman"/>
                <w:b/>
                <w:bCs/>
              </w:rPr>
            </w:pPr>
            <w:r w:rsidRPr="006F6A99">
              <w:rPr>
                <w:rFonts w:ascii="Times New Roman" w:hAnsi="Times New Roman"/>
                <w:b/>
                <w:bCs/>
              </w:rPr>
              <w:t>Nedaňové príjmy (200)</w:t>
            </w:r>
            <w:r w:rsidRPr="006F6A99">
              <w:rPr>
                <w:rFonts w:ascii="Times New Roman" w:hAnsi="Times New Roman"/>
                <w:b/>
                <w:bCs/>
                <w:vertAlign w:val="superscript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D7BE4" w:rsidRPr="006F6A99" w:rsidP="005D7BE4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D7BE4" w:rsidRPr="00FB4966" w:rsidP="005D7BE4">
            <w:pPr>
              <w:bidi w:val="0"/>
              <w:spacing w:line="125" w:lineRule="atLeast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="00587EB6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1 321 040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D7BE4" w:rsidRPr="00FB4966" w:rsidP="005D7BE4">
            <w:pPr>
              <w:bidi w:val="0"/>
              <w:spacing w:line="125" w:lineRule="atLeast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="00587EB6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1 472 959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D7BE4" w:rsidRPr="00FB4966" w:rsidP="005D7BE4">
            <w:pPr>
              <w:bidi w:val="0"/>
              <w:spacing w:line="125" w:lineRule="atLeast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="00587EB6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1 512 730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D7BE4" w:rsidRPr="006F6A99" w:rsidP="005D7BE4">
            <w:pPr>
              <w:bidi w:val="0"/>
              <w:rPr>
                <w:rFonts w:ascii="Times New Roman" w:hAnsi="Times New Roman"/>
              </w:rPr>
            </w:pPr>
            <w:r w:rsidRPr="006F6A99">
              <w:rPr>
                <w:rFonts w:ascii="Times New Roman" w:hAnsi="Times New Roman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D7BE4" w:rsidRPr="006F6A99" w:rsidP="005D7BE4">
            <w:pPr>
              <w:bidi w:val="0"/>
              <w:rPr>
                <w:rFonts w:ascii="Times New Roman" w:hAnsi="Times New Roman"/>
                <w:b/>
                <w:bCs/>
              </w:rPr>
            </w:pPr>
            <w:r w:rsidRPr="006F6A99">
              <w:rPr>
                <w:rFonts w:ascii="Times New Roman" w:hAnsi="Times New Roman"/>
                <w:b/>
                <w:bCs/>
              </w:rPr>
              <w:t>Granty a transfery (300)</w:t>
            </w:r>
            <w:r w:rsidRPr="006F6A99">
              <w:rPr>
                <w:rFonts w:ascii="Times New Roman" w:hAnsi="Times New Roman"/>
                <w:b/>
                <w:bCs/>
                <w:vertAlign w:val="superscript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D7BE4" w:rsidRPr="006F6A99" w:rsidP="005D7BE4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D7BE4" w:rsidRPr="006F6A99" w:rsidP="005D7BE4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D7BE4" w:rsidRPr="006F6A99" w:rsidP="005D7BE4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D7BE4" w:rsidRPr="006F6A99" w:rsidP="005D7BE4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D7BE4" w:rsidRPr="006F6A99" w:rsidP="005D7BE4">
            <w:pPr>
              <w:bidi w:val="0"/>
              <w:rPr>
                <w:rFonts w:ascii="Times New Roman" w:hAnsi="Times New Roman"/>
              </w:rPr>
            </w:pPr>
            <w:r w:rsidRPr="006F6A99">
              <w:rPr>
                <w:rFonts w:ascii="Times New Roman" w:hAnsi="Times New Roman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D7BE4" w:rsidRPr="006F6A99" w:rsidP="005D7BE4">
            <w:pPr>
              <w:bidi w:val="0"/>
              <w:rPr>
                <w:rFonts w:ascii="Times New Roman" w:hAnsi="Times New Roman"/>
                <w:b/>
                <w:bCs/>
              </w:rPr>
            </w:pPr>
            <w:r w:rsidRPr="006F6A99">
              <w:rPr>
                <w:rFonts w:ascii="Times New Roman" w:hAnsi="Times New Roman"/>
                <w:b/>
                <w:bCs/>
              </w:rPr>
              <w:t>Príjmy z transakcií s finančnými aktívami a finančnými pasívami (400)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5D7BE4" w:rsidRPr="00976C45" w:rsidP="005D7BE4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  <w:r w:rsidRPr="00976C45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5D7BE4" w:rsidRPr="00976C45" w:rsidP="005D7BE4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  <w:r w:rsidRPr="00976C45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5D7BE4" w:rsidRPr="00976C45" w:rsidP="005D7BE4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  <w:r w:rsidRPr="00976C45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5D7BE4" w:rsidRPr="00976C45" w:rsidP="005D7BE4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  <w:r w:rsidRPr="00976C45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D7BE4" w:rsidRPr="006F6A99" w:rsidP="005D7BE4">
            <w:pPr>
              <w:bidi w:val="0"/>
              <w:rPr>
                <w:rFonts w:ascii="Times New Roman" w:hAnsi="Times New Roman"/>
              </w:rPr>
            </w:pPr>
            <w:r w:rsidRPr="006F6A99">
              <w:rPr>
                <w:rFonts w:ascii="Times New Roman" w:hAnsi="Times New Roman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D7BE4" w:rsidRPr="006F6A99" w:rsidP="005D7BE4">
            <w:pPr>
              <w:bidi w:val="0"/>
              <w:rPr>
                <w:rFonts w:ascii="Times New Roman" w:hAnsi="Times New Roman"/>
                <w:b/>
                <w:bCs/>
              </w:rPr>
            </w:pPr>
            <w:r w:rsidRPr="006F6A99">
              <w:rPr>
                <w:rFonts w:ascii="Times New Roman" w:hAnsi="Times New Roman"/>
                <w:b/>
                <w:bCs/>
              </w:rPr>
              <w:t>Prijaté úvery, pôžičky a návratné finančné výpomoci (500)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5D7BE4" w:rsidRPr="00976C45" w:rsidP="005D7BE4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  <w:r w:rsidRPr="00976C45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5D7BE4" w:rsidRPr="00976C45" w:rsidP="005D7BE4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  <w:r w:rsidRPr="00976C45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5D7BE4" w:rsidRPr="00976C45" w:rsidP="005D7BE4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  <w:r w:rsidRPr="00976C45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5D7BE4" w:rsidRPr="00976C45" w:rsidP="005D7BE4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  <w:r w:rsidRPr="00976C45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D7BE4" w:rsidRPr="006F6A99" w:rsidP="005D7BE4">
            <w:pPr>
              <w:bidi w:val="0"/>
              <w:rPr>
                <w:rFonts w:ascii="Times New Roman" w:hAnsi="Times New Roman"/>
              </w:rPr>
            </w:pPr>
            <w:r w:rsidRPr="006F6A99">
              <w:rPr>
                <w:rFonts w:ascii="Times New Roman" w:hAnsi="Times New Roman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5D7BE4" w:rsidRPr="006F6A99" w:rsidP="005D7BE4">
            <w:pPr>
              <w:bidi w:val="0"/>
              <w:rPr>
                <w:rFonts w:ascii="Times New Roman" w:hAnsi="Times New Roman"/>
                <w:b/>
                <w:bCs/>
                <w:color w:val="FFFFFF"/>
              </w:rPr>
            </w:pPr>
            <w:r w:rsidRPr="006F6A99">
              <w:rPr>
                <w:rFonts w:ascii="Times New Roman" w:hAnsi="Times New Roman"/>
                <w:b/>
                <w:bCs/>
                <w:color w:val="FFFFFF"/>
              </w:rPr>
              <w:t>Dopad na príjmy verejnej správy celkom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5D7BE4" w:rsidRPr="006F6A99" w:rsidP="005D7BE4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5D7BE4" w:rsidRPr="00FB4966" w:rsidP="005D7BE4">
            <w:pPr>
              <w:bidi w:val="0"/>
              <w:spacing w:line="125" w:lineRule="atLeast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="00587EB6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1 321 040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5D7BE4" w:rsidRPr="00FB4966" w:rsidP="005D7BE4">
            <w:pPr>
              <w:bidi w:val="0"/>
              <w:spacing w:line="125" w:lineRule="atLeast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="00587EB6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1 472 959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5D7BE4" w:rsidRPr="00FB4966" w:rsidP="005D7BE4">
            <w:pPr>
              <w:bidi w:val="0"/>
              <w:spacing w:line="125" w:lineRule="atLeast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="00587EB6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1 512 730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textDirection w:val="lrTb"/>
            <w:vAlign w:val="bottom"/>
          </w:tcPr>
          <w:p w:rsidR="005D7BE4" w:rsidRPr="006F6A99" w:rsidP="005D7BE4">
            <w:pPr>
              <w:bidi w:val="0"/>
              <w:rPr>
                <w:rFonts w:ascii="Times New Roman" w:hAnsi="Times New Roman"/>
                <w:color w:val="FFFFFF"/>
              </w:rPr>
            </w:pPr>
            <w:r w:rsidRPr="006F6A99">
              <w:rPr>
                <w:rFonts w:ascii="Times New Roman" w:hAnsi="Times New Roman"/>
                <w:color w:val="FFFFFF"/>
              </w:rPr>
              <w:t> </w:t>
            </w:r>
          </w:p>
        </w:tc>
      </w:tr>
    </w:tbl>
    <w:p w:rsidR="005007B3" w:rsidRPr="00861D56" w:rsidP="00B20F59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/>
          <w:bCs/>
          <w:sz w:val="20"/>
        </w:rPr>
      </w:pPr>
      <w:r w:rsidRPr="006F6A99">
        <w:rPr>
          <w:rFonts w:ascii="Times New Roman" w:hAnsi="Times New Roman"/>
          <w:bCs/>
          <w:sz w:val="20"/>
        </w:rPr>
        <w:t>1 –  príjmy rozpísať až do položiek platnej ekonomickej klasifikácie</w:t>
      </w:r>
    </w:p>
    <w:p w:rsidR="00B20F59" w:rsidP="00B20F59">
      <w:pPr>
        <w:pStyle w:val="BodyText"/>
        <w:tabs>
          <w:tab w:val="num" w:pos="1080"/>
        </w:tabs>
        <w:bidi w:val="0"/>
        <w:ind w:right="-578"/>
        <w:jc w:val="right"/>
        <w:rPr>
          <w:rFonts w:ascii="Times New Roman" w:hAnsi="Times New Roman"/>
          <w:bCs/>
        </w:rPr>
      </w:pPr>
    </w:p>
    <w:p w:rsidR="00B20F59" w:rsidP="00B20F59">
      <w:pPr>
        <w:pStyle w:val="BodyText"/>
        <w:tabs>
          <w:tab w:val="num" w:pos="1080"/>
        </w:tabs>
        <w:bidi w:val="0"/>
        <w:ind w:right="-578"/>
        <w:jc w:val="right"/>
        <w:rPr>
          <w:rFonts w:ascii="Times New Roman" w:hAnsi="Times New Roman"/>
          <w:bCs/>
        </w:rPr>
      </w:pPr>
    </w:p>
    <w:p w:rsidR="00B20F59" w:rsidP="00B20F59">
      <w:pPr>
        <w:pStyle w:val="BodyText"/>
        <w:tabs>
          <w:tab w:val="num" w:pos="1080"/>
        </w:tabs>
        <w:bidi w:val="0"/>
        <w:ind w:right="-578"/>
        <w:jc w:val="right"/>
        <w:rPr>
          <w:rFonts w:ascii="Times New Roman" w:hAnsi="Times New Roman"/>
          <w:bCs/>
        </w:rPr>
      </w:pPr>
    </w:p>
    <w:p w:rsidR="00B20F59" w:rsidP="00B20F59">
      <w:pPr>
        <w:pStyle w:val="BodyText"/>
        <w:tabs>
          <w:tab w:val="num" w:pos="1080"/>
        </w:tabs>
        <w:bidi w:val="0"/>
        <w:ind w:right="-578"/>
        <w:jc w:val="right"/>
        <w:rPr>
          <w:rFonts w:ascii="Times New Roman" w:hAnsi="Times New Roman"/>
          <w:bCs/>
        </w:rPr>
      </w:pPr>
    </w:p>
    <w:p w:rsidR="00B20F59" w:rsidP="00B20F59">
      <w:pPr>
        <w:pStyle w:val="BodyText"/>
        <w:tabs>
          <w:tab w:val="num" w:pos="1080"/>
        </w:tabs>
        <w:bidi w:val="0"/>
        <w:ind w:right="-578"/>
        <w:jc w:val="right"/>
        <w:rPr>
          <w:rFonts w:ascii="Times New Roman" w:hAnsi="Times New Roman"/>
          <w:bCs/>
        </w:rPr>
      </w:pPr>
    </w:p>
    <w:p w:rsidR="00B20F59" w:rsidP="00B20F59">
      <w:pPr>
        <w:pStyle w:val="BodyText"/>
        <w:tabs>
          <w:tab w:val="num" w:pos="1080"/>
        </w:tabs>
        <w:bidi w:val="0"/>
        <w:ind w:right="-578"/>
        <w:jc w:val="right"/>
        <w:rPr>
          <w:rFonts w:ascii="Times New Roman" w:hAnsi="Times New Roman"/>
          <w:bCs/>
        </w:rPr>
      </w:pPr>
    </w:p>
    <w:p w:rsidR="00B20F59" w:rsidP="00B20F59">
      <w:pPr>
        <w:pStyle w:val="BodyText"/>
        <w:tabs>
          <w:tab w:val="num" w:pos="1080"/>
        </w:tabs>
        <w:bidi w:val="0"/>
        <w:ind w:right="-578"/>
        <w:jc w:val="right"/>
        <w:rPr>
          <w:rFonts w:ascii="Times New Roman" w:hAnsi="Times New Roman"/>
          <w:bCs/>
        </w:rPr>
      </w:pPr>
    </w:p>
    <w:p w:rsidR="00B20F59" w:rsidP="00B20F59">
      <w:pPr>
        <w:pStyle w:val="BodyText"/>
        <w:tabs>
          <w:tab w:val="num" w:pos="1080"/>
        </w:tabs>
        <w:bidi w:val="0"/>
        <w:ind w:right="-578"/>
        <w:jc w:val="right"/>
        <w:rPr>
          <w:rFonts w:ascii="Times New Roman" w:hAnsi="Times New Roman"/>
          <w:bCs/>
        </w:rPr>
      </w:pPr>
    </w:p>
    <w:p w:rsidR="00B20F59" w:rsidP="00B20F59">
      <w:pPr>
        <w:pStyle w:val="BodyText"/>
        <w:tabs>
          <w:tab w:val="num" w:pos="1080"/>
        </w:tabs>
        <w:bidi w:val="0"/>
        <w:ind w:right="-578"/>
        <w:jc w:val="right"/>
        <w:rPr>
          <w:rFonts w:ascii="Times New Roman" w:hAnsi="Times New Roman"/>
          <w:bCs/>
        </w:rPr>
      </w:pPr>
    </w:p>
    <w:p w:rsidR="00B20F59" w:rsidP="00B20F59">
      <w:pPr>
        <w:pStyle w:val="BodyText"/>
        <w:tabs>
          <w:tab w:val="num" w:pos="1080"/>
        </w:tabs>
        <w:bidi w:val="0"/>
        <w:ind w:right="-578"/>
        <w:jc w:val="right"/>
        <w:rPr>
          <w:rFonts w:ascii="Times New Roman" w:hAnsi="Times New Roman"/>
          <w:bCs/>
        </w:rPr>
      </w:pPr>
    </w:p>
    <w:p w:rsidR="00B20F59" w:rsidP="00B20F59">
      <w:pPr>
        <w:pStyle w:val="BodyText"/>
        <w:tabs>
          <w:tab w:val="num" w:pos="1080"/>
        </w:tabs>
        <w:bidi w:val="0"/>
        <w:ind w:right="-578"/>
        <w:jc w:val="right"/>
        <w:rPr>
          <w:rFonts w:ascii="Times New Roman" w:hAnsi="Times New Roman"/>
          <w:bCs/>
        </w:rPr>
      </w:pPr>
    </w:p>
    <w:p w:rsidR="00B20F59" w:rsidP="00B20F59">
      <w:pPr>
        <w:pStyle w:val="BodyText"/>
        <w:tabs>
          <w:tab w:val="num" w:pos="1080"/>
        </w:tabs>
        <w:bidi w:val="0"/>
        <w:ind w:right="-578"/>
        <w:jc w:val="right"/>
        <w:rPr>
          <w:rFonts w:ascii="Times New Roman" w:hAnsi="Times New Roman"/>
          <w:bCs/>
        </w:rPr>
      </w:pPr>
    </w:p>
    <w:p w:rsidR="00B20F59" w:rsidP="00B20F59">
      <w:pPr>
        <w:pStyle w:val="BodyText"/>
        <w:tabs>
          <w:tab w:val="num" w:pos="1080"/>
        </w:tabs>
        <w:bidi w:val="0"/>
        <w:ind w:right="-578"/>
        <w:jc w:val="right"/>
        <w:rPr>
          <w:rFonts w:ascii="Times New Roman" w:hAnsi="Times New Roman"/>
          <w:bCs/>
        </w:rPr>
      </w:pPr>
    </w:p>
    <w:p w:rsidR="00B20F59" w:rsidP="00B20F59">
      <w:pPr>
        <w:pStyle w:val="BodyText"/>
        <w:tabs>
          <w:tab w:val="num" w:pos="1080"/>
        </w:tabs>
        <w:bidi w:val="0"/>
        <w:ind w:right="-578"/>
        <w:jc w:val="right"/>
        <w:rPr>
          <w:rFonts w:ascii="Times New Roman" w:hAnsi="Times New Roman"/>
          <w:bCs/>
        </w:rPr>
      </w:pPr>
    </w:p>
    <w:p w:rsidR="00B20F59" w:rsidP="00B20F59">
      <w:pPr>
        <w:pStyle w:val="BodyText"/>
        <w:tabs>
          <w:tab w:val="num" w:pos="1080"/>
        </w:tabs>
        <w:bidi w:val="0"/>
        <w:ind w:right="-578"/>
        <w:jc w:val="right"/>
        <w:rPr>
          <w:rFonts w:ascii="Times New Roman" w:hAnsi="Times New Roman"/>
          <w:bCs/>
        </w:rPr>
      </w:pPr>
    </w:p>
    <w:p w:rsidR="00B20F59" w:rsidP="00B20F59">
      <w:pPr>
        <w:pStyle w:val="BodyText"/>
        <w:tabs>
          <w:tab w:val="num" w:pos="1080"/>
        </w:tabs>
        <w:bidi w:val="0"/>
        <w:ind w:right="-578"/>
        <w:jc w:val="right"/>
        <w:rPr>
          <w:rFonts w:ascii="Times New Roman" w:hAnsi="Times New Roman"/>
          <w:bCs/>
        </w:rPr>
      </w:pPr>
    </w:p>
    <w:p w:rsidR="00B20F59" w:rsidP="00B20F59">
      <w:pPr>
        <w:pStyle w:val="BodyText"/>
        <w:tabs>
          <w:tab w:val="num" w:pos="1080"/>
        </w:tabs>
        <w:bidi w:val="0"/>
        <w:ind w:right="-578"/>
        <w:jc w:val="right"/>
        <w:rPr>
          <w:rFonts w:ascii="Times New Roman" w:hAnsi="Times New Roman"/>
          <w:bCs/>
        </w:rPr>
      </w:pPr>
    </w:p>
    <w:p w:rsidR="005007B3" w:rsidRPr="00B20F59" w:rsidP="00B20F59">
      <w:pPr>
        <w:pStyle w:val="BodyText"/>
        <w:tabs>
          <w:tab w:val="num" w:pos="1080"/>
        </w:tabs>
        <w:bidi w:val="0"/>
        <w:ind w:right="-578"/>
        <w:jc w:val="right"/>
        <w:rPr>
          <w:rFonts w:ascii="Times New Roman" w:hAnsi="Times New Roman"/>
          <w:b/>
          <w:bCs/>
        </w:rPr>
      </w:pPr>
      <w:r w:rsidRPr="00B20F59">
        <w:rPr>
          <w:rFonts w:ascii="Times New Roman" w:hAnsi="Times New Roman"/>
          <w:bCs/>
        </w:rPr>
        <w:t xml:space="preserve"> Tabuľka č. 5 </w:t>
      </w:r>
    </w:p>
    <w:p w:rsidR="005007B3" w:rsidRPr="006F6A99" w:rsidP="005007B3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/>
          <w:bCs/>
        </w:rPr>
      </w:pPr>
    </w:p>
    <w:tbl>
      <w:tblPr>
        <w:tblStyle w:val="TableNormal"/>
        <w:tblpPr w:leftFromText="141" w:rightFromText="141" w:vertAnchor="text" w:horzAnchor="page" w:tblpX="629" w:tblpY="2"/>
        <w:tblW w:w="15450" w:type="dxa"/>
        <w:tblCellMar>
          <w:left w:w="70" w:type="dxa"/>
          <w:right w:w="70" w:type="dxa"/>
        </w:tblCellMar>
      </w:tblPr>
      <w:tblGrid>
        <w:gridCol w:w="7070"/>
        <w:gridCol w:w="1540"/>
        <w:gridCol w:w="1540"/>
        <w:gridCol w:w="1540"/>
        <w:gridCol w:w="1540"/>
        <w:gridCol w:w="2220"/>
      </w:tblGrid>
      <w:tr>
        <w:tblPrEx>
          <w:tblW w:w="154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5007B3" w:rsidRPr="006F6A99" w:rsidP="005007B3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6F6A99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Výdavky (v eurách)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5007B3" w:rsidRPr="006F6A99" w:rsidP="005007B3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6F6A99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Vplyv na rozpočet verejnej správy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textDirection w:val="lrTb"/>
            <w:vAlign w:val="center"/>
          </w:tcPr>
          <w:p w:rsidR="005007B3" w:rsidRPr="006F6A99" w:rsidP="005007B3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F6A99">
              <w:rPr>
                <w:rFonts w:ascii="Times New Roman" w:hAnsi="Times New Roman"/>
                <w:b/>
                <w:bCs/>
                <w:color w:val="FFFFFF"/>
              </w:rPr>
              <w:t>poznámka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lrTb"/>
            <w:vAlign w:val="center"/>
          </w:tcPr>
          <w:p w:rsidR="005007B3" w:rsidRPr="006F6A99" w:rsidP="005007B3">
            <w:pPr>
              <w:bidi w:val="0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5007B3" w:rsidRPr="006F6A99" w:rsidP="005007B3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6F6A99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5007B3" w:rsidRPr="006F6A99" w:rsidP="005007B3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2014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5007B3" w:rsidRPr="006F6A99" w:rsidP="005007B3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2015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5007B3" w:rsidRPr="006F6A99" w:rsidP="005007B3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2016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007B3" w:rsidRPr="006F6A99" w:rsidP="005007B3">
            <w:pPr>
              <w:bidi w:val="0"/>
              <w:rPr>
                <w:rFonts w:ascii="Times New Roman" w:hAnsi="Times New Roman"/>
                <w:b/>
                <w:bCs/>
                <w:color w:val="FFFFFF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07B3" w:rsidRPr="006F6A99" w:rsidP="005007B3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F6A99">
              <w:rPr>
                <w:rFonts w:ascii="Times New Roman" w:hAnsi="Times New Roman"/>
                <w:b/>
                <w:bCs/>
                <w:sz w:val="20"/>
                <w:szCs w:val="20"/>
              </w:rPr>
              <w:t>Bežné výdavky (600)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07B3" w:rsidRPr="006F6A99" w:rsidP="005007B3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007B3" w:rsidRPr="00FB4966" w:rsidP="005007B3">
            <w:pPr>
              <w:bidi w:val="0"/>
              <w:spacing w:line="125" w:lineRule="atLeast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007B3" w:rsidRPr="00FB4966" w:rsidP="005007B3">
            <w:pPr>
              <w:bidi w:val="0"/>
              <w:spacing w:line="125" w:lineRule="atLeast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007B3" w:rsidRPr="00FB4966" w:rsidP="005007B3">
            <w:pPr>
              <w:bidi w:val="0"/>
              <w:spacing w:line="125" w:lineRule="atLeast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007B3" w:rsidRPr="006F6A99" w:rsidP="005007B3">
            <w:pPr>
              <w:bidi w:val="0"/>
              <w:rPr>
                <w:rFonts w:ascii="Times New Roman" w:hAnsi="Times New Roman"/>
              </w:rPr>
            </w:pPr>
            <w:r w:rsidRPr="006F6A99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07B3" w:rsidRPr="006F6A99" w:rsidP="005007B3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6F6A99">
              <w:rPr>
                <w:rFonts w:ascii="Times New Roman" w:hAnsi="Times New Roman"/>
                <w:sz w:val="20"/>
                <w:szCs w:val="20"/>
              </w:rPr>
              <w:t xml:space="preserve">  Mzdy, platy, služobné príjmy a ostatné osobné vyrovnania (610)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07B3" w:rsidRPr="006F6A99" w:rsidP="005007B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07B3" w:rsidRPr="006F6A99" w:rsidP="005007B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07B3" w:rsidRPr="006F6A99" w:rsidP="005007B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07B3" w:rsidRPr="006F6A99" w:rsidP="005007B3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007B3" w:rsidRPr="006F6A99" w:rsidP="005007B3">
            <w:pPr>
              <w:bidi w:val="0"/>
              <w:rPr>
                <w:rFonts w:ascii="Times New Roman" w:hAnsi="Times New Roman"/>
              </w:rPr>
            </w:pPr>
            <w:r w:rsidRPr="006F6A99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07B3" w:rsidRPr="006F6A99" w:rsidP="005007B3">
            <w:pPr>
              <w:bidi w:val="0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6F6A99">
              <w:rPr>
                <w:rFonts w:ascii="Times New Roman" w:hAnsi="Times New Roman"/>
                <w:sz w:val="20"/>
                <w:szCs w:val="20"/>
              </w:rPr>
              <w:t xml:space="preserve">  Poistné a príspevok do poisťovní (620)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07B3" w:rsidRPr="006F6A99" w:rsidP="005007B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07B3" w:rsidRPr="006F6A99" w:rsidP="005007B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07B3" w:rsidRPr="006F6A99" w:rsidP="005007B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07B3" w:rsidRPr="006F6A99" w:rsidP="005007B3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007B3" w:rsidRPr="006F6A99" w:rsidP="005007B3">
            <w:pPr>
              <w:bidi w:val="0"/>
              <w:rPr>
                <w:rFonts w:ascii="Times New Roman" w:hAnsi="Times New Roman"/>
              </w:rPr>
            </w:pPr>
            <w:r w:rsidRPr="006F6A99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07B3" w:rsidRPr="006F6A99" w:rsidP="005007B3">
            <w:pPr>
              <w:bidi w:val="0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6F6A99">
              <w:rPr>
                <w:rFonts w:ascii="Times New Roman" w:hAnsi="Times New Roman"/>
                <w:sz w:val="20"/>
                <w:szCs w:val="20"/>
              </w:rPr>
              <w:t xml:space="preserve">  Tovary a služby (630)</w:t>
            </w:r>
            <w:r w:rsidRPr="006F6A99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07B3" w:rsidRPr="006F6A99" w:rsidP="005007B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07B3" w:rsidRPr="006F6A99" w:rsidP="005007B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07B3" w:rsidRPr="006F6A99" w:rsidP="005007B3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07B3" w:rsidRPr="006F6A99" w:rsidP="005007B3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007B3" w:rsidRPr="006F6A99" w:rsidP="005007B3">
            <w:pPr>
              <w:bidi w:val="0"/>
              <w:rPr>
                <w:rFonts w:ascii="Times New Roman" w:hAnsi="Times New Roman"/>
              </w:rPr>
            </w:pPr>
            <w:r w:rsidRPr="006F6A99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971AF" w:rsidRPr="006F6A99" w:rsidP="00E971AF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6F6A99">
              <w:rPr>
                <w:rFonts w:ascii="Times New Roman" w:hAnsi="Times New Roman"/>
                <w:sz w:val="20"/>
                <w:szCs w:val="20"/>
              </w:rPr>
              <w:t xml:space="preserve">  Bežné transfery (640)</w:t>
            </w:r>
            <w:r w:rsidRPr="006F6A99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971AF" w:rsidRPr="006F6A99" w:rsidP="00E971A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971AF" w:rsidRPr="00FB4966" w:rsidP="00E971AF">
            <w:pPr>
              <w:bidi w:val="0"/>
              <w:spacing w:line="125" w:lineRule="atLeast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971AF" w:rsidRPr="00FB4966" w:rsidP="00E971AF">
            <w:pPr>
              <w:bidi w:val="0"/>
              <w:spacing w:line="125" w:lineRule="atLeast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971AF" w:rsidRPr="00FB4966" w:rsidP="00E971AF">
            <w:pPr>
              <w:bidi w:val="0"/>
              <w:spacing w:line="125" w:lineRule="atLeast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971AF" w:rsidRPr="006F6A99" w:rsidP="00E971AF">
            <w:pPr>
              <w:bidi w:val="0"/>
              <w:rPr>
                <w:rFonts w:ascii="Times New Roman" w:hAnsi="Times New Roman"/>
              </w:rPr>
            </w:pPr>
            <w:r w:rsidRPr="006F6A99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971AF" w:rsidRPr="006F6A99" w:rsidP="00E971AF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6F6A99">
              <w:rPr>
                <w:rFonts w:ascii="Times New Roman" w:hAnsi="Times New Roman"/>
                <w:sz w:val="20"/>
                <w:szCs w:val="20"/>
              </w:rPr>
              <w:t xml:space="preserve">  Splácanie úrokov a ostatné platby súvisiace s úvermi, pôžičkami a NFV (650)</w:t>
            </w:r>
            <w:r w:rsidRPr="006F6A99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971AF" w:rsidRPr="006F6A99" w:rsidP="00E971A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971AF" w:rsidRPr="006F6A99" w:rsidP="00E971A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971AF" w:rsidRPr="006F6A99" w:rsidP="00E971A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971AF" w:rsidRPr="006F6A99" w:rsidP="00E971AF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971AF" w:rsidRPr="006F6A99" w:rsidP="00E971AF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971AF" w:rsidRPr="006F6A99" w:rsidP="00E971AF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F6A99">
              <w:rPr>
                <w:rFonts w:ascii="Times New Roman" w:hAnsi="Times New Roman"/>
                <w:b/>
                <w:bCs/>
                <w:sz w:val="20"/>
                <w:szCs w:val="20"/>
              </w:rPr>
              <w:t>Kapitálové výdavky (700)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971AF" w:rsidRPr="006F6A99" w:rsidP="00E971AF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971AF" w:rsidRPr="006F6A99" w:rsidP="00E971AF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971AF" w:rsidRPr="006F6A99" w:rsidP="00E971AF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971AF" w:rsidRPr="006F6A99" w:rsidP="00E971AF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971AF" w:rsidRPr="006F6A99" w:rsidP="00E971AF">
            <w:pPr>
              <w:bidi w:val="0"/>
              <w:rPr>
                <w:rFonts w:ascii="Times New Roman" w:hAnsi="Times New Roman"/>
              </w:rPr>
            </w:pPr>
            <w:r w:rsidRPr="006F6A99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971AF" w:rsidRPr="006F6A99" w:rsidP="00E971AF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6F6A99">
              <w:rPr>
                <w:rFonts w:ascii="Times New Roman" w:hAnsi="Times New Roman"/>
                <w:sz w:val="20"/>
                <w:szCs w:val="20"/>
              </w:rPr>
              <w:t xml:space="preserve">  Obstarávanie kapitálových aktív (710)</w:t>
            </w:r>
            <w:r w:rsidRPr="006F6A99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971AF" w:rsidRPr="006F6A99" w:rsidP="00E971A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971AF" w:rsidRPr="006F6A99" w:rsidP="00E971A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971AF" w:rsidRPr="006F6A99" w:rsidP="00E971A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971AF" w:rsidRPr="006F6A99" w:rsidP="00E971AF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971AF" w:rsidRPr="006F6A99" w:rsidP="00E971AF">
            <w:pPr>
              <w:bidi w:val="0"/>
              <w:rPr>
                <w:rFonts w:ascii="Times New Roman" w:hAnsi="Times New Roman"/>
              </w:rPr>
            </w:pPr>
            <w:r w:rsidRPr="006F6A99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971AF" w:rsidRPr="006F6A99" w:rsidP="00E971AF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6F6A99">
              <w:rPr>
                <w:rFonts w:ascii="Times New Roman" w:hAnsi="Times New Roman"/>
                <w:sz w:val="20"/>
                <w:szCs w:val="20"/>
              </w:rPr>
              <w:t xml:space="preserve">  Kapitálové transfery (720)</w:t>
            </w:r>
            <w:r w:rsidRPr="006F6A99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971AF" w:rsidRPr="006F6A99" w:rsidP="00E971A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971AF" w:rsidRPr="006F6A99" w:rsidP="00E971A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971AF" w:rsidRPr="006F6A99" w:rsidP="00E971A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971AF" w:rsidRPr="006F6A99" w:rsidP="00E971AF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971AF" w:rsidRPr="006F6A99" w:rsidP="00E971AF">
            <w:pPr>
              <w:bidi w:val="0"/>
              <w:rPr>
                <w:rFonts w:ascii="Times New Roman" w:hAnsi="Times New Roman"/>
              </w:rPr>
            </w:pPr>
            <w:r w:rsidRPr="006F6A99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971AF" w:rsidRPr="006964CB" w:rsidP="00E971AF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964CB">
              <w:rPr>
                <w:rFonts w:ascii="Times New Roman" w:hAnsi="Times New Roman"/>
                <w:b/>
                <w:bCs/>
                <w:sz w:val="20"/>
                <w:szCs w:val="20"/>
              </w:rPr>
              <w:t>Výdavky z transakcií s finančnými aktívami a finančnými pasívami (800)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E971AF" w:rsidRPr="006964CB" w:rsidP="00E971AF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964CB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E971AF" w:rsidRPr="006964CB" w:rsidP="00E971AF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964CB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E971AF" w:rsidRPr="006964CB" w:rsidP="00E971AF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964CB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E971AF" w:rsidRPr="006964CB" w:rsidP="00E971AF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  <w:r w:rsidRPr="006964CB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971AF" w:rsidRPr="006964CB" w:rsidP="00E971AF">
            <w:pPr>
              <w:bidi w:val="0"/>
              <w:rPr>
                <w:rFonts w:ascii="Times New Roman" w:hAnsi="Times New Roman"/>
              </w:rPr>
            </w:pPr>
            <w:r w:rsidRPr="006964CB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none" w:sz="0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E971AF" w:rsidRPr="006964CB" w:rsidP="00E971AF">
            <w:pPr>
              <w:bidi w:val="0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6964CB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Dopad na výdavky verejnej správy celkom</w:t>
            </w:r>
          </w:p>
        </w:tc>
        <w:tc>
          <w:tcPr>
            <w:tcW w:w="1540" w:type="dxa"/>
            <w:tcBorders>
              <w:top w:val="nil"/>
              <w:left w:val="nil"/>
              <w:bottom w:val="none" w:sz="0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E971AF" w:rsidRPr="006964CB" w:rsidP="00E971AF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one" w:sz="0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E971AF" w:rsidRPr="00FB4966" w:rsidP="00E971AF">
            <w:pPr>
              <w:bidi w:val="0"/>
              <w:spacing w:line="125" w:lineRule="atLeast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one" w:sz="0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E971AF" w:rsidRPr="00FB4966" w:rsidP="00E971AF">
            <w:pPr>
              <w:bidi w:val="0"/>
              <w:spacing w:line="125" w:lineRule="atLeast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one" w:sz="0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E971AF" w:rsidRPr="00FB4966" w:rsidP="00E971AF">
            <w:pPr>
              <w:bidi w:val="0"/>
              <w:spacing w:line="125" w:lineRule="atLeast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one" w:sz="0" w:space="0" w:color="auto"/>
              <w:right w:val="single" w:sz="4" w:space="0" w:color="auto"/>
            </w:tcBorders>
            <w:shd w:val="clear" w:color="auto" w:fill="000000"/>
            <w:noWrap/>
            <w:textDirection w:val="lrTb"/>
            <w:vAlign w:val="bottom"/>
          </w:tcPr>
          <w:p w:rsidR="00E971AF" w:rsidRPr="006964CB" w:rsidP="00E971AF">
            <w:pPr>
              <w:bidi w:val="0"/>
              <w:rPr>
                <w:rFonts w:ascii="Times New Roman" w:hAnsi="Times New Roman"/>
                <w:color w:val="FFFFFF"/>
              </w:rPr>
            </w:pPr>
            <w:r w:rsidRPr="006964CB">
              <w:rPr>
                <w:rFonts w:ascii="Times New Roman" w:hAnsi="Times New Roman"/>
                <w:color w:val="FFFFFF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971AF" w:rsidRPr="006964CB" w:rsidP="00E971AF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964C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z toho výdavky na ŠR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971AF" w:rsidRPr="006964CB" w:rsidP="00E971AF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971AF" w:rsidRPr="00B35E12" w:rsidP="00E971AF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971AF" w:rsidRPr="00B35E12" w:rsidP="00E971AF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971AF" w:rsidRPr="00B35E12" w:rsidP="00E971AF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971AF" w:rsidRPr="006964CB" w:rsidP="00E971AF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971AF" w:rsidRPr="006964CB" w:rsidP="00E971AF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964CB">
              <w:rPr>
                <w:rFonts w:ascii="Times New Roman" w:hAnsi="Times New Roman"/>
                <w:bCs/>
                <w:sz w:val="20"/>
                <w:szCs w:val="20"/>
              </w:rPr>
              <w:t xml:space="preserve">        Bežné výdavky</w:t>
            </w:r>
            <w:r w:rsidRPr="006964C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6964CB">
              <w:rPr>
                <w:rFonts w:ascii="Times New Roman" w:hAnsi="Times New Roman"/>
                <w:bCs/>
                <w:sz w:val="20"/>
                <w:szCs w:val="20"/>
              </w:rPr>
              <w:t>(600)</w:t>
            </w:r>
            <w:r w:rsidRPr="006964C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971AF" w:rsidRPr="006964CB" w:rsidP="00E971AF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971AF" w:rsidRPr="006964CB" w:rsidP="00E971AF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971AF" w:rsidRPr="006964CB" w:rsidP="00E971AF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971AF" w:rsidRPr="006964CB" w:rsidP="00E971AF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971AF" w:rsidRPr="006964CB" w:rsidP="00E971AF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971AF" w:rsidRPr="006964CB" w:rsidP="00E971AF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964C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    </w:t>
            </w:r>
            <w:r w:rsidRPr="006964CB">
              <w:rPr>
                <w:rFonts w:ascii="Times New Roman" w:hAnsi="Times New Roman"/>
                <w:sz w:val="20"/>
                <w:szCs w:val="20"/>
              </w:rPr>
              <w:t xml:space="preserve"> Mzdy, platy, služobné príjmy a ostatné osobné vyrovnania (610)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971AF" w:rsidRPr="006964CB" w:rsidP="00E971AF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971AF" w:rsidRPr="006964CB" w:rsidP="00E971AF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971AF" w:rsidRPr="006964CB" w:rsidP="00E971AF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971AF" w:rsidRPr="006964CB" w:rsidP="00E971AF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971AF" w:rsidRPr="006964CB" w:rsidP="00E971AF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971AF" w:rsidRPr="006964CB" w:rsidP="00E971AF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964CB">
              <w:rPr>
                <w:rFonts w:ascii="Times New Roman" w:hAnsi="Times New Roman"/>
                <w:bCs/>
                <w:sz w:val="20"/>
                <w:szCs w:val="20"/>
              </w:rPr>
              <w:t xml:space="preserve">        Kapitálové výdavky (700)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971AF" w:rsidRPr="006964CB" w:rsidP="00E971AF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971AF" w:rsidRPr="006964CB" w:rsidP="00E971AF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971AF" w:rsidRPr="006964CB" w:rsidP="00E971AF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971AF" w:rsidRPr="006964CB" w:rsidP="00E971AF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971AF" w:rsidRPr="006964CB" w:rsidP="00E971AF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971AF" w:rsidRPr="006964CB" w:rsidP="00E971AF">
            <w:pPr>
              <w:bidi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6964CB">
              <w:rPr>
                <w:rFonts w:ascii="Times New Roman" w:hAnsi="Times New Roman"/>
                <w:bCs/>
                <w:sz w:val="20"/>
                <w:szCs w:val="20"/>
              </w:rPr>
              <w:t xml:space="preserve">        Výdavky z transakcií s finančnými aktívami a finančnými pasívami (800)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971AF" w:rsidRPr="006964CB" w:rsidP="00E971AF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971AF" w:rsidRPr="006964CB" w:rsidP="00E971AF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971AF" w:rsidRPr="006964CB" w:rsidP="00E971AF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971AF" w:rsidRPr="006964CB" w:rsidP="00E971AF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971AF" w:rsidRPr="006964CB" w:rsidP="00E971AF">
            <w:pPr>
              <w:bidi w:val="0"/>
              <w:rPr>
                <w:rFonts w:ascii="Times New Roman" w:hAnsi="Times New Roman"/>
              </w:rPr>
            </w:pPr>
          </w:p>
        </w:tc>
      </w:tr>
    </w:tbl>
    <w:p w:rsidR="005007B3" w:rsidRPr="00861D56" w:rsidP="005007B3">
      <w:pPr>
        <w:pStyle w:val="BodyText"/>
        <w:tabs>
          <w:tab w:val="num" w:pos="1080"/>
        </w:tabs>
        <w:bidi w:val="0"/>
        <w:ind w:left="-900"/>
        <w:jc w:val="both"/>
        <w:rPr>
          <w:rFonts w:ascii="Times New Roman" w:hAnsi="Times New Roman"/>
          <w:b/>
          <w:bCs/>
          <w:sz w:val="20"/>
        </w:rPr>
      </w:pPr>
      <w:r w:rsidRPr="006964CB">
        <w:rPr>
          <w:rFonts w:ascii="Times New Roman" w:hAnsi="Times New Roman"/>
          <w:bCs/>
          <w:sz w:val="20"/>
        </w:rPr>
        <w:t>2 –  výdavky rozpísať až do položiek platnej ekonomickej klasifikácie</w:t>
      </w:r>
    </w:p>
    <w:p w:rsidR="00B20F59" w:rsidP="005007B3">
      <w:pPr>
        <w:pStyle w:val="BodyText"/>
        <w:tabs>
          <w:tab w:val="num" w:pos="1080"/>
        </w:tabs>
        <w:bidi w:val="0"/>
        <w:jc w:val="right"/>
        <w:rPr>
          <w:rFonts w:ascii="Times New Roman" w:hAnsi="Times New Roman"/>
          <w:bCs/>
        </w:rPr>
      </w:pPr>
      <w:r w:rsidRPr="006F6A99" w:rsidR="005007B3">
        <w:rPr>
          <w:rFonts w:ascii="Times New Roman" w:hAnsi="Times New Roman"/>
          <w:bCs/>
        </w:rPr>
        <w:t xml:space="preserve">                 </w:t>
      </w:r>
    </w:p>
    <w:p w:rsidR="00B20F59" w:rsidP="005007B3">
      <w:pPr>
        <w:pStyle w:val="BodyText"/>
        <w:tabs>
          <w:tab w:val="num" w:pos="1080"/>
        </w:tabs>
        <w:bidi w:val="0"/>
        <w:jc w:val="right"/>
        <w:rPr>
          <w:rFonts w:ascii="Times New Roman" w:hAnsi="Times New Roman"/>
          <w:bCs/>
        </w:rPr>
      </w:pPr>
    </w:p>
    <w:p w:rsidR="00B20F59" w:rsidP="005007B3">
      <w:pPr>
        <w:pStyle w:val="BodyText"/>
        <w:tabs>
          <w:tab w:val="num" w:pos="1080"/>
        </w:tabs>
        <w:bidi w:val="0"/>
        <w:jc w:val="right"/>
        <w:rPr>
          <w:rFonts w:ascii="Times New Roman" w:hAnsi="Times New Roman"/>
          <w:bCs/>
        </w:rPr>
      </w:pPr>
    </w:p>
    <w:p w:rsidR="00B20F59" w:rsidP="005007B3">
      <w:pPr>
        <w:pStyle w:val="BodyText"/>
        <w:tabs>
          <w:tab w:val="num" w:pos="1080"/>
        </w:tabs>
        <w:bidi w:val="0"/>
        <w:jc w:val="right"/>
        <w:rPr>
          <w:rFonts w:ascii="Times New Roman" w:hAnsi="Times New Roman"/>
          <w:bCs/>
        </w:rPr>
      </w:pPr>
    </w:p>
    <w:p w:rsidR="00B20F59" w:rsidP="005007B3">
      <w:pPr>
        <w:pStyle w:val="BodyText"/>
        <w:tabs>
          <w:tab w:val="num" w:pos="1080"/>
        </w:tabs>
        <w:bidi w:val="0"/>
        <w:jc w:val="right"/>
        <w:rPr>
          <w:rFonts w:ascii="Times New Roman" w:hAnsi="Times New Roman"/>
          <w:bCs/>
        </w:rPr>
      </w:pPr>
    </w:p>
    <w:p w:rsidR="00B20F59" w:rsidP="005007B3">
      <w:pPr>
        <w:pStyle w:val="BodyText"/>
        <w:tabs>
          <w:tab w:val="num" w:pos="1080"/>
        </w:tabs>
        <w:bidi w:val="0"/>
        <w:jc w:val="right"/>
        <w:rPr>
          <w:rFonts w:ascii="Times New Roman" w:hAnsi="Times New Roman"/>
          <w:bCs/>
        </w:rPr>
      </w:pPr>
    </w:p>
    <w:p w:rsidR="00B20F59" w:rsidP="005007B3">
      <w:pPr>
        <w:pStyle w:val="BodyText"/>
        <w:tabs>
          <w:tab w:val="num" w:pos="1080"/>
        </w:tabs>
        <w:bidi w:val="0"/>
        <w:jc w:val="right"/>
        <w:rPr>
          <w:rFonts w:ascii="Times New Roman" w:hAnsi="Times New Roman"/>
          <w:bCs/>
        </w:rPr>
      </w:pPr>
    </w:p>
    <w:p w:rsidR="00B20F59" w:rsidP="005007B3">
      <w:pPr>
        <w:pStyle w:val="BodyText"/>
        <w:tabs>
          <w:tab w:val="num" w:pos="1080"/>
        </w:tabs>
        <w:bidi w:val="0"/>
        <w:jc w:val="right"/>
        <w:rPr>
          <w:rFonts w:ascii="Times New Roman" w:hAnsi="Times New Roman"/>
          <w:bCs/>
        </w:rPr>
      </w:pPr>
    </w:p>
    <w:p w:rsidR="00B20F59" w:rsidP="005007B3">
      <w:pPr>
        <w:pStyle w:val="BodyText"/>
        <w:tabs>
          <w:tab w:val="num" w:pos="1080"/>
        </w:tabs>
        <w:bidi w:val="0"/>
        <w:jc w:val="right"/>
        <w:rPr>
          <w:rFonts w:ascii="Times New Roman" w:hAnsi="Times New Roman"/>
          <w:bCs/>
        </w:rPr>
      </w:pPr>
    </w:p>
    <w:p w:rsidR="00B20F59" w:rsidP="005007B3">
      <w:pPr>
        <w:pStyle w:val="BodyText"/>
        <w:tabs>
          <w:tab w:val="num" w:pos="1080"/>
        </w:tabs>
        <w:bidi w:val="0"/>
        <w:jc w:val="right"/>
        <w:rPr>
          <w:rFonts w:ascii="Times New Roman" w:hAnsi="Times New Roman"/>
          <w:bCs/>
        </w:rPr>
      </w:pPr>
    </w:p>
    <w:p w:rsidR="00B20F59" w:rsidP="005007B3">
      <w:pPr>
        <w:pStyle w:val="BodyText"/>
        <w:tabs>
          <w:tab w:val="num" w:pos="1080"/>
        </w:tabs>
        <w:bidi w:val="0"/>
        <w:jc w:val="right"/>
        <w:rPr>
          <w:rFonts w:ascii="Times New Roman" w:hAnsi="Times New Roman"/>
          <w:bCs/>
        </w:rPr>
      </w:pPr>
    </w:p>
    <w:p w:rsidR="005007B3" w:rsidRPr="006F6A99" w:rsidP="005007B3">
      <w:pPr>
        <w:pStyle w:val="BodyText"/>
        <w:tabs>
          <w:tab w:val="num" w:pos="1080"/>
        </w:tabs>
        <w:bidi w:val="0"/>
        <w:jc w:val="right"/>
        <w:rPr>
          <w:rFonts w:ascii="Times New Roman" w:hAnsi="Times New Roman"/>
          <w:b/>
          <w:bCs/>
        </w:rPr>
      </w:pPr>
      <w:r w:rsidRPr="006F6A99">
        <w:rPr>
          <w:rFonts w:ascii="Times New Roman" w:hAnsi="Times New Roman"/>
          <w:bCs/>
        </w:rPr>
        <w:t xml:space="preserve">Tabuľka č. 6 </w:t>
      </w:r>
    </w:p>
    <w:p w:rsidR="005007B3" w:rsidRPr="006F6A99" w:rsidP="005007B3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/>
          <w:bCs/>
        </w:rPr>
      </w:pPr>
    </w:p>
    <w:p w:rsidR="005007B3" w:rsidRPr="006F6A99" w:rsidP="005007B3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/>
          <w:bCs/>
        </w:rPr>
      </w:pPr>
    </w:p>
    <w:tbl>
      <w:tblPr>
        <w:tblStyle w:val="TableNormal"/>
        <w:tblW w:w="15434" w:type="dxa"/>
        <w:tblInd w:w="-784" w:type="dxa"/>
        <w:tblCellMar>
          <w:left w:w="70" w:type="dxa"/>
          <w:right w:w="70" w:type="dxa"/>
        </w:tblCellMar>
      </w:tblPr>
      <w:tblGrid>
        <w:gridCol w:w="6188"/>
        <w:gridCol w:w="1698"/>
        <w:gridCol w:w="1788"/>
        <w:gridCol w:w="2418"/>
        <w:gridCol w:w="1722"/>
        <w:gridCol w:w="1620"/>
      </w:tblGrid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6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5007B3" w:rsidRPr="006964CB" w:rsidP="005007B3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964CB">
              <w:rPr>
                <w:rFonts w:ascii="Times New Roman" w:hAnsi="Times New Roman"/>
                <w:b/>
                <w:bCs/>
                <w:color w:val="FFFFFF"/>
              </w:rPr>
              <w:t>Zamestnanosť</w:t>
            </w:r>
          </w:p>
        </w:tc>
        <w:tc>
          <w:tcPr>
            <w:tcW w:w="76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5007B3" w:rsidRPr="006964CB" w:rsidP="005007B3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964CB">
              <w:rPr>
                <w:rFonts w:ascii="Times New Roman" w:hAnsi="Times New Roman"/>
                <w:b/>
                <w:bCs/>
                <w:color w:val="FFFFFF"/>
              </w:rPr>
              <w:t>Vplyv na rozpočet verejnej správy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textDirection w:val="lrTb"/>
            <w:vAlign w:val="center"/>
          </w:tcPr>
          <w:p w:rsidR="005007B3" w:rsidRPr="006964CB" w:rsidP="005007B3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964CB">
              <w:rPr>
                <w:rFonts w:ascii="Times New Roman" w:hAnsi="Times New Roman"/>
                <w:b/>
                <w:bCs/>
                <w:color w:val="FFFFFF"/>
              </w:rPr>
              <w:t>poznámka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6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007B3" w:rsidRPr="006964CB" w:rsidP="005007B3">
            <w:pPr>
              <w:bidi w:val="0"/>
              <w:rPr>
                <w:rFonts w:ascii="Times New Roman" w:hAnsi="Times New Roman"/>
                <w:b/>
                <w:bCs/>
                <w:color w:val="FFFFFF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5007B3" w:rsidRPr="006964CB" w:rsidP="005007B3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964CB">
              <w:rPr>
                <w:rFonts w:ascii="Times New Roman" w:hAnsi="Times New Roman"/>
                <w:b/>
                <w:bCs/>
                <w:color w:val="FFFFFF"/>
              </w:rPr>
              <w:t>r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5007B3" w:rsidRPr="006964CB" w:rsidP="005007B3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964CB">
              <w:rPr>
                <w:rFonts w:ascii="Times New Roman" w:hAnsi="Times New Roman"/>
                <w:b/>
                <w:bCs/>
                <w:color w:val="FFFFFF"/>
              </w:rPr>
              <w:t>r + 1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5007B3" w:rsidRPr="006964CB" w:rsidP="005007B3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964CB">
              <w:rPr>
                <w:rFonts w:ascii="Times New Roman" w:hAnsi="Times New Roman"/>
                <w:b/>
                <w:bCs/>
                <w:color w:val="FFFFFF"/>
              </w:rPr>
              <w:t>r + 2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5007B3" w:rsidRPr="006964CB" w:rsidP="005007B3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964CB">
              <w:rPr>
                <w:rFonts w:ascii="Times New Roman" w:hAnsi="Times New Roman"/>
                <w:b/>
                <w:bCs/>
                <w:color w:val="FFFFFF"/>
              </w:rPr>
              <w:t>r + 3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007B3" w:rsidRPr="006964CB" w:rsidP="005007B3">
            <w:pPr>
              <w:bidi w:val="0"/>
              <w:rPr>
                <w:rFonts w:ascii="Times New Roman" w:hAnsi="Times New Roman"/>
                <w:b/>
                <w:bCs/>
                <w:color w:val="FFFFFF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07B3" w:rsidRPr="006964CB" w:rsidP="005007B3">
            <w:pPr>
              <w:bidi w:val="0"/>
              <w:rPr>
                <w:rFonts w:ascii="Times New Roman" w:hAnsi="Times New Roman"/>
                <w:b/>
                <w:bCs/>
              </w:rPr>
            </w:pPr>
            <w:r w:rsidRPr="006964CB">
              <w:rPr>
                <w:rFonts w:ascii="Times New Roman" w:hAnsi="Times New Roman"/>
                <w:b/>
                <w:bCs/>
              </w:rPr>
              <w:t>Počet zamestnancov celkom*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07B3" w:rsidRPr="006964CB" w:rsidP="005007B3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07B3" w:rsidRPr="006964CB" w:rsidP="005007B3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07B3" w:rsidRPr="006964CB" w:rsidP="005007B3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07B3" w:rsidRPr="006964CB" w:rsidP="005007B3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007B3" w:rsidRPr="006964CB" w:rsidP="005007B3">
            <w:pPr>
              <w:bidi w:val="0"/>
              <w:rPr>
                <w:rFonts w:ascii="Times New Roman" w:hAnsi="Times New Roman"/>
              </w:rPr>
            </w:pPr>
            <w:r w:rsidRPr="006964CB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07B3" w:rsidRPr="006964CB" w:rsidP="005007B3">
            <w:pPr>
              <w:bidi w:val="0"/>
              <w:rPr>
                <w:rFonts w:ascii="Times New Roman" w:hAnsi="Times New Roman"/>
                <w:b/>
                <w:bCs/>
              </w:rPr>
            </w:pPr>
            <w:r w:rsidRPr="006964CB">
              <w:rPr>
                <w:rFonts w:ascii="Times New Roman" w:hAnsi="Times New Roman"/>
                <w:b/>
                <w:bCs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07B3" w:rsidRPr="006964CB" w:rsidP="005007B3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07B3" w:rsidRPr="006964CB" w:rsidP="005007B3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07B3" w:rsidRPr="006964CB" w:rsidP="005007B3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07B3" w:rsidRPr="006964CB" w:rsidP="005007B3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007B3" w:rsidRPr="006964CB" w:rsidP="005007B3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07B3" w:rsidRPr="006964CB" w:rsidP="005007B3">
            <w:pPr>
              <w:bidi w:val="0"/>
              <w:rPr>
                <w:rFonts w:ascii="Times New Roman" w:hAnsi="Times New Roman"/>
                <w:b/>
                <w:bCs/>
              </w:rPr>
            </w:pPr>
            <w:r w:rsidRPr="006964CB">
              <w:rPr>
                <w:rFonts w:ascii="Times New Roman" w:hAnsi="Times New Roman"/>
                <w:b/>
                <w:bCs/>
              </w:rPr>
              <w:t>Priemerný mzdový výdavok (v eurách)*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07B3" w:rsidRPr="006964CB" w:rsidP="005007B3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07B3" w:rsidRPr="006964CB" w:rsidP="005007B3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07B3" w:rsidRPr="006964CB" w:rsidP="005007B3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07B3" w:rsidRPr="006964CB" w:rsidP="005007B3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007B3" w:rsidRPr="006964CB" w:rsidP="005007B3">
            <w:pPr>
              <w:bidi w:val="0"/>
              <w:rPr>
                <w:rFonts w:ascii="Times New Roman" w:hAnsi="Times New Roman"/>
              </w:rPr>
            </w:pPr>
            <w:r w:rsidRPr="006964CB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07B3" w:rsidRPr="006964CB" w:rsidP="005007B3">
            <w:pPr>
              <w:bidi w:val="0"/>
              <w:rPr>
                <w:rFonts w:ascii="Times New Roman" w:hAnsi="Times New Roman"/>
              </w:rPr>
            </w:pPr>
            <w:r w:rsidRPr="006964CB">
              <w:rPr>
                <w:rFonts w:ascii="Times New Roman" w:hAnsi="Times New Roman"/>
                <w:b/>
                <w:bCs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07B3" w:rsidRPr="006964CB" w:rsidP="005007B3">
            <w:pPr>
              <w:bidi w:val="0"/>
              <w:jc w:val="center"/>
              <w:rPr>
                <w:rFonts w:ascii="Times New Roman" w:hAnsi="Times New Roman"/>
              </w:rPr>
            </w:pPr>
            <w:r w:rsidRPr="006964CB">
              <w:rPr>
                <w:rFonts w:ascii="Times New Roman" w:hAnsi="Times New Roman"/>
              </w:rPr>
              <w:t> 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07B3" w:rsidRPr="006964CB" w:rsidP="005007B3">
            <w:pPr>
              <w:bidi w:val="0"/>
              <w:jc w:val="center"/>
              <w:rPr>
                <w:rFonts w:ascii="Times New Roman" w:hAnsi="Times New Roman"/>
              </w:rPr>
            </w:pPr>
            <w:r w:rsidRPr="006964CB">
              <w:rPr>
                <w:rFonts w:ascii="Times New Roman" w:hAnsi="Times New Roman"/>
              </w:rPr>
              <w:t> 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07B3" w:rsidRPr="006964CB" w:rsidP="005007B3">
            <w:pPr>
              <w:bidi w:val="0"/>
              <w:jc w:val="center"/>
              <w:rPr>
                <w:rFonts w:ascii="Times New Roman" w:hAnsi="Times New Roman"/>
              </w:rPr>
            </w:pPr>
            <w:r w:rsidRPr="006964CB">
              <w:rPr>
                <w:rFonts w:ascii="Times New Roman" w:hAnsi="Times New Roman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07B3" w:rsidRPr="006964CB" w:rsidP="005007B3">
            <w:pPr>
              <w:bidi w:val="0"/>
              <w:jc w:val="center"/>
              <w:rPr>
                <w:rFonts w:ascii="Times New Roman" w:hAnsi="Times New Roman"/>
              </w:rPr>
            </w:pPr>
            <w:r w:rsidRPr="006964CB">
              <w:rPr>
                <w:rFonts w:ascii="Times New Roman" w:hAnsi="Times New Roman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007B3" w:rsidRPr="006964CB" w:rsidP="005007B3">
            <w:pPr>
              <w:bidi w:val="0"/>
              <w:rPr>
                <w:rFonts w:ascii="Times New Roman" w:hAnsi="Times New Roman"/>
              </w:rPr>
            </w:pPr>
            <w:r w:rsidRPr="006964CB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5007B3" w:rsidRPr="006964CB" w:rsidP="005007B3">
            <w:pPr>
              <w:bidi w:val="0"/>
              <w:rPr>
                <w:rFonts w:ascii="Times New Roman" w:hAnsi="Times New Roman"/>
                <w:b/>
                <w:bCs/>
                <w:color w:val="FFFFFF"/>
              </w:rPr>
            </w:pPr>
            <w:r w:rsidRPr="006964CB">
              <w:rPr>
                <w:rFonts w:ascii="Times New Roman" w:hAnsi="Times New Roman"/>
                <w:b/>
                <w:bCs/>
                <w:color w:val="FFFFFF"/>
              </w:rPr>
              <w:t>Osobné výdavky celkom (v eurách)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5007B3" w:rsidRPr="006964CB" w:rsidP="005007B3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5007B3" w:rsidRPr="006964CB" w:rsidP="005007B3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5007B3" w:rsidRPr="006964CB" w:rsidP="005007B3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5007B3" w:rsidRPr="006964CB" w:rsidP="005007B3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textDirection w:val="lrTb"/>
            <w:vAlign w:val="bottom"/>
          </w:tcPr>
          <w:p w:rsidR="005007B3" w:rsidRPr="006964CB" w:rsidP="005007B3">
            <w:pPr>
              <w:bidi w:val="0"/>
              <w:rPr>
                <w:rFonts w:ascii="Times New Roman" w:hAnsi="Times New Roman"/>
                <w:b/>
                <w:bCs/>
                <w:color w:val="FFFFFF"/>
              </w:rPr>
            </w:pPr>
            <w:r w:rsidRPr="006964CB"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07B3" w:rsidRPr="006964CB" w:rsidP="005007B3">
            <w:pPr>
              <w:bidi w:val="0"/>
              <w:rPr>
                <w:rFonts w:ascii="Times New Roman" w:hAnsi="Times New Roman"/>
                <w:b/>
                <w:bCs/>
              </w:rPr>
            </w:pPr>
            <w:r w:rsidRPr="006964CB">
              <w:rPr>
                <w:rFonts w:ascii="Times New Roman" w:hAnsi="Times New Roman"/>
                <w:b/>
                <w:bCs/>
              </w:rPr>
              <w:t xml:space="preserve">Mzdy, platy, služobné príjmy a ostatné osobné vyrovnania (610)* 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07B3" w:rsidRPr="006964CB" w:rsidP="005007B3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07B3" w:rsidRPr="006964CB" w:rsidP="005007B3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07B3" w:rsidRPr="006964CB" w:rsidP="005007B3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07B3" w:rsidRPr="006964CB" w:rsidP="005007B3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007B3" w:rsidRPr="006964CB" w:rsidP="005007B3">
            <w:pPr>
              <w:bidi w:val="0"/>
              <w:rPr>
                <w:rFonts w:ascii="Times New Roman" w:hAnsi="Times New Roman"/>
                <w:b/>
                <w:bCs/>
              </w:rPr>
            </w:pPr>
            <w:r w:rsidRPr="006964CB">
              <w:rPr>
                <w:rFonts w:ascii="Times New Roman" w:hAnsi="Times New Roman"/>
                <w:b/>
                <w:bCs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07B3" w:rsidRPr="006964CB" w:rsidP="005007B3">
            <w:pPr>
              <w:bidi w:val="0"/>
              <w:rPr>
                <w:rFonts w:ascii="Times New Roman" w:hAnsi="Times New Roman"/>
              </w:rPr>
            </w:pPr>
            <w:r w:rsidRPr="006964CB">
              <w:rPr>
                <w:rFonts w:ascii="Times New Roman" w:hAnsi="Times New Roman"/>
                <w:b/>
                <w:bCs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07B3" w:rsidRPr="006964CB" w:rsidP="005007B3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07B3" w:rsidRPr="006964CB" w:rsidP="005007B3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07B3" w:rsidRPr="006964CB" w:rsidP="005007B3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07B3" w:rsidRPr="006964CB" w:rsidP="005007B3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007B3" w:rsidRPr="006964CB" w:rsidP="005007B3">
            <w:pPr>
              <w:bidi w:val="0"/>
              <w:rPr>
                <w:rFonts w:ascii="Times New Roman" w:hAnsi="Times New Roman"/>
              </w:rPr>
            </w:pPr>
            <w:r w:rsidRPr="006964CB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07B3" w:rsidRPr="006964CB" w:rsidP="005007B3">
            <w:pPr>
              <w:bidi w:val="0"/>
              <w:rPr>
                <w:rFonts w:ascii="Times New Roman" w:hAnsi="Times New Roman"/>
                <w:b/>
                <w:bCs/>
              </w:rPr>
            </w:pPr>
            <w:r w:rsidRPr="006964CB">
              <w:rPr>
                <w:rFonts w:ascii="Times New Roman" w:hAnsi="Times New Roman"/>
                <w:b/>
                <w:bCs/>
              </w:rPr>
              <w:t>Poistné a príspevok do poisťovní (620)*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07B3" w:rsidRPr="006964CB" w:rsidP="005007B3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07B3" w:rsidRPr="006964CB" w:rsidP="005007B3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07B3" w:rsidRPr="006964CB" w:rsidP="005007B3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07B3" w:rsidRPr="006964CB" w:rsidP="005007B3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007B3" w:rsidRPr="006964CB" w:rsidP="005007B3">
            <w:pPr>
              <w:bidi w:val="0"/>
              <w:rPr>
                <w:rFonts w:ascii="Times New Roman" w:hAnsi="Times New Roman"/>
                <w:b/>
                <w:bCs/>
              </w:rPr>
            </w:pPr>
            <w:r w:rsidRPr="006964CB">
              <w:rPr>
                <w:rFonts w:ascii="Times New Roman" w:hAnsi="Times New Roman"/>
                <w:b/>
                <w:bCs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07B3" w:rsidRPr="006964CB" w:rsidP="005007B3">
            <w:pPr>
              <w:bidi w:val="0"/>
              <w:rPr>
                <w:rFonts w:ascii="Times New Roman" w:hAnsi="Times New Roman"/>
              </w:rPr>
            </w:pPr>
            <w:r w:rsidRPr="006964CB">
              <w:rPr>
                <w:rFonts w:ascii="Times New Roman" w:hAnsi="Times New Roman"/>
                <w:b/>
                <w:bCs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07B3" w:rsidRPr="006964CB" w:rsidP="005007B3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07B3" w:rsidRPr="006964CB" w:rsidP="005007B3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07B3" w:rsidRPr="006964CB" w:rsidP="005007B3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07B3" w:rsidRPr="006964CB" w:rsidP="005007B3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007B3" w:rsidRPr="006964CB" w:rsidP="005007B3">
            <w:pPr>
              <w:bidi w:val="0"/>
              <w:rPr>
                <w:rFonts w:ascii="Times New Roman" w:hAnsi="Times New Roman"/>
              </w:rPr>
            </w:pPr>
            <w:r w:rsidRPr="006964CB">
              <w:rPr>
                <w:rFonts w:ascii="Times New Roman" w:hAnsi="Times New Roman"/>
              </w:rPr>
              <w:t> </w:t>
            </w:r>
          </w:p>
        </w:tc>
      </w:tr>
    </w:tbl>
    <w:p w:rsidR="005007B3" w:rsidP="005007B3">
      <w:pPr>
        <w:bidi w:val="0"/>
        <w:rPr>
          <w:rFonts w:ascii="Times New Roman" w:hAnsi="Times New Roman"/>
          <w:b/>
          <w:bCs/>
          <w:sz w:val="28"/>
          <w:szCs w:val="28"/>
        </w:rPr>
      </w:pPr>
    </w:p>
    <w:p w:rsidR="005007B3" w:rsidP="005007B3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007B3" w:rsidP="005007B3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007B3" w:rsidP="005007B3">
      <w:pPr>
        <w:bidi w:val="0"/>
        <w:rPr>
          <w:rFonts w:ascii="Times New Roman" w:hAnsi="Times New Roman"/>
          <w:b/>
          <w:bCs/>
          <w:sz w:val="28"/>
          <w:szCs w:val="28"/>
        </w:rPr>
      </w:pPr>
    </w:p>
    <w:p w:rsidR="005007B3" w:rsidP="005007B3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007B3" w:rsidP="005007B3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007B3" w:rsidP="005007B3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007B3" w:rsidP="005007B3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007B3" w:rsidP="005007B3">
      <w:pPr>
        <w:bidi w:val="0"/>
        <w:rPr>
          <w:rFonts w:ascii="Times New Roman" w:hAnsi="Times New Roman"/>
          <w:b/>
          <w:bCs/>
          <w:sz w:val="28"/>
          <w:szCs w:val="28"/>
        </w:rPr>
        <w:sectPr w:rsidSect="005007B3">
          <w:headerReference w:type="default" r:id="rId8"/>
          <w:footerReference w:type="even" r:id="rId9"/>
          <w:footerReference w:type="default" r:id="rId10"/>
          <w:headerReference w:type="first" r:id="rId11"/>
          <w:pgSz w:w="16838" w:h="11906" w:orient="landscape"/>
          <w:pgMar w:top="1418" w:right="1418" w:bottom="1418" w:left="1418" w:header="709" w:footer="709" w:gutter="0"/>
          <w:lnNumType w:distance="0"/>
          <w:pgNumType w:start="0"/>
          <w:cols w:space="708"/>
          <w:noEndnote w:val="0"/>
          <w:titlePg/>
          <w:bidi w:val="0"/>
          <w:docGrid w:linePitch="360"/>
        </w:sectPr>
      </w:pPr>
    </w:p>
    <w:p w:rsidR="00954B5F" w:rsidP="00E9480D">
      <w:pPr>
        <w:bidi w:val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sectPr w:rsidSect="00C0546D">
      <w:headerReference w:type="default" r:id="rId12"/>
      <w:pgSz w:w="11906" w:h="16838"/>
      <w:pgMar w:top="1418" w:right="1418" w:bottom="1418" w:left="1418" w:header="709" w:footer="709" w:gutter="0"/>
      <w:lnNumType w:distance="0"/>
      <w:pgNumType w:start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7B3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5007B3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7B3" w:rsidP="005007B3">
    <w:pPr>
      <w:pStyle w:val="Footer"/>
      <w:bidi w:val="0"/>
      <w:ind w:right="360"/>
      <w:jc w:val="right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7B3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5007B3">
    <w:pPr>
      <w:pStyle w:val="Footer"/>
      <w:bidi w:val="0"/>
      <w:ind w:right="360"/>
      <w:rPr>
        <w:rFonts w:ascii="Times New Roman" w:hAnsi="Times New Roman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7B3">
    <w:pPr>
      <w:pStyle w:val="Footer"/>
      <w:bidi w:val="0"/>
      <w:ind w:right="36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7B3" w:rsidP="005007B3">
    <w:pPr>
      <w:pStyle w:val="Header"/>
      <w:bidi w:val="0"/>
      <w:jc w:val="right"/>
      <w:rPr>
        <w:rFonts w:ascii="Times New Roman" w:hAnsi="Times New Roman"/>
      </w:rPr>
    </w:pPr>
  </w:p>
  <w:p w:rsidR="005007B3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7B3">
    <w:pPr>
      <w:pStyle w:val="Header"/>
      <w:bidi w:val="0"/>
      <w:rPr>
        <w:rFonts w:ascii="Times New Roman" w:hAnsi="Times New Roman"/>
      </w:rPr>
    </w:pPr>
    <w:r>
      <w:rPr>
        <w:rFonts w:ascii="Times New Roman" w:hAnsi="Times New Roman"/>
      </w:rPr>
      <w:tab/>
      <w:tab/>
    </w:r>
  </w:p>
  <w:p w:rsidR="005007B3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7B3" w:rsidRPr="00236C7C" w:rsidP="005007B3">
    <w:pPr>
      <w:pStyle w:val="Header"/>
      <w:bidi w:val="0"/>
      <w:rPr>
        <w:rFonts w:ascii="Times New Roman" w:hAnsi="Times New Roman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55B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77834"/>
    <w:multiLevelType w:val="hybridMultilevel"/>
    <w:tmpl w:val="33F4783C"/>
    <w:lvl w:ilvl="0">
      <w:start w:val="1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2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>
    <w:nsid w:val="51A90ED6"/>
    <w:multiLevelType w:val="hybridMultilevel"/>
    <w:tmpl w:val="65027226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5007B3"/>
    <w:rsid w:val="00013E9E"/>
    <w:rsid w:val="000278F5"/>
    <w:rsid w:val="0004486D"/>
    <w:rsid w:val="000E4062"/>
    <w:rsid w:val="00156B00"/>
    <w:rsid w:val="00171A21"/>
    <w:rsid w:val="001770DC"/>
    <w:rsid w:val="001A20A7"/>
    <w:rsid w:val="001A71AC"/>
    <w:rsid w:val="001F0EB6"/>
    <w:rsid w:val="001F2EB9"/>
    <w:rsid w:val="00202F27"/>
    <w:rsid w:val="00224F50"/>
    <w:rsid w:val="00230AF5"/>
    <w:rsid w:val="00236C7C"/>
    <w:rsid w:val="00245288"/>
    <w:rsid w:val="002704AC"/>
    <w:rsid w:val="00276CD1"/>
    <w:rsid w:val="002B6F9C"/>
    <w:rsid w:val="002D569C"/>
    <w:rsid w:val="002F3D7D"/>
    <w:rsid w:val="0030268E"/>
    <w:rsid w:val="00312A4F"/>
    <w:rsid w:val="003B0BCE"/>
    <w:rsid w:val="003B7D23"/>
    <w:rsid w:val="003E42B0"/>
    <w:rsid w:val="003F4641"/>
    <w:rsid w:val="004161A1"/>
    <w:rsid w:val="00454FC9"/>
    <w:rsid w:val="00477B7F"/>
    <w:rsid w:val="00490E1E"/>
    <w:rsid w:val="00492897"/>
    <w:rsid w:val="00492B0D"/>
    <w:rsid w:val="004B4D43"/>
    <w:rsid w:val="004D2684"/>
    <w:rsid w:val="005007B3"/>
    <w:rsid w:val="00525F53"/>
    <w:rsid w:val="00532FC7"/>
    <w:rsid w:val="00557FDB"/>
    <w:rsid w:val="00586212"/>
    <w:rsid w:val="00587EB6"/>
    <w:rsid w:val="005B6794"/>
    <w:rsid w:val="005B7DA2"/>
    <w:rsid w:val="005D4DA5"/>
    <w:rsid w:val="005D63DD"/>
    <w:rsid w:val="005D7BE4"/>
    <w:rsid w:val="005F458D"/>
    <w:rsid w:val="005F4E50"/>
    <w:rsid w:val="00600271"/>
    <w:rsid w:val="006065CE"/>
    <w:rsid w:val="00606C4C"/>
    <w:rsid w:val="00611944"/>
    <w:rsid w:val="0063453F"/>
    <w:rsid w:val="00691306"/>
    <w:rsid w:val="006964CB"/>
    <w:rsid w:val="006B06AE"/>
    <w:rsid w:val="006C121A"/>
    <w:rsid w:val="006D0FFA"/>
    <w:rsid w:val="006F6A99"/>
    <w:rsid w:val="007045B2"/>
    <w:rsid w:val="007206A7"/>
    <w:rsid w:val="0074118A"/>
    <w:rsid w:val="00750418"/>
    <w:rsid w:val="00753C8F"/>
    <w:rsid w:val="00757DF3"/>
    <w:rsid w:val="007848DE"/>
    <w:rsid w:val="007B241D"/>
    <w:rsid w:val="007B6700"/>
    <w:rsid w:val="007B7029"/>
    <w:rsid w:val="0083459F"/>
    <w:rsid w:val="00847CE5"/>
    <w:rsid w:val="00857EEE"/>
    <w:rsid w:val="00861D56"/>
    <w:rsid w:val="008644AB"/>
    <w:rsid w:val="00871A27"/>
    <w:rsid w:val="00885E17"/>
    <w:rsid w:val="008933C9"/>
    <w:rsid w:val="008C661F"/>
    <w:rsid w:val="008E3679"/>
    <w:rsid w:val="00903C45"/>
    <w:rsid w:val="0091584C"/>
    <w:rsid w:val="00921646"/>
    <w:rsid w:val="009222D8"/>
    <w:rsid w:val="00925EFB"/>
    <w:rsid w:val="00954B5F"/>
    <w:rsid w:val="009710BF"/>
    <w:rsid w:val="00976C45"/>
    <w:rsid w:val="0099595C"/>
    <w:rsid w:val="009B4462"/>
    <w:rsid w:val="009C2D95"/>
    <w:rsid w:val="009F5B6F"/>
    <w:rsid w:val="009F6F46"/>
    <w:rsid w:val="00A32740"/>
    <w:rsid w:val="00A62F46"/>
    <w:rsid w:val="00AC26F8"/>
    <w:rsid w:val="00AE34DA"/>
    <w:rsid w:val="00AF25F2"/>
    <w:rsid w:val="00B12989"/>
    <w:rsid w:val="00B13391"/>
    <w:rsid w:val="00B17E55"/>
    <w:rsid w:val="00B200DA"/>
    <w:rsid w:val="00B20F59"/>
    <w:rsid w:val="00B35E12"/>
    <w:rsid w:val="00B4596A"/>
    <w:rsid w:val="00B92A97"/>
    <w:rsid w:val="00BD21BA"/>
    <w:rsid w:val="00BD5AFE"/>
    <w:rsid w:val="00BE355B"/>
    <w:rsid w:val="00BE5377"/>
    <w:rsid w:val="00C0546D"/>
    <w:rsid w:val="00C07914"/>
    <w:rsid w:val="00C14F7D"/>
    <w:rsid w:val="00C53492"/>
    <w:rsid w:val="00C55AE8"/>
    <w:rsid w:val="00C76BE7"/>
    <w:rsid w:val="00C950B7"/>
    <w:rsid w:val="00CE5163"/>
    <w:rsid w:val="00D8017D"/>
    <w:rsid w:val="00D827A1"/>
    <w:rsid w:val="00DA54BB"/>
    <w:rsid w:val="00DB4E6D"/>
    <w:rsid w:val="00DE6CB4"/>
    <w:rsid w:val="00E40B32"/>
    <w:rsid w:val="00E43956"/>
    <w:rsid w:val="00E5197F"/>
    <w:rsid w:val="00E5780D"/>
    <w:rsid w:val="00E9480D"/>
    <w:rsid w:val="00E971AF"/>
    <w:rsid w:val="00EA16EA"/>
    <w:rsid w:val="00EC6D28"/>
    <w:rsid w:val="00ED69ED"/>
    <w:rsid w:val="00EE6209"/>
    <w:rsid w:val="00EE7810"/>
    <w:rsid w:val="00EF6C57"/>
    <w:rsid w:val="00EF6EB3"/>
    <w:rsid w:val="00F27BD3"/>
    <w:rsid w:val="00F30DC4"/>
    <w:rsid w:val="00F332CA"/>
    <w:rsid w:val="00F423FE"/>
    <w:rsid w:val="00F506F8"/>
    <w:rsid w:val="00F568A6"/>
    <w:rsid w:val="00F67B9B"/>
    <w:rsid w:val="00F93F1D"/>
    <w:rsid w:val="00FB33B9"/>
    <w:rsid w:val="00FB4966"/>
    <w:rsid w:val="00FD376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07B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5007B3"/>
    <w:pPr>
      <w:jc w:val="left"/>
    </w:pPr>
    <w:rPr>
      <w:lang w:val="en-US" w:eastAsia="cs-CZ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5007B3"/>
    <w:rPr>
      <w:rFonts w:cs="Times New Roman"/>
      <w:sz w:val="24"/>
      <w:rtl w:val="0"/>
      <w:cs w:val="0"/>
      <w:lang w:val="en-US" w:eastAsia="cs-CZ"/>
    </w:rPr>
  </w:style>
  <w:style w:type="paragraph" w:styleId="Header">
    <w:name w:val="header"/>
    <w:basedOn w:val="Normal"/>
    <w:link w:val="HlavikaChar1"/>
    <w:uiPriority w:val="99"/>
    <w:rsid w:val="005007B3"/>
    <w:pPr>
      <w:tabs>
        <w:tab w:val="center" w:pos="4536"/>
        <w:tab w:val="right" w:pos="9072"/>
      </w:tabs>
      <w:jc w:val="left"/>
    </w:pPr>
    <w:rPr>
      <w:lang w:val="en-US" w:eastAsia="cs-CZ"/>
    </w:rPr>
  </w:style>
  <w:style w:type="paragraph" w:styleId="Footer">
    <w:name w:val="footer"/>
    <w:basedOn w:val="Normal"/>
    <w:link w:val="PtaChar1"/>
    <w:uiPriority w:val="99"/>
    <w:rsid w:val="005007B3"/>
    <w:pPr>
      <w:tabs>
        <w:tab w:val="center" w:pos="4536"/>
        <w:tab w:val="right" w:pos="9072"/>
      </w:tabs>
      <w:jc w:val="left"/>
    </w:pPr>
    <w:rPr>
      <w:lang w:val="en-US" w:eastAsia="cs-CZ"/>
    </w:rPr>
  </w:style>
  <w:style w:type="character" w:customStyle="1" w:styleId="HlavikaChar1">
    <w:name w:val="Hlavička Char1"/>
    <w:link w:val="Header"/>
    <w:semiHidden/>
    <w:locked/>
    <w:rsid w:val="005007B3"/>
    <w:rPr>
      <w:sz w:val="24"/>
      <w:lang w:val="en-US" w:eastAsia="cs-CZ"/>
    </w:rPr>
  </w:style>
  <w:style w:type="character" w:styleId="PageNumber">
    <w:name w:val="page number"/>
    <w:basedOn w:val="DefaultParagraphFont"/>
    <w:uiPriority w:val="99"/>
    <w:rsid w:val="005007B3"/>
    <w:rPr>
      <w:rFonts w:cs="Times New Roman"/>
      <w:rtl w:val="0"/>
      <w:cs w:val="0"/>
    </w:rPr>
  </w:style>
  <w:style w:type="character" w:customStyle="1" w:styleId="PtaChar1">
    <w:name w:val="Päta Char1"/>
    <w:link w:val="Footer"/>
    <w:locked/>
    <w:rsid w:val="005007B3"/>
    <w:rPr>
      <w:sz w:val="24"/>
      <w:lang w:val="en-US" w:eastAsia="cs-CZ"/>
    </w:rPr>
  </w:style>
  <w:style w:type="paragraph" w:customStyle="1" w:styleId="BodyText21">
    <w:name w:val="Body Text 21"/>
    <w:basedOn w:val="Normal"/>
    <w:rsid w:val="005007B3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ListParagraph">
    <w:name w:val="List Paragraph"/>
    <w:basedOn w:val="Normal"/>
    <w:uiPriority w:val="34"/>
    <w:rsid w:val="005007B3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HlavikaChar">
    <w:name w:val="Hlavička Char"/>
    <w:semiHidden/>
    <w:locked/>
    <w:rsid w:val="005B6794"/>
    <w:rPr>
      <w:sz w:val="24"/>
    </w:rPr>
  </w:style>
  <w:style w:type="character" w:customStyle="1" w:styleId="PtaChar">
    <w:name w:val="Päta Char"/>
    <w:locked/>
    <w:rsid w:val="005B6794"/>
    <w:rPr>
      <w:sz w:val="24"/>
    </w:rPr>
  </w:style>
  <w:style w:type="table" w:styleId="TableGrid">
    <w:name w:val="Table Grid"/>
    <w:basedOn w:val="TableNormal"/>
    <w:uiPriority w:val="59"/>
    <w:rsid w:val="00DB4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37B11-C058-498E-8BD2-1D3DAE3BA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Pages>13</Pages>
  <Words>3991</Words>
  <Characters>22904</Characters>
  <Application>Microsoft Office Word</Application>
  <DocSecurity>0</DocSecurity>
  <Lines>0</Lines>
  <Paragraphs>0</Paragraphs>
  <ScaleCrop>false</ScaleCrop>
  <Company>MPSVR SR</Company>
  <LinksUpToDate>false</LinksUpToDate>
  <CharactersWithSpaces>26842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Vplyvy na rozpočet verejnej správy,</dc:title>
  <dc:creator>filipova</dc:creator>
  <cp:lastModifiedBy>cebulakova</cp:lastModifiedBy>
  <cp:revision>3</cp:revision>
  <cp:lastPrinted>2013-09-12T15:57:00Z</cp:lastPrinted>
  <dcterms:created xsi:type="dcterms:W3CDTF">2013-09-17T14:25:00Z</dcterms:created>
  <dcterms:modified xsi:type="dcterms:W3CDTF">2013-09-17T15:27:00Z</dcterms:modified>
</cp:coreProperties>
</file>