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16B4" w:rsidP="007A16B4">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4354DA" w:rsidP="007A16B4">
      <w:pPr>
        <w:bidi w:val="0"/>
        <w:rPr>
          <w:rFonts w:ascii="Times New Roman" w:hAnsi="Times New Roman"/>
          <w:b/>
          <w:bCs/>
        </w:rPr>
      </w:pPr>
    </w:p>
    <w:p w:rsidR="007A16B4" w:rsidP="007A16B4">
      <w:pPr>
        <w:bidi w:val="0"/>
        <w:rPr>
          <w:rFonts w:ascii="Times New Roman" w:hAnsi="Times New Roman"/>
          <w:b/>
          <w:bCs/>
        </w:rPr>
      </w:pPr>
      <w:r>
        <w:rPr>
          <w:rFonts w:ascii="Times New Roman" w:hAnsi="Times New Roman"/>
          <w:b/>
          <w:bCs/>
        </w:rPr>
        <w:t xml:space="preserve">A.1. Názov materiálu: </w:t>
      </w:r>
    </w:p>
    <w:p w:rsidR="004354DA" w:rsidP="007A16B4">
      <w:pPr>
        <w:bidi w:val="0"/>
        <w:jc w:val="both"/>
        <w:rPr>
          <w:rFonts w:ascii="Times New Roman" w:hAnsi="Times New Roman"/>
          <w:bCs/>
        </w:rPr>
      </w:pPr>
    </w:p>
    <w:p w:rsidR="007A16B4" w:rsidP="007A16B4">
      <w:pPr>
        <w:bidi w:val="0"/>
        <w:jc w:val="both"/>
        <w:rPr>
          <w:rFonts w:ascii="Times New Roman" w:hAnsi="Times New Roman"/>
          <w:bCs/>
        </w:rPr>
      </w:pPr>
      <w:r w:rsidR="004354DA">
        <w:rPr>
          <w:rFonts w:ascii="Times New Roman" w:hAnsi="Times New Roman"/>
          <w:bCs/>
        </w:rPr>
        <w:t>Vládny n</w:t>
      </w:r>
      <w:r w:rsidRPr="00507D55">
        <w:rPr>
          <w:rFonts w:ascii="Times New Roman" w:hAnsi="Times New Roman"/>
          <w:bCs/>
        </w:rPr>
        <w:t>ávrh zákona</w:t>
      </w:r>
      <w:r>
        <w:rPr>
          <w:rFonts w:ascii="Times New Roman" w:hAnsi="Times New Roman"/>
          <w:bCs/>
        </w:rPr>
        <w:t xml:space="preserve">, ktorým sa mení a dopĺňa zákon č. 600/2003 Z. z. </w:t>
      </w:r>
      <w:r w:rsidRPr="00507D55">
        <w:rPr>
          <w:rFonts w:ascii="Times New Roman" w:hAnsi="Times New Roman"/>
          <w:bCs/>
        </w:rPr>
        <w:t>o</w:t>
      </w:r>
      <w:r>
        <w:rPr>
          <w:rFonts w:ascii="Times New Roman" w:hAnsi="Times New Roman"/>
          <w:bCs/>
        </w:rPr>
        <w:t xml:space="preserve"> prídavku na dieťa a o zmene a doplnení zákona č. 461/2003 Z. z.  o sociálnom poistení v znení neskorších predpisov </w:t>
      </w:r>
    </w:p>
    <w:p w:rsidR="007A16B4" w:rsidRPr="00507D55" w:rsidP="007A16B4">
      <w:pPr>
        <w:bidi w:val="0"/>
        <w:jc w:val="both"/>
        <w:rPr>
          <w:rFonts w:ascii="Times New Roman" w:hAnsi="Times New Roman"/>
          <w:bCs/>
        </w:rPr>
      </w:pPr>
    </w:p>
    <w:p w:rsidR="004354DA" w:rsidP="007A16B4">
      <w:pPr>
        <w:bidi w:val="0"/>
        <w:jc w:val="both"/>
        <w:rPr>
          <w:rFonts w:ascii="Times New Roman" w:hAnsi="Times New Roman"/>
          <w:b/>
          <w:bCs/>
        </w:rPr>
      </w:pPr>
    </w:p>
    <w:p w:rsidR="007A16B4" w:rsidRPr="00FB2DA4" w:rsidP="007A16B4">
      <w:pPr>
        <w:bidi w:val="0"/>
        <w:jc w:val="both"/>
        <w:rPr>
          <w:rFonts w:ascii="Times New Roman" w:hAnsi="Times New Roman"/>
          <w:bCs/>
        </w:rPr>
      </w:pPr>
      <w:r>
        <w:rPr>
          <w:rFonts w:ascii="Times New Roman" w:hAnsi="Times New Roman"/>
          <w:b/>
          <w:bCs/>
        </w:rPr>
        <w:t xml:space="preserve">Termín začatia a ukončenia PPK: </w:t>
      </w:r>
    </w:p>
    <w:p w:rsidR="007A16B4" w:rsidP="007A16B4">
      <w:pPr>
        <w:bidi w:val="0"/>
        <w:rPr>
          <w:rFonts w:ascii="Times New Roman" w:hAnsi="Times New Roman"/>
          <w:b/>
          <w:bCs/>
        </w:rPr>
      </w:pPr>
      <w:r>
        <w:rPr>
          <w:rFonts w:ascii="Times New Roman" w:hAnsi="Times New Roman"/>
          <w:b/>
          <w:bCs/>
        </w:rPr>
        <w:t>A.2. Vplyvy:</w:t>
      </w:r>
    </w:p>
    <w:p w:rsidR="007A16B4" w:rsidP="007A16B4">
      <w:pPr>
        <w:bidi w:val="0"/>
        <w:rPr>
          <w:rFonts w:ascii="Times New Roman" w:hAnsi="Times New Roman"/>
        </w:rPr>
      </w:pPr>
    </w:p>
    <w:tbl>
      <w:tblPr>
        <w:tblStyle w:val="TableNormal"/>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
      <w:tblGrid>
        <w:gridCol w:w="4968"/>
        <w:gridCol w:w="1439"/>
        <w:gridCol w:w="1439"/>
        <w:gridCol w:w="1440"/>
      </w:tblGrid>
      <w:tr>
        <w:tblPrEx>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Ex>
        <w:tc>
          <w:tcPr>
            <w:tcW w:w="4968"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rPr>
                <w:rFonts w:ascii="Times New Roman" w:hAnsi="Times New Roman"/>
              </w:rPr>
            </w:pPr>
          </w:p>
        </w:tc>
        <w:tc>
          <w:tcPr>
            <w:tcW w:w="1439" w:type="dxa"/>
            <w:tcBorders>
              <w:top w:val="single" w:sz="4" w:space="0" w:color="auto"/>
              <w:left w:val="single" w:sz="4" w:space="0" w:color="auto"/>
              <w:bottom w:val="single" w:sz="4" w:space="0" w:color="auto"/>
              <w:right w:val="single" w:sz="4" w:space="0" w:color="auto"/>
            </w:tcBorders>
            <w:textDirection w:val="lrTb"/>
            <w:vAlign w:val="center"/>
          </w:tcPr>
          <w:p w:rsidR="007A16B4" w:rsidP="007A16B4">
            <w:pPr>
              <w:bidi w:val="0"/>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439" w:type="dxa"/>
            <w:tcBorders>
              <w:top w:val="single" w:sz="4" w:space="0" w:color="auto"/>
              <w:left w:val="single" w:sz="4" w:space="0" w:color="auto"/>
              <w:bottom w:val="single" w:sz="4" w:space="0" w:color="auto"/>
              <w:right w:val="single" w:sz="4" w:space="0" w:color="auto"/>
            </w:tcBorders>
            <w:textDirection w:val="lrTb"/>
            <w:vAlign w:val="center"/>
          </w:tcPr>
          <w:p w:rsidR="007A16B4" w:rsidP="007A16B4">
            <w:pPr>
              <w:bidi w:val="0"/>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440" w:type="dxa"/>
            <w:tcBorders>
              <w:top w:val="single" w:sz="4" w:space="0" w:color="auto"/>
              <w:left w:val="single" w:sz="4" w:space="0" w:color="auto"/>
              <w:bottom w:val="single" w:sz="4" w:space="0" w:color="auto"/>
              <w:right w:val="single" w:sz="4" w:space="0" w:color="auto"/>
            </w:tcBorders>
            <w:textDirection w:val="lrTb"/>
            <w:vAlign w:val="center"/>
          </w:tcPr>
          <w:p w:rsidR="007A16B4" w:rsidP="007A16B4">
            <w:pPr>
              <w:bidi w:val="0"/>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9286" w:type="dxa"/>
          <w:tblLayout w:type="fixed"/>
          <w:tblCellMar>
            <w:top w:w="57" w:type="dxa"/>
            <w:bottom w:w="57" w:type="dxa"/>
          </w:tblCellMar>
          <w:tblLook w:val="01E0"/>
        </w:tblPrEx>
        <w:tc>
          <w:tcPr>
            <w:tcW w:w="4968" w:type="dxa"/>
            <w:tcBorders>
              <w:top w:val="single" w:sz="4" w:space="0" w:color="auto"/>
              <w:left w:val="single" w:sz="4" w:space="0" w:color="auto"/>
              <w:bottom w:val="single" w:sz="4" w:space="0" w:color="auto"/>
              <w:right w:val="single" w:sz="4" w:space="0" w:color="auto"/>
            </w:tcBorders>
            <w:textDirection w:val="lrTb"/>
            <w:vAlign w:val="top"/>
          </w:tcPr>
          <w:p w:rsidR="007A16B4" w:rsidRPr="00915AFF" w:rsidP="007A16B4">
            <w:pPr>
              <w:bidi w:val="0"/>
              <w:rPr>
                <w:rFonts w:ascii="Times New Roman" w:hAnsi="Times New Roman"/>
                <w:bCs/>
                <w:sz w:val="22"/>
                <w:szCs w:val="22"/>
              </w:rPr>
            </w:pPr>
            <w:r w:rsidRPr="00915AFF">
              <w:rPr>
                <w:rFonts w:ascii="Times New Roman" w:hAnsi="Times New Roman"/>
                <w:bCs/>
                <w:sz w:val="22"/>
                <w:szCs w:val="22"/>
              </w:rPr>
              <w:t>1. Vplyvy na rozpočet verejnej správy</w:t>
            </w:r>
          </w:p>
          <w:p w:rsidR="007A16B4" w:rsidRPr="00915AFF" w:rsidP="007A16B4">
            <w:pPr>
              <w:bidi w:val="0"/>
              <w:rPr>
                <w:rFonts w:ascii="Times New Roman" w:hAnsi="Times New Roman"/>
                <w:i/>
                <w:sz w:val="22"/>
                <w:szCs w:val="22"/>
              </w:rPr>
            </w:pP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r>
              <w:rPr>
                <w:rFonts w:ascii="Times New Roman" w:hAnsi="Times New Roman"/>
              </w:rPr>
              <w:t>X</w:t>
            </w: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r>
              <w:rPr>
                <w:rFonts w:ascii="Times New Roman" w:hAnsi="Times New Roman"/>
              </w:rPr>
              <w:t>X</w:t>
            </w:r>
          </w:p>
        </w:tc>
      </w:tr>
      <w:tr>
        <w:tblPrEx>
          <w:tblW w:w="9286" w:type="dxa"/>
          <w:tblLayout w:type="fixed"/>
          <w:tblCellMar>
            <w:top w:w="57" w:type="dxa"/>
            <w:bottom w:w="57" w:type="dxa"/>
          </w:tblCellMar>
          <w:tblLook w:val="01E0"/>
        </w:tblPrEx>
        <w:tc>
          <w:tcPr>
            <w:tcW w:w="4968" w:type="dxa"/>
            <w:tcBorders>
              <w:top w:val="single" w:sz="4" w:space="0" w:color="auto"/>
              <w:left w:val="single" w:sz="4" w:space="0" w:color="auto"/>
              <w:bottom w:val="single" w:sz="4" w:space="0" w:color="auto"/>
              <w:right w:val="single" w:sz="4" w:space="0" w:color="auto"/>
            </w:tcBorders>
            <w:textDirection w:val="lrTb"/>
            <w:vAlign w:val="top"/>
          </w:tcPr>
          <w:p w:rsidR="007A16B4" w:rsidRPr="00915AFF" w:rsidP="007A16B4">
            <w:pPr>
              <w:bidi w:val="0"/>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r>
              <w:rPr>
                <w:rFonts w:ascii="Times New Roman" w:hAnsi="Times New Roman"/>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r>
      <w:tr>
        <w:tblPrEx>
          <w:tblW w:w="9286" w:type="dxa"/>
          <w:tblLayout w:type="fixed"/>
          <w:tblCellMar>
            <w:top w:w="57" w:type="dxa"/>
            <w:bottom w:w="57" w:type="dxa"/>
          </w:tblCellMar>
          <w:tblLook w:val="01E0"/>
        </w:tblPrEx>
        <w:tc>
          <w:tcPr>
            <w:tcW w:w="4968"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rPr>
                <w:rFonts w:ascii="Times New Roman" w:hAnsi="Times New Roman"/>
                <w:bCs/>
                <w:sz w:val="22"/>
                <w:szCs w:val="22"/>
              </w:rPr>
            </w:pPr>
            <w:r w:rsidRPr="00915AFF">
              <w:rPr>
                <w:rFonts w:ascii="Times New Roman" w:hAnsi="Times New Roman"/>
                <w:bCs/>
                <w:sz w:val="22"/>
                <w:szCs w:val="22"/>
              </w:rPr>
              <w:t xml:space="preserve">3, Sociálne vplyvy </w:t>
            </w:r>
          </w:p>
          <w:p w:rsidR="007A16B4" w:rsidP="007A16B4">
            <w:pPr>
              <w:bidi w:val="0"/>
              <w:rPr>
                <w:rFonts w:ascii="Times New Roman" w:hAnsi="Times New Roman"/>
                <w:bCs/>
                <w:sz w:val="22"/>
                <w:szCs w:val="22"/>
              </w:rPr>
            </w:pPr>
            <w:r w:rsidRPr="00915AFF">
              <w:rPr>
                <w:rFonts w:ascii="Times New Roman" w:hAnsi="Times New Roman"/>
                <w:bCs/>
                <w:sz w:val="22"/>
                <w:szCs w:val="22"/>
              </w:rPr>
              <w:t>– vplyvy  na hospodárenie obyvateľstva</w:t>
            </w:r>
            <w:r>
              <w:rPr>
                <w:rFonts w:ascii="Times New Roman" w:hAnsi="Times New Roman"/>
                <w:bCs/>
                <w:sz w:val="22"/>
                <w:szCs w:val="22"/>
              </w:rPr>
              <w:t>,</w:t>
            </w:r>
          </w:p>
          <w:p w:rsidR="007A16B4" w:rsidP="007A16B4">
            <w:pPr>
              <w:numPr>
                <w:numId w:val="1"/>
              </w:numPr>
              <w:tabs>
                <w:tab w:val="clear" w:pos="720"/>
              </w:tabs>
              <w:bidi w:val="0"/>
              <w:ind w:left="180" w:hanging="180"/>
              <w:rPr>
                <w:rFonts w:ascii="Times New Roman" w:hAnsi="Times New Roman"/>
                <w:bCs/>
                <w:sz w:val="22"/>
                <w:szCs w:val="22"/>
              </w:rPr>
            </w:pPr>
            <w:r>
              <w:rPr>
                <w:rFonts w:ascii="Times New Roman" w:hAnsi="Times New Roman"/>
                <w:bCs/>
                <w:sz w:val="22"/>
                <w:szCs w:val="22"/>
              </w:rPr>
              <w:t xml:space="preserve">sociálne vylúčenie </w:t>
            </w:r>
          </w:p>
          <w:p w:rsidR="007A16B4" w:rsidRPr="007A27FD" w:rsidP="007A16B4">
            <w:pPr>
              <w:numPr>
                <w:numId w:val="1"/>
              </w:numPr>
              <w:tabs>
                <w:tab w:val="clear" w:pos="720"/>
              </w:tabs>
              <w:bidi w:val="0"/>
              <w:ind w:left="180" w:hanging="180"/>
              <w:rPr>
                <w:rFonts w:ascii="Times New Roman" w:hAnsi="Times New Roman"/>
                <w:bCs/>
                <w:sz w:val="22"/>
                <w:szCs w:val="22"/>
              </w:rPr>
            </w:pPr>
            <w:r w:rsidRPr="00915AFF">
              <w:rPr>
                <w:rFonts w:ascii="Times New Roman" w:hAnsi="Times New Roman"/>
                <w:bCs/>
                <w:sz w:val="22"/>
                <w:szCs w:val="22"/>
              </w:rPr>
              <w:t>rovnosť príležitostí a rodovú rovnosť a vplyvy na zamestnanosť</w:t>
            </w: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r>
              <w:rPr>
                <w:rFonts w:ascii="Times New Roman" w:hAnsi="Times New Roman"/>
              </w:rPr>
              <w:t>X</w:t>
            </w: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r>
      <w:tr>
        <w:tblPrEx>
          <w:tblW w:w="9286" w:type="dxa"/>
          <w:tblLayout w:type="fixed"/>
          <w:tblCellMar>
            <w:top w:w="57" w:type="dxa"/>
            <w:bottom w:w="57" w:type="dxa"/>
          </w:tblCellMar>
          <w:tblLook w:val="01E0"/>
        </w:tblPrEx>
        <w:tc>
          <w:tcPr>
            <w:tcW w:w="4968" w:type="dxa"/>
            <w:tcBorders>
              <w:top w:val="single" w:sz="4" w:space="0" w:color="auto"/>
              <w:left w:val="single" w:sz="4" w:space="0" w:color="auto"/>
              <w:bottom w:val="single" w:sz="4" w:space="0" w:color="auto"/>
              <w:right w:val="single" w:sz="4" w:space="0" w:color="auto"/>
            </w:tcBorders>
            <w:textDirection w:val="lrTb"/>
            <w:vAlign w:val="top"/>
          </w:tcPr>
          <w:p w:rsidR="007A16B4" w:rsidRPr="00915AFF" w:rsidP="007A16B4">
            <w:pPr>
              <w:bidi w:val="0"/>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r>
              <w:rPr>
                <w:rFonts w:ascii="Times New Roman" w:hAnsi="Times New Roman"/>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r>
      <w:tr>
        <w:tblPrEx>
          <w:tblW w:w="9286" w:type="dxa"/>
          <w:tblLayout w:type="fixed"/>
          <w:tblCellMar>
            <w:top w:w="57" w:type="dxa"/>
            <w:bottom w:w="57" w:type="dxa"/>
          </w:tblCellMar>
          <w:tblLook w:val="01E0"/>
        </w:tblPrEx>
        <w:tc>
          <w:tcPr>
            <w:tcW w:w="4968" w:type="dxa"/>
            <w:tcBorders>
              <w:top w:val="single" w:sz="4" w:space="0" w:color="auto"/>
              <w:left w:val="single" w:sz="4" w:space="0" w:color="auto"/>
              <w:bottom w:val="single" w:sz="4" w:space="0" w:color="auto"/>
              <w:right w:val="single" w:sz="4" w:space="0" w:color="auto"/>
            </w:tcBorders>
            <w:textDirection w:val="lrTb"/>
            <w:vAlign w:val="top"/>
          </w:tcPr>
          <w:p w:rsidR="007A16B4" w:rsidRPr="00915AFF" w:rsidP="007A16B4">
            <w:pPr>
              <w:bidi w:val="0"/>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c>
          <w:tcPr>
            <w:tcW w:w="1439"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r>
              <w:rPr>
                <w:rFonts w:ascii="Times New Roman" w:hAnsi="Times New Roman"/>
              </w:rPr>
              <w:t>X</w:t>
            </w:r>
          </w:p>
        </w:tc>
        <w:tc>
          <w:tcPr>
            <w:tcW w:w="1440" w:type="dxa"/>
            <w:tcBorders>
              <w:top w:val="single" w:sz="4" w:space="0" w:color="auto"/>
              <w:left w:val="single" w:sz="4" w:space="0" w:color="auto"/>
              <w:bottom w:val="single" w:sz="4" w:space="0" w:color="auto"/>
              <w:right w:val="single" w:sz="4" w:space="0" w:color="auto"/>
            </w:tcBorders>
            <w:textDirection w:val="lrTb"/>
            <w:vAlign w:val="top"/>
          </w:tcPr>
          <w:p w:rsidR="007A16B4" w:rsidP="007A16B4">
            <w:pPr>
              <w:bidi w:val="0"/>
              <w:jc w:val="center"/>
              <w:rPr>
                <w:rFonts w:ascii="Times New Roman" w:hAnsi="Times New Roman"/>
              </w:rPr>
            </w:pPr>
          </w:p>
        </w:tc>
      </w:tr>
    </w:tbl>
    <w:p w:rsidR="007A16B4" w:rsidP="007A16B4">
      <w:pPr>
        <w:pStyle w:val="BodyText"/>
        <w:bidi w:val="0"/>
        <w:jc w:val="both"/>
        <w:rPr>
          <w:rFonts w:ascii="Times New Roman" w:hAnsi="Times New Roman"/>
          <w:b/>
          <w:bCs/>
          <w:u w:val="single"/>
        </w:rPr>
      </w:pPr>
      <w:r>
        <w:rPr>
          <w:rFonts w:ascii="Times New Roman" w:hAnsi="Times New Roman"/>
          <w:sz w:val="16"/>
          <w:szCs w:val="16"/>
        </w:rPr>
        <w:t>*</w:t>
      </w:r>
      <w:r>
        <w:rPr>
          <w:rFonts w:ascii="Times New Roman" w:hAnsi="Times New Roman"/>
          <w:b/>
          <w:bCs/>
          <w:sz w:val="16"/>
          <w:szCs w:val="16"/>
        </w:rPr>
        <w:t xml:space="preserve"> </w:t>
      </w:r>
      <w:r w:rsidRPr="00B564AB">
        <w:rPr>
          <w:rFonts w:ascii="Times New Roman" w:hAnsi="Times New Roman"/>
          <w:b/>
          <w:bCs/>
          <w:sz w:val="16"/>
          <w:szCs w:val="16"/>
        </w:rPr>
        <w:t>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7A16B4" w:rsidP="007A16B4">
      <w:pPr>
        <w:pStyle w:val="BodyText"/>
        <w:bidi w:val="0"/>
        <w:jc w:val="both"/>
        <w:rPr>
          <w:rFonts w:ascii="Times New Roman" w:hAnsi="Times New Roman"/>
          <w:b/>
          <w:bCs/>
          <w:sz w:val="16"/>
          <w:szCs w:val="16"/>
        </w:rPr>
      </w:pPr>
    </w:p>
    <w:p w:rsidR="004354DA" w:rsidP="007A16B4">
      <w:pPr>
        <w:pStyle w:val="BodyText"/>
        <w:bidi w:val="0"/>
        <w:jc w:val="both"/>
        <w:rPr>
          <w:rFonts w:ascii="Times New Roman" w:hAnsi="Times New Roman"/>
          <w:bCs/>
        </w:rPr>
      </w:pPr>
    </w:p>
    <w:p w:rsidR="007A16B4" w:rsidRPr="004354DA" w:rsidP="007A16B4">
      <w:pPr>
        <w:pStyle w:val="BodyText"/>
        <w:bidi w:val="0"/>
        <w:jc w:val="both"/>
        <w:rPr>
          <w:rFonts w:ascii="Times New Roman" w:hAnsi="Times New Roman"/>
          <w:b/>
          <w:bCs/>
        </w:rPr>
      </w:pPr>
      <w:r w:rsidRPr="004354DA">
        <w:rPr>
          <w:rFonts w:ascii="Times New Roman" w:hAnsi="Times New Roman"/>
          <w:b/>
          <w:bCs/>
        </w:rPr>
        <w:t xml:space="preserve">A.3. Poznámky </w:t>
      </w:r>
    </w:p>
    <w:p w:rsidR="004354DA" w:rsidP="007A16B4">
      <w:pPr>
        <w:pStyle w:val="BodyText"/>
        <w:bidi w:val="0"/>
        <w:jc w:val="both"/>
        <w:rPr>
          <w:rFonts w:ascii="Times New Roman" w:hAnsi="Times New Roman"/>
          <w:bCs/>
        </w:rPr>
      </w:pPr>
      <w:r w:rsidR="007A16B4">
        <w:rPr>
          <w:rFonts w:ascii="Times New Roman" w:hAnsi="Times New Roman"/>
          <w:bCs/>
        </w:rPr>
        <w:tab/>
      </w:r>
    </w:p>
    <w:p w:rsidR="007A16B4" w:rsidP="007A16B4">
      <w:pPr>
        <w:pStyle w:val="BodyText"/>
        <w:bidi w:val="0"/>
        <w:jc w:val="both"/>
        <w:rPr>
          <w:rFonts w:ascii="Times New Roman" w:hAnsi="Times New Roman"/>
          <w:bCs/>
        </w:rPr>
      </w:pPr>
      <w:r w:rsidR="004354DA">
        <w:rPr>
          <w:rFonts w:ascii="Times New Roman" w:hAnsi="Times New Roman"/>
          <w:bCs/>
        </w:rPr>
        <w:tab/>
      </w:r>
      <w:r>
        <w:rPr>
          <w:rFonts w:ascii="Times New Roman" w:hAnsi="Times New Roman"/>
          <w:bCs/>
        </w:rPr>
        <w:t xml:space="preserve">Navrhovaným </w:t>
      </w:r>
      <w:r w:rsidR="004354DA">
        <w:rPr>
          <w:rFonts w:ascii="Times New Roman" w:hAnsi="Times New Roman"/>
          <w:bCs/>
        </w:rPr>
        <w:t xml:space="preserve">vládny návrhom </w:t>
      </w:r>
      <w:r>
        <w:rPr>
          <w:rFonts w:ascii="Times New Roman" w:hAnsi="Times New Roman"/>
          <w:bCs/>
        </w:rPr>
        <w:t>zákon</w:t>
      </w:r>
      <w:r w:rsidR="004354DA">
        <w:rPr>
          <w:rFonts w:ascii="Times New Roman" w:hAnsi="Times New Roman"/>
          <w:bCs/>
        </w:rPr>
        <w:t xml:space="preserve">a </w:t>
      </w:r>
      <w:r>
        <w:rPr>
          <w:rFonts w:ascii="Times New Roman" w:hAnsi="Times New Roman"/>
          <w:bCs/>
        </w:rPr>
        <w:t>sa upravujú  aj podmienky na poskytovanie prídavku na dieťa a príplatku k prídavku na dieťa oprávnenej osobe v závislosti od páchania/nepáchania priestupkov maloletými  nezaopatrenými deťmi. Vzhľadom k tomu, že objektíve nie je možné kvantifikovať počet detí, v prípade ktorých by od účinnosti navrhovaného zákona mohlo prísť k zlepšeniu alebo zhoršeniu správania s pozitívnym alebo negatívnym vplyvom na nárok na prídavok na dieťa, nemožno  kvantifikovať pozitívny vplyv na štátny rozpočet.</w:t>
      </w:r>
    </w:p>
    <w:p w:rsidR="007A16B4" w:rsidP="007A16B4">
      <w:pPr>
        <w:pStyle w:val="BodyText"/>
        <w:bidi w:val="0"/>
        <w:ind w:firstLine="708"/>
        <w:jc w:val="both"/>
        <w:rPr>
          <w:rFonts w:ascii="Times New Roman" w:hAnsi="Times New Roman"/>
          <w:bCs/>
        </w:rPr>
      </w:pPr>
      <w:r>
        <w:rPr>
          <w:rFonts w:ascii="Times New Roman" w:hAnsi="Times New Roman"/>
          <w:lang w:eastAsia="x-none"/>
        </w:rPr>
        <w:t xml:space="preserve">Navrhovaným </w:t>
      </w:r>
      <w:r w:rsidR="004354DA">
        <w:rPr>
          <w:rFonts w:ascii="Times New Roman" w:hAnsi="Times New Roman"/>
          <w:lang w:eastAsia="x-none"/>
        </w:rPr>
        <w:t xml:space="preserve">vládnym návrhom </w:t>
      </w:r>
      <w:r>
        <w:rPr>
          <w:rFonts w:ascii="Times New Roman" w:hAnsi="Times New Roman"/>
          <w:lang w:eastAsia="x-none"/>
        </w:rPr>
        <w:t>zákon</w:t>
      </w:r>
      <w:r w:rsidR="004354DA">
        <w:rPr>
          <w:rFonts w:ascii="Times New Roman" w:hAnsi="Times New Roman"/>
          <w:lang w:eastAsia="x-none"/>
        </w:rPr>
        <w:t>a</w:t>
      </w:r>
      <w:r>
        <w:rPr>
          <w:rFonts w:ascii="Times New Roman" w:hAnsi="Times New Roman"/>
          <w:lang w:eastAsia="x-none"/>
        </w:rPr>
        <w:t xml:space="preserve"> sa umožňuje poskytovať prídavok na dieťa a príplatok k prídavku na dieťa oprávnenej osobe aj na študenta vysokej školy v</w:t>
      </w:r>
      <w:r w:rsidR="004354DA">
        <w:rPr>
          <w:rFonts w:ascii="Times New Roman" w:hAnsi="Times New Roman"/>
          <w:lang w:eastAsia="x-none"/>
        </w:rPr>
        <w:t> </w:t>
      </w:r>
      <w:r>
        <w:rPr>
          <w:rFonts w:ascii="Times New Roman" w:hAnsi="Times New Roman"/>
          <w:lang w:eastAsia="x-none"/>
        </w:rPr>
        <w:t>S</w:t>
      </w:r>
      <w:r w:rsidR="004354DA">
        <w:rPr>
          <w:rFonts w:ascii="Times New Roman" w:hAnsi="Times New Roman"/>
          <w:lang w:eastAsia="x-none"/>
        </w:rPr>
        <w:t>lovenskej republike</w:t>
      </w:r>
      <w:r>
        <w:rPr>
          <w:rFonts w:ascii="Times New Roman" w:hAnsi="Times New Roman"/>
          <w:lang w:eastAsia="x-none"/>
        </w:rPr>
        <w:t>, ktorý sa sústavne pripravuje na povolanie dennou formou štúdia, ktoré presahuje školou určenú štandardnú dĺžku štúdia. Podľa súčasnej platnej legislatívy nebol doteraz dôvod na účely prídavku na dieťa sledovať počet študentov, ktorý presahujú štandardnú dĺžku štúdia. Vzhľadom na túto skutočnosť možno len predpokladať, aj s prihliadnutím na vekovú hranicu nároku na prídavok na dieťa – 25 rokov a priemernú dobu štúdia 5 akademických rokov, že z celkového počtu študentov vysokých škôl v</w:t>
      </w:r>
      <w:r w:rsidR="004354DA">
        <w:rPr>
          <w:rFonts w:ascii="Times New Roman" w:hAnsi="Times New Roman"/>
          <w:lang w:eastAsia="x-none"/>
        </w:rPr>
        <w:t> </w:t>
      </w:r>
      <w:r>
        <w:rPr>
          <w:rFonts w:ascii="Times New Roman" w:hAnsi="Times New Roman"/>
          <w:lang w:eastAsia="x-none"/>
        </w:rPr>
        <w:t>S</w:t>
      </w:r>
      <w:r w:rsidR="004354DA">
        <w:rPr>
          <w:rFonts w:ascii="Times New Roman" w:hAnsi="Times New Roman"/>
          <w:lang w:eastAsia="x-none"/>
        </w:rPr>
        <w:t>lovenskej republike</w:t>
      </w:r>
      <w:r>
        <w:rPr>
          <w:rFonts w:ascii="Times New Roman" w:hAnsi="Times New Roman"/>
          <w:lang w:eastAsia="x-none"/>
        </w:rPr>
        <w:t xml:space="preserve"> by sa navrhovaný zákon pozitívne dotkol odhadom cca 2300 študentov</w:t>
      </w:r>
      <w:r>
        <w:rPr>
          <w:rFonts w:ascii="Times New Roman" w:hAnsi="Times New Roman"/>
          <w:bCs/>
        </w:rPr>
        <w:t xml:space="preserve">. </w:t>
      </w:r>
    </w:p>
    <w:p w:rsidR="007A16B4" w:rsidP="007A16B4">
      <w:pPr>
        <w:pStyle w:val="BodyText"/>
        <w:bidi w:val="0"/>
        <w:ind w:firstLine="708"/>
        <w:jc w:val="both"/>
        <w:rPr>
          <w:rFonts w:ascii="Times New Roman" w:hAnsi="Times New Roman"/>
          <w:bCs/>
        </w:rPr>
      </w:pPr>
      <w:r>
        <w:rPr>
          <w:rFonts w:ascii="Times New Roman" w:hAnsi="Times New Roman"/>
          <w:bCs/>
        </w:rPr>
        <w:t xml:space="preserve">Z uvedených dôvodov  nie je možné vyhotoviť  doložku vplyvov na rozpočet verejnej správy. </w:t>
      </w:r>
    </w:p>
    <w:p w:rsidR="007A16B4" w:rsidRPr="00580573" w:rsidP="007A16B4">
      <w:pPr>
        <w:pStyle w:val="BodyText"/>
        <w:bidi w:val="0"/>
        <w:ind w:firstLine="708"/>
        <w:jc w:val="both"/>
        <w:rPr>
          <w:rFonts w:ascii="Times New Roman" w:hAnsi="Times New Roman"/>
          <w:bCs/>
        </w:rPr>
      </w:pPr>
      <w:r>
        <w:rPr>
          <w:rFonts w:ascii="Times New Roman" w:hAnsi="Times New Roman"/>
          <w:bCs/>
        </w:rPr>
        <w:t>P</w:t>
      </w:r>
      <w:r w:rsidRPr="00580573">
        <w:rPr>
          <w:rFonts w:ascii="Times New Roman" w:hAnsi="Times New Roman"/>
          <w:bCs/>
        </w:rPr>
        <w:t>rípadný negatívny vplyv</w:t>
      </w:r>
      <w:r w:rsidR="004354DA">
        <w:rPr>
          <w:rFonts w:ascii="Times New Roman" w:hAnsi="Times New Roman"/>
          <w:bCs/>
        </w:rPr>
        <w:t xml:space="preserve"> vládneho</w:t>
      </w:r>
      <w:r w:rsidRPr="00580573">
        <w:rPr>
          <w:rFonts w:ascii="Times New Roman" w:hAnsi="Times New Roman"/>
          <w:bCs/>
        </w:rPr>
        <w:t xml:space="preserve"> návrhu </w:t>
      </w:r>
      <w:r>
        <w:rPr>
          <w:rFonts w:ascii="Times New Roman" w:hAnsi="Times New Roman"/>
          <w:bCs/>
        </w:rPr>
        <w:t>na poskytovanie prídavku na dieťa a príplatku k prídavku na dieťa  oprávnenej osobe  aj na študenta vysokej školy v</w:t>
      </w:r>
      <w:r w:rsidR="004354DA">
        <w:rPr>
          <w:rFonts w:ascii="Times New Roman" w:hAnsi="Times New Roman"/>
          <w:bCs/>
        </w:rPr>
        <w:t> </w:t>
      </w:r>
      <w:r>
        <w:rPr>
          <w:rFonts w:ascii="Times New Roman" w:hAnsi="Times New Roman"/>
          <w:bCs/>
        </w:rPr>
        <w:t>S</w:t>
      </w:r>
      <w:r w:rsidR="004354DA">
        <w:rPr>
          <w:rFonts w:ascii="Times New Roman" w:hAnsi="Times New Roman"/>
          <w:bCs/>
        </w:rPr>
        <w:t>lovenskej republike</w:t>
      </w:r>
      <w:r>
        <w:rPr>
          <w:rFonts w:ascii="Times New Roman" w:hAnsi="Times New Roman"/>
          <w:bCs/>
        </w:rPr>
        <w:t xml:space="preserve">, ktorého štúdium presahuje štandardnú dĺžku štúdia, </w:t>
      </w:r>
      <w:r w:rsidRPr="00580573">
        <w:rPr>
          <w:rFonts w:ascii="Times New Roman" w:hAnsi="Times New Roman"/>
          <w:bCs/>
        </w:rPr>
        <w:t>bude riešený v rámci schválených limitov výdavkov kapitoly Ministerstva práce, sociálnych vecí a rodiny S</w:t>
      </w:r>
      <w:r w:rsidR="004354DA">
        <w:rPr>
          <w:rFonts w:ascii="Times New Roman" w:hAnsi="Times New Roman"/>
          <w:bCs/>
        </w:rPr>
        <w:t>lovenskej republike</w:t>
      </w:r>
      <w:r w:rsidRPr="00580573">
        <w:rPr>
          <w:rFonts w:ascii="Times New Roman" w:hAnsi="Times New Roman"/>
          <w:bCs/>
        </w:rPr>
        <w:t xml:space="preserve"> na roky 2014 až 2016 z prostriedkov rozpočtovaných na programe </w:t>
      </w:r>
      <w:smartTag w:uri="urn:schemas-microsoft-com:office:smarttags" w:element="metricconverter">
        <w:smartTagPr>
          <w:attr w:name="ProductID" w:val="07C"/>
        </w:smartTagPr>
        <w:r w:rsidRPr="00580573">
          <w:rPr>
            <w:rFonts w:ascii="Times New Roman" w:hAnsi="Times New Roman"/>
            <w:bCs/>
          </w:rPr>
          <w:t>07C</w:t>
        </w:r>
      </w:smartTag>
      <w:r w:rsidRPr="00580573">
        <w:rPr>
          <w:rFonts w:ascii="Times New Roman" w:hAnsi="Times New Roman"/>
          <w:bCs/>
        </w:rPr>
        <w:t xml:space="preserve"> Sociálna inklúzia.</w:t>
      </w:r>
    </w:p>
    <w:p w:rsidR="007A16B4" w:rsidP="007A16B4">
      <w:pPr>
        <w:pStyle w:val="BodyText"/>
        <w:bidi w:val="0"/>
        <w:jc w:val="both"/>
        <w:rPr>
          <w:rFonts w:ascii="Times New Roman" w:hAnsi="Times New Roman"/>
          <w:b/>
        </w:rPr>
      </w:pPr>
    </w:p>
    <w:p w:rsidR="007A16B4" w:rsidRPr="004354DA" w:rsidP="007A16B4">
      <w:pPr>
        <w:pStyle w:val="BodyText"/>
        <w:bidi w:val="0"/>
        <w:jc w:val="both"/>
        <w:rPr>
          <w:rFonts w:ascii="Times New Roman" w:hAnsi="Times New Roman"/>
          <w:b/>
        </w:rPr>
      </w:pPr>
      <w:r w:rsidRPr="004354DA">
        <w:rPr>
          <w:rFonts w:ascii="Times New Roman" w:hAnsi="Times New Roman"/>
          <w:b/>
        </w:rPr>
        <w:t>A.4. Alternatívne riešenia</w:t>
      </w:r>
    </w:p>
    <w:p w:rsidR="007A16B4" w:rsidRPr="004354DA" w:rsidP="007A16B4">
      <w:pPr>
        <w:pStyle w:val="BodyText"/>
        <w:bidi w:val="0"/>
        <w:jc w:val="both"/>
        <w:rPr>
          <w:rFonts w:ascii="Times New Roman" w:hAnsi="Times New Roman"/>
          <w:b/>
        </w:rPr>
      </w:pPr>
    </w:p>
    <w:p w:rsidR="007A16B4" w:rsidRPr="004354DA" w:rsidP="007A16B4">
      <w:pPr>
        <w:bidi w:val="0"/>
        <w:ind w:right="-108"/>
        <w:rPr>
          <w:rFonts w:ascii="Times New Roman" w:hAnsi="Times New Roman"/>
          <w:b/>
          <w:bCs/>
          <w:sz w:val="28"/>
          <w:szCs w:val="28"/>
        </w:rPr>
      </w:pPr>
      <w:r w:rsidRPr="004354DA">
        <w:rPr>
          <w:rFonts w:ascii="Times New Roman" w:hAnsi="Times New Roman"/>
          <w:b/>
        </w:rPr>
        <w:t>A.5. Stanovisko gestorov</w:t>
      </w:r>
    </w:p>
    <w:p w:rsidR="00955E3B">
      <w:pPr>
        <w:bidi w:val="0"/>
        <w:rPr>
          <w:rFonts w:ascii="Times New Roman" w:hAnsi="Times New Roman"/>
        </w:rPr>
      </w:pPr>
    </w:p>
    <w:sectPr w:rsidSect="008B60FB">
      <w:pgSz w:w="11906" w:h="16838"/>
      <w:pgMar w:top="993" w:right="1418" w:bottom="1079"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6A0"/>
    <w:multiLevelType w:val="hybridMultilevel"/>
    <w:tmpl w:val="4B848C24"/>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A16B4"/>
    <w:rsid w:val="003A4F5C"/>
    <w:rsid w:val="004354DA"/>
    <w:rsid w:val="00507D55"/>
    <w:rsid w:val="00580573"/>
    <w:rsid w:val="00720762"/>
    <w:rsid w:val="007614B5"/>
    <w:rsid w:val="007A16B4"/>
    <w:rsid w:val="007A27FD"/>
    <w:rsid w:val="008B60FB"/>
    <w:rsid w:val="008F35B9"/>
    <w:rsid w:val="00915AFF"/>
    <w:rsid w:val="00955E3B"/>
    <w:rsid w:val="00B501C1"/>
    <w:rsid w:val="00B564AB"/>
    <w:rsid w:val="00C6115E"/>
    <w:rsid w:val="00D80001"/>
    <w:rsid w:val="00E612E4"/>
    <w:rsid w:val="00EB3410"/>
    <w:rsid w:val="00EE7678"/>
    <w:rsid w:val="00F40ABA"/>
    <w:rsid w:val="00FB2DA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6B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7A16B4"/>
    <w:pPr>
      <w:jc w:val="left"/>
    </w:pPr>
  </w:style>
  <w:style w:type="character" w:customStyle="1" w:styleId="ZkladntextChar">
    <w:name w:val="Základný text Char"/>
    <w:basedOn w:val="DefaultParagraphFont"/>
    <w:link w:val="BodyText"/>
    <w:uiPriority w:val="99"/>
    <w:semiHidden/>
    <w:locked/>
    <w:rsid w:val="007A16B4"/>
    <w:rPr>
      <w:rFonts w:cs="Times New Roman"/>
      <w:sz w:val="24"/>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2</Pages>
  <Words>426</Words>
  <Characters>2614</Characters>
  <Application>Microsoft Office Word</Application>
  <DocSecurity>0</DocSecurity>
  <Lines>0</Lines>
  <Paragraphs>0</Paragraphs>
  <ScaleCrop>false</ScaleCrop>
  <Company>mpsvr</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Administrator</dc:creator>
  <cp:lastModifiedBy>cebulakova</cp:lastModifiedBy>
  <cp:revision>4</cp:revision>
  <cp:lastPrinted>2013-09-27T08:51:00Z</cp:lastPrinted>
  <dcterms:created xsi:type="dcterms:W3CDTF">2013-09-13T09:58:00Z</dcterms:created>
  <dcterms:modified xsi:type="dcterms:W3CDTF">2013-09-27T08:51:00Z</dcterms:modified>
</cp:coreProperties>
</file>