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55DF8" w:rsidRPr="00C66B12" w:rsidP="005D18E8">
      <w:pPr>
        <w:pBdr>
          <w:bottom w:val="single" w:sz="12" w:space="1" w:color="auto"/>
        </w:pBdr>
        <w:bidi w:val="0"/>
        <w:spacing w:line="360" w:lineRule="auto"/>
        <w:jc w:val="center"/>
        <w:rPr>
          <w:rFonts w:ascii="Book Antiqua" w:hAnsi="Book Antiqua"/>
          <w:b/>
          <w:spacing w:val="20"/>
          <w:sz w:val="22"/>
          <w:szCs w:val="22"/>
        </w:rPr>
      </w:pPr>
      <w:r w:rsidRPr="00C66B12">
        <w:rPr>
          <w:rFonts w:ascii="Book Antiqua" w:hAnsi="Book Antiqua"/>
          <w:b/>
          <w:spacing w:val="20"/>
          <w:sz w:val="22"/>
          <w:szCs w:val="22"/>
        </w:rPr>
        <w:t>NÁRODNÁ  RADA  SLOVENSKEJ  REPUBLIKY</w:t>
      </w:r>
    </w:p>
    <w:p w:rsidR="00355DF8" w:rsidRPr="00C66B12" w:rsidP="005D18E8">
      <w:pPr>
        <w:bidi w:val="0"/>
        <w:spacing w:line="360" w:lineRule="auto"/>
        <w:jc w:val="center"/>
        <w:rPr>
          <w:rFonts w:ascii="Book Antiqua" w:hAnsi="Book Antiqua"/>
          <w:spacing w:val="20"/>
          <w:sz w:val="22"/>
          <w:szCs w:val="22"/>
        </w:rPr>
      </w:pPr>
    </w:p>
    <w:p w:rsidR="00355DF8" w:rsidRPr="00C66B12" w:rsidP="005D18E8">
      <w:pPr>
        <w:bidi w:val="0"/>
        <w:spacing w:line="360" w:lineRule="auto"/>
        <w:jc w:val="center"/>
        <w:rPr>
          <w:rFonts w:ascii="Book Antiqua" w:hAnsi="Book Antiqua"/>
          <w:spacing w:val="20"/>
          <w:sz w:val="22"/>
          <w:szCs w:val="22"/>
        </w:rPr>
      </w:pPr>
      <w:r w:rsidRPr="00C66B12">
        <w:rPr>
          <w:rFonts w:ascii="Book Antiqua" w:hAnsi="Book Antiqua"/>
          <w:spacing w:val="20"/>
          <w:sz w:val="22"/>
          <w:szCs w:val="22"/>
        </w:rPr>
        <w:t>VI. volebné obdobie</w:t>
      </w:r>
    </w:p>
    <w:p w:rsidR="006A2A48" w:rsidRPr="00C66B12" w:rsidP="006A2A48">
      <w:pPr>
        <w:bidi w:val="0"/>
        <w:spacing w:line="360" w:lineRule="auto"/>
        <w:rPr>
          <w:rFonts w:ascii="Book Antiqua" w:hAnsi="Book Antiqua"/>
          <w:b/>
          <w:spacing w:val="30"/>
          <w:sz w:val="22"/>
          <w:szCs w:val="22"/>
        </w:rPr>
      </w:pPr>
    </w:p>
    <w:p w:rsidR="00355DF8" w:rsidRPr="00C66B12" w:rsidP="005D18E8">
      <w:pPr>
        <w:bidi w:val="0"/>
        <w:spacing w:line="360" w:lineRule="auto"/>
        <w:jc w:val="center"/>
        <w:rPr>
          <w:rFonts w:ascii="Book Antiqua" w:hAnsi="Book Antiqua"/>
          <w:b/>
          <w:spacing w:val="30"/>
          <w:sz w:val="22"/>
          <w:szCs w:val="22"/>
        </w:rPr>
      </w:pPr>
      <w:r w:rsidRPr="00C66B12">
        <w:rPr>
          <w:rFonts w:ascii="Book Antiqua" w:hAnsi="Book Antiqua"/>
          <w:b/>
          <w:spacing w:val="30"/>
          <w:sz w:val="22"/>
          <w:szCs w:val="22"/>
        </w:rPr>
        <w:t>Návrh</w:t>
      </w:r>
    </w:p>
    <w:p w:rsidR="00450A28" w:rsidRPr="00C66B12" w:rsidP="005D18E8">
      <w:pPr>
        <w:bidi w:val="0"/>
        <w:spacing w:line="360" w:lineRule="auto"/>
        <w:jc w:val="center"/>
        <w:rPr>
          <w:rFonts w:ascii="Book Antiqua" w:hAnsi="Book Antiqua"/>
          <w:b/>
          <w:spacing w:val="30"/>
          <w:sz w:val="22"/>
          <w:szCs w:val="22"/>
        </w:rPr>
      </w:pPr>
    </w:p>
    <w:p w:rsidR="00450A28" w:rsidRPr="00C66B12" w:rsidP="005D18E8">
      <w:pPr>
        <w:bidi w:val="0"/>
        <w:spacing w:line="360" w:lineRule="auto"/>
        <w:jc w:val="center"/>
        <w:rPr>
          <w:rFonts w:ascii="Book Antiqua" w:hAnsi="Book Antiqua"/>
          <w:b/>
          <w:caps/>
          <w:spacing w:val="30"/>
          <w:sz w:val="22"/>
          <w:szCs w:val="22"/>
        </w:rPr>
      </w:pPr>
      <w:r w:rsidRPr="00C66B12" w:rsidR="00355DF8">
        <w:rPr>
          <w:rFonts w:ascii="Book Antiqua" w:hAnsi="Book Antiqua"/>
          <w:b/>
          <w:caps/>
          <w:spacing w:val="30"/>
          <w:sz w:val="22"/>
          <w:szCs w:val="22"/>
        </w:rPr>
        <w:t>ÚSTAVNÝ zákon</w:t>
      </w:r>
    </w:p>
    <w:p w:rsidR="00450A28" w:rsidRPr="00C66B12" w:rsidP="005D18E8">
      <w:pPr>
        <w:bidi w:val="0"/>
        <w:spacing w:line="360" w:lineRule="auto"/>
        <w:jc w:val="center"/>
        <w:rPr>
          <w:rFonts w:ascii="Book Antiqua" w:hAnsi="Book Antiqua"/>
          <w:sz w:val="22"/>
          <w:szCs w:val="22"/>
        </w:rPr>
      </w:pPr>
    </w:p>
    <w:p w:rsidR="00355DF8" w:rsidRPr="00C66B12" w:rsidP="005D18E8">
      <w:pPr>
        <w:bidi w:val="0"/>
        <w:spacing w:line="360" w:lineRule="auto"/>
        <w:jc w:val="center"/>
        <w:rPr>
          <w:rFonts w:ascii="Book Antiqua" w:hAnsi="Book Antiqua"/>
          <w:sz w:val="22"/>
          <w:szCs w:val="22"/>
        </w:rPr>
      </w:pPr>
      <w:r w:rsidRPr="00C66B12">
        <w:rPr>
          <w:rFonts w:ascii="Book Antiqua" w:hAnsi="Book Antiqua"/>
          <w:sz w:val="22"/>
          <w:szCs w:val="22"/>
        </w:rPr>
        <w:t>z ... 2013,</w:t>
      </w:r>
    </w:p>
    <w:p w:rsidR="00355DF8" w:rsidRPr="00C66B12" w:rsidP="005D18E8">
      <w:pPr>
        <w:bidi w:val="0"/>
        <w:spacing w:line="360" w:lineRule="auto"/>
        <w:jc w:val="center"/>
        <w:rPr>
          <w:rFonts w:ascii="Book Antiqua" w:hAnsi="Book Antiqua"/>
          <w:sz w:val="22"/>
          <w:szCs w:val="22"/>
        </w:rPr>
      </w:pPr>
    </w:p>
    <w:p w:rsidR="00355DF8" w:rsidRPr="00C66B12" w:rsidP="005D18E8">
      <w:pPr>
        <w:bidi w:val="0"/>
        <w:spacing w:line="360" w:lineRule="auto"/>
        <w:jc w:val="center"/>
        <w:rPr>
          <w:rFonts w:ascii="Book Antiqua" w:hAnsi="Book Antiqua"/>
          <w:b/>
          <w:sz w:val="22"/>
          <w:szCs w:val="22"/>
        </w:rPr>
      </w:pPr>
      <w:r w:rsidRPr="00C66B12">
        <w:rPr>
          <w:rFonts w:ascii="Book Antiqua" w:hAnsi="Book Antiqua"/>
          <w:b/>
          <w:sz w:val="22"/>
          <w:szCs w:val="22"/>
        </w:rPr>
        <w:t xml:space="preserve">ktorým sa </w:t>
      </w:r>
      <w:r w:rsidRPr="00C66B12" w:rsidR="00496A32">
        <w:rPr>
          <w:rFonts w:ascii="Book Antiqua" w:hAnsi="Book Antiqua"/>
          <w:b/>
          <w:sz w:val="22"/>
          <w:szCs w:val="22"/>
        </w:rPr>
        <w:t xml:space="preserve">mení a </w:t>
      </w:r>
      <w:r w:rsidRPr="00C66B12">
        <w:rPr>
          <w:rFonts w:ascii="Book Antiqua" w:hAnsi="Book Antiqua"/>
          <w:b/>
          <w:sz w:val="22"/>
          <w:szCs w:val="22"/>
        </w:rPr>
        <w:t xml:space="preserve">dopĺňa Ústava Slovenskej republiky č. 460/1992 Zb. v znení neskorších predpisov </w:t>
      </w:r>
    </w:p>
    <w:p w:rsidR="00355DF8" w:rsidRPr="00C66B12" w:rsidP="005D18E8">
      <w:pPr>
        <w:bidi w:val="0"/>
        <w:spacing w:line="360" w:lineRule="auto"/>
        <w:jc w:val="both"/>
        <w:rPr>
          <w:rFonts w:ascii="Book Antiqua" w:hAnsi="Book Antiqua"/>
          <w:sz w:val="22"/>
          <w:szCs w:val="22"/>
        </w:rPr>
      </w:pPr>
    </w:p>
    <w:p w:rsidR="00355DF8" w:rsidRPr="00C66B12" w:rsidP="005D18E8">
      <w:pPr>
        <w:bidi w:val="0"/>
        <w:spacing w:line="360" w:lineRule="auto"/>
        <w:jc w:val="both"/>
        <w:rPr>
          <w:rFonts w:ascii="Book Antiqua" w:hAnsi="Book Antiqua"/>
          <w:sz w:val="22"/>
          <w:szCs w:val="22"/>
        </w:rPr>
      </w:pPr>
      <w:r w:rsidRPr="00C66B12">
        <w:rPr>
          <w:rFonts w:ascii="Book Antiqua" w:hAnsi="Book Antiqua"/>
          <w:sz w:val="22"/>
          <w:szCs w:val="22"/>
        </w:rPr>
        <w:t xml:space="preserve">Národná rada Slovenskej republiky sa uzniesla na tomto ústavnom zákone: </w:t>
      </w:r>
    </w:p>
    <w:p w:rsidR="00355DF8" w:rsidRPr="00C66B12" w:rsidP="005D18E8">
      <w:pPr>
        <w:bidi w:val="0"/>
        <w:spacing w:line="360" w:lineRule="auto"/>
        <w:jc w:val="both"/>
        <w:rPr>
          <w:rFonts w:ascii="Book Antiqua" w:hAnsi="Book Antiqua"/>
          <w:b/>
          <w:sz w:val="22"/>
          <w:szCs w:val="22"/>
        </w:rPr>
      </w:pPr>
    </w:p>
    <w:p w:rsidR="00355DF8" w:rsidRPr="00C66B12" w:rsidP="005D18E8">
      <w:pPr>
        <w:bidi w:val="0"/>
        <w:spacing w:line="360" w:lineRule="auto"/>
        <w:jc w:val="center"/>
        <w:rPr>
          <w:rFonts w:ascii="Book Antiqua" w:hAnsi="Book Antiqua"/>
          <w:b/>
          <w:sz w:val="22"/>
          <w:szCs w:val="22"/>
        </w:rPr>
      </w:pPr>
      <w:r w:rsidRPr="00C66B12">
        <w:rPr>
          <w:rFonts w:ascii="Book Antiqua" w:hAnsi="Book Antiqua"/>
          <w:b/>
          <w:sz w:val="22"/>
          <w:szCs w:val="22"/>
        </w:rPr>
        <w:t>Čl. I</w:t>
      </w:r>
    </w:p>
    <w:p w:rsidR="00355DF8" w:rsidRPr="00C66B12" w:rsidP="005D18E8">
      <w:pPr>
        <w:bidi w:val="0"/>
        <w:spacing w:line="360" w:lineRule="auto"/>
        <w:jc w:val="both"/>
        <w:rPr>
          <w:rFonts w:ascii="Book Antiqua" w:hAnsi="Book Antiqua"/>
          <w:sz w:val="22"/>
          <w:szCs w:val="22"/>
        </w:rPr>
      </w:pPr>
    </w:p>
    <w:p w:rsidR="00355DF8" w:rsidRPr="00C66B12" w:rsidP="004A3E2C">
      <w:pPr>
        <w:autoSpaceDE w:val="0"/>
        <w:autoSpaceDN w:val="0"/>
        <w:bidi w:val="0"/>
        <w:adjustRightInd w:val="0"/>
        <w:spacing w:line="360" w:lineRule="auto"/>
        <w:jc w:val="both"/>
        <w:rPr>
          <w:rFonts w:ascii="Book Antiqua" w:hAnsi="Book Antiqua"/>
          <w:color w:val="231F20"/>
          <w:sz w:val="22"/>
          <w:szCs w:val="22"/>
          <w:lang w:eastAsia="en-US"/>
        </w:rPr>
      </w:pPr>
      <w:r w:rsidRPr="00C66B12">
        <w:rPr>
          <w:rFonts w:ascii="Book Antiqua" w:hAnsi="Book Antiqua"/>
          <w:color w:val="231F20"/>
          <w:sz w:val="22"/>
          <w:szCs w:val="22"/>
          <w:lang w:eastAsia="en-US"/>
        </w:rPr>
        <w:t>Ústava Slovenskej republiky č. 460/1992 Zb. v znení ústavného zákona č. 244/1998 Z. z., ústavného zákona č. 9/1999 Z. z., ústavného zákona č. 90/2001 Z. z, ústavného zákona</w:t>
      </w:r>
      <w:r w:rsidRPr="00C66B12" w:rsidR="009B3C7E">
        <w:rPr>
          <w:rFonts w:ascii="Book Antiqua" w:hAnsi="Book Antiqua"/>
          <w:color w:val="231F20"/>
          <w:sz w:val="22"/>
          <w:szCs w:val="22"/>
          <w:lang w:eastAsia="en-US"/>
        </w:rPr>
        <w:t xml:space="preserve"> </w:t>
      </w:r>
      <w:r w:rsidRPr="00C66B12" w:rsidR="00496A32">
        <w:rPr>
          <w:rFonts w:ascii="Book Antiqua" w:hAnsi="Book Antiqua"/>
          <w:color w:val="231F20"/>
          <w:sz w:val="22"/>
          <w:szCs w:val="22"/>
          <w:lang w:eastAsia="en-US"/>
        </w:rPr>
        <w:t xml:space="preserve">         </w:t>
      </w:r>
      <w:r w:rsidRPr="00C66B12">
        <w:rPr>
          <w:rFonts w:ascii="Book Antiqua" w:hAnsi="Book Antiqua"/>
          <w:color w:val="231F20"/>
          <w:sz w:val="22"/>
          <w:szCs w:val="22"/>
          <w:lang w:eastAsia="en-US"/>
        </w:rPr>
        <w:t xml:space="preserve">č. 140/2004 Z. z., ústavného zákona č. 323/2004 Z. z., ústavného zákona č. 463/2005 Z. z., ústavného zákona č. 92/2006 Z. z., ústavného zákona č. 210/2006 Z. z., ústavného zákona </w:t>
      </w:r>
      <w:r w:rsidRPr="00C66B12" w:rsidR="00496A32">
        <w:rPr>
          <w:rFonts w:ascii="Book Antiqua" w:hAnsi="Book Antiqua"/>
          <w:color w:val="231F20"/>
          <w:sz w:val="22"/>
          <w:szCs w:val="22"/>
          <w:lang w:eastAsia="en-US"/>
        </w:rPr>
        <w:t xml:space="preserve">    </w:t>
      </w:r>
      <w:r w:rsidRPr="00C66B12">
        <w:rPr>
          <w:rFonts w:ascii="Book Antiqua" w:hAnsi="Book Antiqua"/>
          <w:color w:val="231F20"/>
          <w:sz w:val="22"/>
          <w:szCs w:val="22"/>
          <w:lang w:eastAsia="en-US"/>
        </w:rPr>
        <w:t xml:space="preserve">č. 100/2010 Z. z., ústavného zákona č. 356/2011 Z. z. a ústavného zákona č. 232/2012 Z. z. sa </w:t>
      </w:r>
      <w:r w:rsidRPr="00C66B12" w:rsidR="00472D5D">
        <w:rPr>
          <w:rFonts w:ascii="Book Antiqua" w:hAnsi="Book Antiqua"/>
          <w:color w:val="231F20"/>
          <w:sz w:val="22"/>
          <w:szCs w:val="22"/>
          <w:lang w:eastAsia="en-US"/>
        </w:rPr>
        <w:t xml:space="preserve">mení a </w:t>
      </w:r>
      <w:r w:rsidRPr="00C66B12">
        <w:rPr>
          <w:rFonts w:ascii="Book Antiqua" w:hAnsi="Book Antiqua"/>
          <w:color w:val="231F20"/>
          <w:sz w:val="22"/>
          <w:szCs w:val="22"/>
          <w:lang w:eastAsia="en-US"/>
        </w:rPr>
        <w:t>dopĺňa takto:</w:t>
      </w:r>
    </w:p>
    <w:p w:rsidR="00355DF8" w:rsidRPr="00C66B12" w:rsidP="005D18E8">
      <w:pPr>
        <w:autoSpaceDE w:val="0"/>
        <w:autoSpaceDN w:val="0"/>
        <w:bidi w:val="0"/>
        <w:adjustRightInd w:val="0"/>
        <w:spacing w:line="360" w:lineRule="auto"/>
        <w:jc w:val="both"/>
        <w:rPr>
          <w:rFonts w:ascii="Book Antiqua" w:hAnsi="Book Antiqua"/>
          <w:bCs/>
          <w:sz w:val="22"/>
          <w:szCs w:val="22"/>
        </w:rPr>
      </w:pPr>
    </w:p>
    <w:p w:rsidR="00A52655" w:rsidP="00A52655">
      <w:pPr>
        <w:numPr>
          <w:numId w:val="3"/>
        </w:numPr>
        <w:bidi w:val="0"/>
        <w:spacing w:line="360" w:lineRule="auto"/>
        <w:jc w:val="both"/>
        <w:rPr>
          <w:rFonts w:ascii="Book Antiqua" w:hAnsi="Book Antiqua"/>
          <w:bCs/>
          <w:sz w:val="22"/>
          <w:szCs w:val="22"/>
        </w:rPr>
      </w:pPr>
      <w:r w:rsidR="00E63236">
        <w:rPr>
          <w:rFonts w:ascii="Book Antiqua" w:hAnsi="Book Antiqua"/>
          <w:bCs/>
          <w:sz w:val="22"/>
          <w:szCs w:val="22"/>
        </w:rPr>
        <w:t xml:space="preserve">V čl. 98 odsek </w:t>
      </w:r>
      <w:r>
        <w:rPr>
          <w:rFonts w:ascii="Book Antiqua" w:hAnsi="Book Antiqua"/>
          <w:bCs/>
          <w:sz w:val="22"/>
          <w:szCs w:val="22"/>
        </w:rPr>
        <w:t>1</w:t>
      </w:r>
      <w:r w:rsidRPr="00C66B12" w:rsidR="0039747B">
        <w:rPr>
          <w:rFonts w:ascii="Book Antiqua" w:hAnsi="Book Antiqua"/>
          <w:bCs/>
          <w:sz w:val="22"/>
          <w:szCs w:val="22"/>
        </w:rPr>
        <w:t xml:space="preserve"> znie:</w:t>
      </w:r>
    </w:p>
    <w:p w:rsidR="00A52655" w:rsidP="00A52655">
      <w:pPr>
        <w:bidi w:val="0"/>
        <w:spacing w:line="360" w:lineRule="auto"/>
        <w:ind w:left="720"/>
        <w:jc w:val="both"/>
        <w:rPr>
          <w:rFonts w:ascii="Book Antiqua" w:hAnsi="Book Antiqua"/>
          <w:bCs/>
          <w:sz w:val="22"/>
          <w:szCs w:val="22"/>
        </w:rPr>
      </w:pPr>
    </w:p>
    <w:p w:rsidR="00A52655" w:rsidRPr="00A52655" w:rsidP="00A52655">
      <w:pPr>
        <w:bidi w:val="0"/>
        <w:spacing w:line="360" w:lineRule="auto"/>
        <w:ind w:left="720"/>
        <w:jc w:val="both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>„</w:t>
      </w:r>
      <w:r w:rsidRPr="00A52655">
        <w:rPr>
          <w:rFonts w:ascii="Book Antiqua" w:hAnsi="Book Antiqua"/>
          <w:bCs/>
          <w:sz w:val="22"/>
          <w:szCs w:val="22"/>
        </w:rPr>
        <w:t>(1) Výsledky referenda sú platné, ak bolo rozhodnutie prijaté nadpolovičnou v</w:t>
      </w:r>
      <w:r w:rsidR="00E63236">
        <w:rPr>
          <w:rFonts w:ascii="Book Antiqua" w:hAnsi="Book Antiqua"/>
          <w:bCs/>
          <w:sz w:val="22"/>
          <w:szCs w:val="22"/>
        </w:rPr>
        <w:t>äčšinou účastníkov referenda.”.</w:t>
      </w:r>
    </w:p>
    <w:p w:rsidR="00E21846" w:rsidP="005D18E8">
      <w:pPr>
        <w:bidi w:val="0"/>
        <w:spacing w:line="360" w:lineRule="auto"/>
        <w:rPr>
          <w:rFonts w:ascii="Book Antiqua" w:hAnsi="Book Antiqua"/>
          <w:bCs/>
          <w:sz w:val="22"/>
          <w:szCs w:val="22"/>
        </w:rPr>
      </w:pPr>
    </w:p>
    <w:p w:rsidR="00A52655" w:rsidRPr="00C66B12" w:rsidP="005D18E8">
      <w:pPr>
        <w:bidi w:val="0"/>
        <w:spacing w:line="360" w:lineRule="auto"/>
        <w:rPr>
          <w:rFonts w:ascii="Book Antiqua" w:hAnsi="Book Antiqua"/>
          <w:bCs/>
          <w:sz w:val="22"/>
          <w:szCs w:val="22"/>
        </w:rPr>
      </w:pPr>
    </w:p>
    <w:p w:rsidR="00F444F8" w:rsidRPr="00C66B12" w:rsidP="000E310D">
      <w:pPr>
        <w:bidi w:val="0"/>
        <w:spacing w:line="360" w:lineRule="auto"/>
        <w:jc w:val="center"/>
        <w:rPr>
          <w:rFonts w:ascii="Book Antiqua" w:hAnsi="Book Antiqua"/>
          <w:b/>
          <w:sz w:val="22"/>
          <w:szCs w:val="22"/>
        </w:rPr>
      </w:pPr>
      <w:r w:rsidRPr="00C66B12" w:rsidR="000E310D">
        <w:rPr>
          <w:rFonts w:ascii="Book Antiqua" w:hAnsi="Book Antiqua"/>
          <w:b/>
          <w:sz w:val="22"/>
          <w:szCs w:val="22"/>
        </w:rPr>
        <w:t>Čl. II</w:t>
      </w:r>
    </w:p>
    <w:p w:rsidR="00355DF8" w:rsidRPr="004A3E2C" w:rsidP="00A37F27">
      <w:pPr>
        <w:bidi w:val="0"/>
        <w:spacing w:line="360" w:lineRule="auto"/>
        <w:ind w:left="708"/>
        <w:jc w:val="both"/>
        <w:rPr>
          <w:rFonts w:ascii="Book Antiqua" w:hAnsi="Book Antiqua"/>
          <w:sz w:val="22"/>
          <w:szCs w:val="22"/>
        </w:rPr>
      </w:pPr>
      <w:r w:rsidRPr="00C66B12">
        <w:rPr>
          <w:rFonts w:ascii="Book Antiqua" w:hAnsi="Book Antiqua"/>
          <w:sz w:val="22"/>
          <w:szCs w:val="22"/>
        </w:rPr>
        <w:t xml:space="preserve">Tento </w:t>
      </w:r>
      <w:r w:rsidRPr="00C66B12" w:rsidR="00F444F8">
        <w:rPr>
          <w:rFonts w:ascii="Book Antiqua" w:hAnsi="Book Antiqua"/>
          <w:sz w:val="22"/>
          <w:szCs w:val="22"/>
        </w:rPr>
        <w:t xml:space="preserve">ústavný </w:t>
      </w:r>
      <w:r w:rsidRPr="00C66B12" w:rsidR="007B2565">
        <w:rPr>
          <w:rFonts w:ascii="Book Antiqua" w:hAnsi="Book Antiqua"/>
          <w:sz w:val="22"/>
          <w:szCs w:val="22"/>
        </w:rPr>
        <w:t>zákon n</w:t>
      </w:r>
      <w:r w:rsidRPr="00C66B12" w:rsidR="005741B6">
        <w:rPr>
          <w:rFonts w:ascii="Book Antiqua" w:hAnsi="Book Antiqua"/>
          <w:sz w:val="22"/>
          <w:szCs w:val="22"/>
        </w:rPr>
        <w:t xml:space="preserve">adobúda účinnosť 1. </w:t>
      </w:r>
      <w:r w:rsidR="00455E58">
        <w:rPr>
          <w:rFonts w:ascii="Book Antiqua" w:hAnsi="Book Antiqua"/>
          <w:sz w:val="22"/>
          <w:szCs w:val="22"/>
        </w:rPr>
        <w:t>februára</w:t>
      </w:r>
      <w:r w:rsidR="00AB6412">
        <w:rPr>
          <w:rFonts w:ascii="Book Antiqua" w:hAnsi="Book Antiqua"/>
          <w:sz w:val="22"/>
          <w:szCs w:val="22"/>
        </w:rPr>
        <w:t xml:space="preserve"> 2014</w:t>
      </w:r>
      <w:r w:rsidRPr="00C66B12" w:rsidR="005741B6">
        <w:rPr>
          <w:rFonts w:ascii="Book Antiqua" w:hAnsi="Book Antiqua"/>
          <w:sz w:val="22"/>
          <w:szCs w:val="22"/>
        </w:rPr>
        <w:t>.</w:t>
      </w:r>
    </w:p>
    <w:sectPr w:rsidSect="00450A28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Book Antiqua">
    <w:panose1 w:val="02040602050305030304"/>
    <w:charset w:val="EE"/>
    <w:family w:val="roman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8526B"/>
    <w:multiLevelType w:val="hybridMultilevel"/>
    <w:tmpl w:val="A1A02162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b w:val="0"/>
        <w:color w:val="231F2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2D362570"/>
    <w:multiLevelType w:val="hybridMultilevel"/>
    <w:tmpl w:val="E41CA14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3C6123F0"/>
    <w:multiLevelType w:val="hybridMultilevel"/>
    <w:tmpl w:val="A4DC1C92"/>
    <w:lvl w:ilvl="0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3">
    <w:nsid w:val="499B1377"/>
    <w:multiLevelType w:val="hybridMultilevel"/>
    <w:tmpl w:val="916EA4CA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4E1F30A5"/>
    <w:multiLevelType w:val="hybridMultilevel"/>
    <w:tmpl w:val="F5A8D00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355DF8"/>
    <w:rsid w:val="00026FF8"/>
    <w:rsid w:val="000D2E53"/>
    <w:rsid w:val="000E310D"/>
    <w:rsid w:val="000F4272"/>
    <w:rsid w:val="00113A5A"/>
    <w:rsid w:val="0011595B"/>
    <w:rsid w:val="00120770"/>
    <w:rsid w:val="00134A54"/>
    <w:rsid w:val="00144062"/>
    <w:rsid w:val="001717B1"/>
    <w:rsid w:val="00191453"/>
    <w:rsid w:val="001E271E"/>
    <w:rsid w:val="00220626"/>
    <w:rsid w:val="0022529E"/>
    <w:rsid w:val="0025268B"/>
    <w:rsid w:val="002637A5"/>
    <w:rsid w:val="00273F9E"/>
    <w:rsid w:val="002835DF"/>
    <w:rsid w:val="0029474D"/>
    <w:rsid w:val="002A10BC"/>
    <w:rsid w:val="002D3D18"/>
    <w:rsid w:val="00315A87"/>
    <w:rsid w:val="00317EA7"/>
    <w:rsid w:val="003375F9"/>
    <w:rsid w:val="00355DF8"/>
    <w:rsid w:val="00392D5C"/>
    <w:rsid w:val="0039747B"/>
    <w:rsid w:val="003A3B7B"/>
    <w:rsid w:val="003A5A0D"/>
    <w:rsid w:val="00450A28"/>
    <w:rsid w:val="00452619"/>
    <w:rsid w:val="00455E58"/>
    <w:rsid w:val="00472D5D"/>
    <w:rsid w:val="00474ADD"/>
    <w:rsid w:val="004931CF"/>
    <w:rsid w:val="00496A32"/>
    <w:rsid w:val="00496EE0"/>
    <w:rsid w:val="004A3E2C"/>
    <w:rsid w:val="00511153"/>
    <w:rsid w:val="00532326"/>
    <w:rsid w:val="00550E22"/>
    <w:rsid w:val="005514DF"/>
    <w:rsid w:val="005741B6"/>
    <w:rsid w:val="005748BA"/>
    <w:rsid w:val="005A2487"/>
    <w:rsid w:val="005B0047"/>
    <w:rsid w:val="005D18E8"/>
    <w:rsid w:val="00661B75"/>
    <w:rsid w:val="00663192"/>
    <w:rsid w:val="006A2A48"/>
    <w:rsid w:val="0071290A"/>
    <w:rsid w:val="00723FC1"/>
    <w:rsid w:val="00740E04"/>
    <w:rsid w:val="00764629"/>
    <w:rsid w:val="00774D36"/>
    <w:rsid w:val="00791D62"/>
    <w:rsid w:val="007A60C4"/>
    <w:rsid w:val="007B2565"/>
    <w:rsid w:val="007B5ED5"/>
    <w:rsid w:val="007D10BF"/>
    <w:rsid w:val="007D7456"/>
    <w:rsid w:val="007E54D7"/>
    <w:rsid w:val="007F3CB7"/>
    <w:rsid w:val="008078FC"/>
    <w:rsid w:val="00823364"/>
    <w:rsid w:val="00911577"/>
    <w:rsid w:val="0094671B"/>
    <w:rsid w:val="00950795"/>
    <w:rsid w:val="00972F78"/>
    <w:rsid w:val="009B3C7E"/>
    <w:rsid w:val="00A10A36"/>
    <w:rsid w:val="00A26DF2"/>
    <w:rsid w:val="00A37F27"/>
    <w:rsid w:val="00A52655"/>
    <w:rsid w:val="00A62BA4"/>
    <w:rsid w:val="00A65321"/>
    <w:rsid w:val="00A90DCB"/>
    <w:rsid w:val="00AA0244"/>
    <w:rsid w:val="00AB6412"/>
    <w:rsid w:val="00AD61AB"/>
    <w:rsid w:val="00AE4888"/>
    <w:rsid w:val="00B16FB6"/>
    <w:rsid w:val="00B32B22"/>
    <w:rsid w:val="00B56A74"/>
    <w:rsid w:val="00BA26F3"/>
    <w:rsid w:val="00BC4E65"/>
    <w:rsid w:val="00C210C5"/>
    <w:rsid w:val="00C3293A"/>
    <w:rsid w:val="00C42BDB"/>
    <w:rsid w:val="00C61FB1"/>
    <w:rsid w:val="00C66B12"/>
    <w:rsid w:val="00C85130"/>
    <w:rsid w:val="00C87355"/>
    <w:rsid w:val="00CD076A"/>
    <w:rsid w:val="00D03809"/>
    <w:rsid w:val="00D24847"/>
    <w:rsid w:val="00D33F44"/>
    <w:rsid w:val="00D51FC3"/>
    <w:rsid w:val="00D72D34"/>
    <w:rsid w:val="00D822E9"/>
    <w:rsid w:val="00DB26F1"/>
    <w:rsid w:val="00DB457A"/>
    <w:rsid w:val="00DD7574"/>
    <w:rsid w:val="00DE56A9"/>
    <w:rsid w:val="00E129F9"/>
    <w:rsid w:val="00E21846"/>
    <w:rsid w:val="00E63236"/>
    <w:rsid w:val="00E8769E"/>
    <w:rsid w:val="00E92C16"/>
    <w:rsid w:val="00F444F8"/>
    <w:rsid w:val="00F63AF2"/>
    <w:rsid w:val="00F94E39"/>
    <w:rsid w:val="00FA5658"/>
    <w:rsid w:val="00FC34C8"/>
    <w:rsid w:val="00FE3A0B"/>
    <w:rsid w:val="00FF34B9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5DF8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55DF8"/>
    <w:pPr>
      <w:ind w:left="720"/>
      <w:contextualSpacing/>
      <w:jc w:val="left"/>
    </w:pPr>
  </w:style>
  <w:style w:type="character" w:styleId="CommentReference">
    <w:name w:val="annotation reference"/>
    <w:uiPriority w:val="99"/>
    <w:semiHidden/>
    <w:unhideWhenUsed/>
    <w:rsid w:val="002835DF"/>
    <w:rPr>
      <w:sz w:val="16"/>
    </w:rPr>
  </w:style>
  <w:style w:type="paragraph" w:styleId="CommentText">
    <w:name w:val="annotation text"/>
    <w:basedOn w:val="Normal"/>
    <w:link w:val="TextkomentraChar"/>
    <w:uiPriority w:val="99"/>
    <w:unhideWhenUsed/>
    <w:rsid w:val="002835DF"/>
    <w:pPr>
      <w:jc w:val="left"/>
    </w:pPr>
    <w:rPr>
      <w:sz w:val="20"/>
      <w:szCs w:val="20"/>
    </w:rPr>
  </w:style>
  <w:style w:type="character" w:customStyle="1" w:styleId="TextkomentraChar">
    <w:name w:val="Text komentára Char"/>
    <w:link w:val="CommentText"/>
    <w:uiPriority w:val="99"/>
    <w:locked/>
    <w:rsid w:val="002835DF"/>
    <w:rPr>
      <w:rFonts w:ascii="Times New Roman" w:hAnsi="Times New Roman" w:cs="Times New Roman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semiHidden/>
    <w:unhideWhenUsed/>
    <w:rsid w:val="002835DF"/>
    <w:pPr>
      <w:jc w:val="left"/>
    </w:pPr>
    <w:rPr>
      <w:b/>
      <w:bCs/>
    </w:rPr>
  </w:style>
  <w:style w:type="character" w:customStyle="1" w:styleId="PredmetkomentraChar">
    <w:name w:val="Predmet komentára Char"/>
    <w:link w:val="CommentSubject"/>
    <w:uiPriority w:val="99"/>
    <w:semiHidden/>
    <w:locked/>
    <w:rsid w:val="002835DF"/>
    <w:rPr>
      <w:rFonts w:ascii="Times New Roman" w:hAnsi="Times New Roman" w:cs="Times New Roman"/>
      <w:b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2835DF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BalloonText"/>
    <w:uiPriority w:val="99"/>
    <w:semiHidden/>
    <w:locked/>
    <w:rsid w:val="002835DF"/>
    <w:rPr>
      <w:rFonts w:ascii="Tahoma" w:hAnsi="Tahoma" w:cs="Tahoma"/>
      <w:sz w:val="16"/>
    </w:rPr>
  </w:style>
  <w:style w:type="paragraph" w:styleId="FootnoteText">
    <w:name w:val="footnote text"/>
    <w:basedOn w:val="Normal"/>
    <w:link w:val="TextpoznmkypodiarouChar"/>
    <w:uiPriority w:val="99"/>
    <w:semiHidden/>
    <w:unhideWhenUsed/>
    <w:rsid w:val="00315A87"/>
    <w:pPr>
      <w:jc w:val="left"/>
    </w:pPr>
    <w:rPr>
      <w:sz w:val="20"/>
      <w:szCs w:val="20"/>
    </w:rPr>
  </w:style>
  <w:style w:type="character" w:customStyle="1" w:styleId="TextpoznmkypodiarouChar">
    <w:name w:val="Text poznámky pod čiarou Char"/>
    <w:link w:val="FootnoteText"/>
    <w:uiPriority w:val="99"/>
    <w:semiHidden/>
    <w:locked/>
    <w:rsid w:val="00315A87"/>
    <w:rPr>
      <w:rFonts w:ascii="Times New Roman" w:hAnsi="Times New Roman" w:cs="Times New Roman"/>
    </w:rPr>
  </w:style>
  <w:style w:type="character" w:styleId="FootnoteReference">
    <w:name w:val="footnote reference"/>
    <w:uiPriority w:val="99"/>
    <w:semiHidden/>
    <w:unhideWhenUsed/>
    <w:rsid w:val="00315A87"/>
    <w:rPr>
      <w:vertAlign w:val="superscript"/>
    </w:rPr>
  </w:style>
  <w:style w:type="paragraph" w:styleId="Revision">
    <w:name w:val="Revision"/>
    <w:hidden/>
    <w:uiPriority w:val="99"/>
    <w:semiHidden/>
    <w:rsid w:val="00972F78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BC7057-C86B-4FC4-8B73-1434C1D9D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142</Words>
  <Characters>812</Characters>
  <Application>Microsoft Office Word</Application>
  <DocSecurity>0</DocSecurity>
  <Lines>0</Lines>
  <Paragraphs>0</Paragraphs>
  <ScaleCrop>false</ScaleCrop>
  <Company>Kancelaria NR SR</Company>
  <LinksUpToDate>false</LinksUpToDate>
  <CharactersWithSpaces>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 Meszaros</dc:creator>
  <cp:lastModifiedBy>V</cp:lastModifiedBy>
  <cp:revision>2</cp:revision>
  <cp:lastPrinted>2013-01-10T16:21:00Z</cp:lastPrinted>
  <dcterms:created xsi:type="dcterms:W3CDTF">2013-09-27T10:41:00Z</dcterms:created>
  <dcterms:modified xsi:type="dcterms:W3CDTF">2013-09-27T10:41:00Z</dcterms:modified>
</cp:coreProperties>
</file>