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jc w:val="center"/>
        <w:rPr>
          <w:b/>
          <w:bCs/>
        </w:rPr>
      </w:pPr>
      <w:r>
        <w:rPr>
          <w:b/>
          <w:bCs/>
        </w:rPr>
        <w:t>z 25. septembra 2013,</w:t>
      </w: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pStyle w:val="Zkladntext"/>
      </w:pPr>
      <w:r>
        <w:rPr>
          <w:bCs w:val="0"/>
        </w:rPr>
        <w:t xml:space="preserve">ktorým sa mení a dopĺňa zákon Národnej rady Slovenskej republiky č. 350/1996 Z. z. o rokovacom poriadku Národnej rady Slovenskej republiky v znení neskorších predpisov </w:t>
      </w:r>
    </w:p>
    <w:p w:rsidR="00A52A6B" w:rsidRDefault="00A52A6B" w:rsidP="00A52A6B">
      <w:pPr>
        <w:jc w:val="center"/>
        <w:rPr>
          <w:b/>
          <w:bCs/>
        </w:rPr>
      </w:pPr>
    </w:p>
    <w:p w:rsidR="00A52A6B" w:rsidRDefault="00A52A6B" w:rsidP="00A52A6B">
      <w:pPr>
        <w:pStyle w:val="Zkladntext"/>
        <w:jc w:val="left"/>
        <w:rPr>
          <w:bCs w:val="0"/>
        </w:rPr>
      </w:pPr>
    </w:p>
    <w:p w:rsidR="00A52A6B" w:rsidRDefault="00A52A6B" w:rsidP="00A52A6B">
      <w:pPr>
        <w:pStyle w:val="Zkladntext"/>
        <w:jc w:val="both"/>
        <w:rPr>
          <w:b w:val="0"/>
          <w:bCs w:val="0"/>
        </w:rPr>
      </w:pPr>
      <w:r>
        <w:rPr>
          <w:b w:val="0"/>
          <w:bCs w:val="0"/>
        </w:rPr>
        <w:tab/>
        <w:t>Národná rada Slovenskej republiky sa uzniesla na tomto zákone:</w:t>
      </w:r>
    </w:p>
    <w:p w:rsidR="00A52A6B" w:rsidRDefault="00A52A6B" w:rsidP="00A52A6B">
      <w:pPr>
        <w:pStyle w:val="Zkladntext"/>
        <w:jc w:val="both"/>
        <w:rPr>
          <w:b w:val="0"/>
          <w:bCs w:val="0"/>
        </w:rPr>
      </w:pPr>
    </w:p>
    <w:p w:rsidR="00A52A6B" w:rsidRDefault="00A52A6B" w:rsidP="00A52A6B">
      <w:pPr>
        <w:pStyle w:val="Zkladntext"/>
        <w:rPr>
          <w:bCs w:val="0"/>
        </w:rPr>
      </w:pPr>
    </w:p>
    <w:p w:rsidR="00A52A6B" w:rsidRDefault="00A52A6B" w:rsidP="00A52A6B">
      <w:pPr>
        <w:pStyle w:val="Zkladntext"/>
      </w:pPr>
      <w:r>
        <w:rPr>
          <w:bCs w:val="0"/>
        </w:rPr>
        <w:t>Čl. I</w:t>
      </w:r>
    </w:p>
    <w:p w:rsidR="00A52A6B" w:rsidRDefault="00A52A6B" w:rsidP="00A52A6B">
      <w:pPr>
        <w:pStyle w:val="Zkladntext"/>
        <w:rPr>
          <w:bCs w:val="0"/>
        </w:rPr>
      </w:pPr>
    </w:p>
    <w:p w:rsidR="00A52A6B" w:rsidRDefault="00A52A6B" w:rsidP="00A52A6B">
      <w:pPr>
        <w:pStyle w:val="Zkladntext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Zákon  Národnej  rady  Slovenskej  republiky  č. 350/1996 Z. z. o rokovacom  poriadku Národnej  rady Slovenskej  republiky v znení nálezu  Ústavného   súdu  Slovenskej  republiky   č. 77/1998  Z. z., zákona č. 86/2000 Z. z., zákona č. 138/2002 Z. z., zákona č. 100/2003 Z. z., zákona č. 551/2003 Z. z., zákona č. 215/2004 Z. z., zákona č. 360/2004 Z. z., zákona č. 253/2005 Z. z., nálezu Ústavného súdu Slovenskej republiky č. 320/2005 Z. z., zákona č. 261/2006 Z. z., zákona č. 199/2007 Z. z., zákona č. 400/2009 Z. z., zákona č. 38/2010 Z. z., zákona č. 153/2011 Z. z., zákona č. 187/2011 Z. z., uznesenia Ústavného   súdu  Slovenskej  republiky č. 191/2011 Z. z., uznesenia Ústavného   súdu  Slovenskej  republiky   č. 237/2011  Z. z., zákona č. 69/2012 Z. z., zákona č. 79/2012 Z. z., zákona č. 236/2012 Z. z., zákona č. 296/2012 Z. z. a zákona č. 330/2012</w:t>
      </w:r>
      <w:r w:rsidR="00DB67E0">
        <w:rPr>
          <w:b w:val="0"/>
          <w:bCs w:val="0"/>
        </w:rPr>
        <w:t xml:space="preserve"> Z. z.</w:t>
      </w:r>
      <w:bookmarkStart w:id="0" w:name="_GoBack"/>
      <w:bookmarkEnd w:id="0"/>
      <w:r>
        <w:rPr>
          <w:b w:val="0"/>
          <w:bCs w:val="0"/>
        </w:rPr>
        <w:t xml:space="preserve">  sa mení a dopĺňa takto:</w:t>
      </w:r>
    </w:p>
    <w:p w:rsidR="00A52A6B" w:rsidRPr="004114E3" w:rsidRDefault="00A52A6B" w:rsidP="00A52A6B">
      <w:pPr>
        <w:pStyle w:val="Zkladntext"/>
        <w:ind w:left="720"/>
        <w:jc w:val="both"/>
        <w:rPr>
          <w:b w:val="0"/>
          <w:iCs/>
          <w:highlight w:val="yellow"/>
        </w:rPr>
      </w:pPr>
      <w:r>
        <w:tab/>
      </w:r>
      <w:r>
        <w:tab/>
      </w:r>
      <w:r>
        <w:rPr>
          <w:iCs/>
          <w:snapToGrid w:val="0"/>
          <w:vertAlign w:val="superscript"/>
          <w:lang w:eastAsia="cs-CZ"/>
        </w:rPr>
        <w:tab/>
      </w:r>
      <w:r>
        <w:rPr>
          <w:iCs/>
          <w:snapToGrid w:val="0"/>
          <w:vertAlign w:val="superscript"/>
          <w:lang w:eastAsia="cs-CZ"/>
        </w:rPr>
        <w:tab/>
      </w:r>
    </w:p>
    <w:p w:rsidR="00A52A6B" w:rsidRDefault="00A52A6B" w:rsidP="00A52A6B">
      <w:pPr>
        <w:pStyle w:val="Zkladntext"/>
        <w:ind w:left="720"/>
        <w:jc w:val="both"/>
        <w:rPr>
          <w:b w:val="0"/>
          <w:iCs/>
        </w:rPr>
      </w:pPr>
    </w:p>
    <w:p w:rsidR="00A52A6B" w:rsidRDefault="00A52A6B" w:rsidP="00A52A6B">
      <w:pPr>
        <w:pStyle w:val="Zkladntext"/>
        <w:numPr>
          <w:ilvl w:val="0"/>
          <w:numId w:val="1"/>
        </w:numPr>
        <w:jc w:val="both"/>
        <w:rPr>
          <w:b w:val="0"/>
          <w:iCs/>
        </w:rPr>
      </w:pPr>
      <w:r>
        <w:rPr>
          <w:b w:val="0"/>
          <w:iCs/>
        </w:rPr>
        <w:t>V § 43 ods. 2 písm. ch) sa na konci pripájajú tieto slová: „a zánik poslaneckého klubu“.</w:t>
      </w:r>
    </w:p>
    <w:p w:rsidR="00A52A6B" w:rsidRDefault="00A52A6B" w:rsidP="00A52A6B">
      <w:pPr>
        <w:pStyle w:val="Zkladntext"/>
        <w:tabs>
          <w:tab w:val="left" w:pos="284"/>
          <w:tab w:val="left" w:pos="567"/>
          <w:tab w:val="left" w:pos="851"/>
          <w:tab w:val="left" w:pos="1134"/>
          <w:tab w:val="left" w:pos="1276"/>
        </w:tabs>
        <w:ind w:left="720"/>
        <w:jc w:val="both"/>
        <w:outlineLvl w:val="0"/>
        <w:rPr>
          <w:b w:val="0"/>
          <w:snapToGrid w:val="0"/>
          <w:lang w:eastAsia="cs-CZ"/>
        </w:rPr>
      </w:pPr>
      <w:r w:rsidRPr="004E347B">
        <w:rPr>
          <w:b w:val="0"/>
          <w:iCs/>
        </w:rPr>
        <w:t xml:space="preserve"> </w:t>
      </w:r>
      <w:r>
        <w:rPr>
          <w:snapToGrid w:val="0"/>
          <w:lang w:eastAsia="cs-CZ"/>
        </w:rPr>
        <w:t xml:space="preserve">     </w:t>
      </w:r>
    </w:p>
    <w:p w:rsidR="00A52A6B" w:rsidRPr="00854D3A" w:rsidRDefault="00A52A6B" w:rsidP="00A52A6B">
      <w:pPr>
        <w:pStyle w:val="Zkladntext"/>
        <w:numPr>
          <w:ilvl w:val="0"/>
          <w:numId w:val="1"/>
        </w:numPr>
        <w:jc w:val="both"/>
        <w:rPr>
          <w:b w:val="0"/>
          <w:iCs/>
        </w:rPr>
      </w:pPr>
      <w:r w:rsidRPr="005C24E4">
        <w:rPr>
          <w:b w:val="0"/>
        </w:rPr>
        <w:t xml:space="preserve">V § </w:t>
      </w:r>
      <w:r>
        <w:rPr>
          <w:b w:val="0"/>
        </w:rPr>
        <w:t>64 ods. 5 sa na konci pripájajú tieto vety: „Počet členov poslaneckého klubu podľa prvej vety musí byť splnený počas celého volebného obdobia. Ak počas volebného obdobia klesne počet členov poslaneckého klubu pod túto hranicu, poslanecký klub zaniká.“.</w:t>
      </w:r>
    </w:p>
    <w:p w:rsidR="00A52A6B" w:rsidRDefault="00A52A6B" w:rsidP="00A52A6B">
      <w:pPr>
        <w:pStyle w:val="Zkladntext"/>
        <w:jc w:val="both"/>
        <w:rPr>
          <w:b w:val="0"/>
        </w:rPr>
      </w:pPr>
    </w:p>
    <w:p w:rsidR="00A52A6B" w:rsidRDefault="00A52A6B" w:rsidP="00A52A6B">
      <w:pPr>
        <w:jc w:val="both"/>
      </w:pPr>
    </w:p>
    <w:p w:rsidR="00A52A6B" w:rsidRPr="00A52A6B" w:rsidRDefault="00A52A6B" w:rsidP="00A52A6B">
      <w:pPr>
        <w:jc w:val="center"/>
        <w:rPr>
          <w:b/>
          <w:bCs/>
        </w:rPr>
      </w:pPr>
      <w:r w:rsidRPr="00A52A6B">
        <w:rPr>
          <w:b/>
          <w:bCs/>
        </w:rPr>
        <w:t>Čl. II</w:t>
      </w:r>
    </w:p>
    <w:p w:rsidR="00A52A6B" w:rsidRDefault="00A52A6B" w:rsidP="00A52A6B">
      <w:pPr>
        <w:pStyle w:val="Zarkazkladnhotextu"/>
        <w:ind w:left="720"/>
        <w:jc w:val="center"/>
        <w:rPr>
          <w:bCs/>
          <w:iCs/>
        </w:rPr>
      </w:pPr>
    </w:p>
    <w:p w:rsidR="00A52A6B" w:rsidRDefault="00A52A6B" w:rsidP="00A52A6B">
      <w:pPr>
        <w:pStyle w:val="Zarkazkladnhotextu"/>
        <w:ind w:left="720"/>
        <w:rPr>
          <w:iCs/>
        </w:rPr>
      </w:pPr>
      <w:r>
        <w:rPr>
          <w:iCs/>
        </w:rPr>
        <w:t>Tento zákon nadobúda účinnosť  dňom vyhlásenia.</w:t>
      </w:r>
    </w:p>
    <w:p w:rsidR="00A52A6B" w:rsidRPr="00A52A6B" w:rsidRDefault="00A52A6B" w:rsidP="00A52A6B">
      <w:pPr>
        <w:autoSpaceDE w:val="0"/>
        <w:autoSpaceDN w:val="0"/>
        <w:rPr>
          <w:sz w:val="20"/>
          <w:szCs w:val="20"/>
        </w:rPr>
      </w:pPr>
    </w:p>
    <w:p w:rsidR="00A52A6B" w:rsidRPr="00A52A6B" w:rsidRDefault="00A52A6B" w:rsidP="00A52A6B">
      <w:pPr>
        <w:autoSpaceDE w:val="0"/>
        <w:autoSpaceDN w:val="0"/>
        <w:rPr>
          <w:sz w:val="20"/>
          <w:szCs w:val="20"/>
        </w:rPr>
      </w:pPr>
    </w:p>
    <w:p w:rsidR="00A52A6B" w:rsidRPr="00A52A6B" w:rsidRDefault="00A52A6B" w:rsidP="00A52A6B">
      <w:pPr>
        <w:autoSpaceDE w:val="0"/>
        <w:autoSpaceDN w:val="0"/>
        <w:rPr>
          <w:lang w:eastAsia="en-US"/>
        </w:rPr>
      </w:pPr>
      <w:r w:rsidRPr="00A52A6B">
        <w:rPr>
          <w:sz w:val="20"/>
          <w:szCs w:val="20"/>
        </w:rPr>
        <w:tab/>
      </w:r>
    </w:p>
    <w:p w:rsidR="00A52A6B" w:rsidRDefault="00A52A6B" w:rsidP="00A52A6B">
      <w:pPr>
        <w:autoSpaceDN w:val="0"/>
        <w:rPr>
          <w:lang w:eastAsia="en-US"/>
        </w:rPr>
      </w:pPr>
    </w:p>
    <w:p w:rsidR="00A52A6B" w:rsidRDefault="00A52A6B" w:rsidP="00A52A6B">
      <w:pPr>
        <w:autoSpaceDN w:val="0"/>
        <w:rPr>
          <w:lang w:eastAsia="en-US"/>
        </w:rPr>
      </w:pPr>
    </w:p>
    <w:p w:rsidR="00CD1B7B" w:rsidRDefault="00CD1B7B" w:rsidP="00A52A6B">
      <w:pPr>
        <w:autoSpaceDN w:val="0"/>
        <w:rPr>
          <w:lang w:eastAsia="en-US"/>
        </w:rPr>
      </w:pPr>
    </w:p>
    <w:p w:rsidR="00CD1B7B" w:rsidRDefault="00CD1B7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  <w:r w:rsidRPr="00A52A6B">
        <w:rPr>
          <w:lang w:eastAsia="en-US"/>
        </w:rPr>
        <w:t>prezident Slovenskej republiky</w:t>
      </w: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Default="00A52A6B" w:rsidP="00A52A6B">
      <w:pPr>
        <w:autoSpaceDN w:val="0"/>
        <w:jc w:val="center"/>
        <w:rPr>
          <w:lang w:eastAsia="en-US"/>
        </w:rPr>
      </w:pPr>
    </w:p>
    <w:p w:rsidR="00A52A6B" w:rsidRDefault="00A52A6B" w:rsidP="00A52A6B">
      <w:pPr>
        <w:autoSpaceDN w:val="0"/>
        <w:jc w:val="center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  <w:r w:rsidRPr="00A52A6B">
        <w:rPr>
          <w:lang w:eastAsia="en-US"/>
        </w:rPr>
        <w:t>predseda Národnej rady Slovenskej republiky</w:t>
      </w: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rPr>
          <w:lang w:eastAsia="en-US"/>
        </w:rPr>
      </w:pPr>
    </w:p>
    <w:p w:rsidR="00A52A6B" w:rsidRPr="00A52A6B" w:rsidRDefault="00A52A6B" w:rsidP="00A52A6B">
      <w:pPr>
        <w:autoSpaceDN w:val="0"/>
        <w:jc w:val="center"/>
        <w:rPr>
          <w:lang w:eastAsia="en-US"/>
        </w:rPr>
      </w:pPr>
      <w:r w:rsidRPr="00A52A6B">
        <w:rPr>
          <w:lang w:eastAsia="en-US"/>
        </w:rPr>
        <w:t>predseda vlády Slovenskej republiky</w:t>
      </w:r>
    </w:p>
    <w:p w:rsidR="00A52A6B" w:rsidRPr="00A52A6B" w:rsidRDefault="00A52A6B" w:rsidP="00A52A6B">
      <w:pPr>
        <w:widowControl w:val="0"/>
        <w:suppressAutoHyphens/>
        <w:autoSpaceDN w:val="0"/>
        <w:rPr>
          <w:rFonts w:eastAsia="Arial Unicode MS" w:cs="Mangal"/>
          <w:kern w:val="2"/>
          <w:lang w:eastAsia="hi-IN" w:bidi="hi-IN"/>
        </w:rPr>
      </w:pPr>
    </w:p>
    <w:p w:rsidR="009B05AB" w:rsidRDefault="009B05AB"/>
    <w:sectPr w:rsidR="009B05AB" w:rsidSect="00D66D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62" w:rsidRDefault="00EA4D62">
      <w:r>
        <w:separator/>
      </w:r>
    </w:p>
  </w:endnote>
  <w:endnote w:type="continuationSeparator" w:id="0">
    <w:p w:rsidR="00EA4D62" w:rsidRDefault="00EA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15" w:rsidRDefault="0067268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62C15" w:rsidRDefault="00EA4D6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15" w:rsidRDefault="0067268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B67E0">
      <w:rPr>
        <w:rStyle w:val="slostrany"/>
        <w:noProof/>
      </w:rPr>
      <w:t>2</w:t>
    </w:r>
    <w:r>
      <w:rPr>
        <w:rStyle w:val="slostrany"/>
      </w:rPr>
      <w:fldChar w:fldCharType="end"/>
    </w:r>
  </w:p>
  <w:p w:rsidR="00562C15" w:rsidRDefault="00EA4D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62" w:rsidRDefault="00EA4D62">
      <w:r>
        <w:separator/>
      </w:r>
    </w:p>
  </w:footnote>
  <w:footnote w:type="continuationSeparator" w:id="0">
    <w:p w:rsidR="00EA4D62" w:rsidRDefault="00EA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7719"/>
    <w:multiLevelType w:val="hybridMultilevel"/>
    <w:tmpl w:val="107A9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6B"/>
    <w:rsid w:val="00084A68"/>
    <w:rsid w:val="00295984"/>
    <w:rsid w:val="0067268E"/>
    <w:rsid w:val="009B05AB"/>
    <w:rsid w:val="00A52A6B"/>
    <w:rsid w:val="00C66733"/>
    <w:rsid w:val="00CD1B7B"/>
    <w:rsid w:val="00DB67E0"/>
    <w:rsid w:val="00E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52A6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52A6B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A52A6B"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A52A6B"/>
    <w:pPr>
      <w:ind w:left="1080" w:hanging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52A6B"/>
    <w:rPr>
      <w:sz w:val="24"/>
      <w:szCs w:val="24"/>
    </w:rPr>
  </w:style>
  <w:style w:type="character" w:styleId="slostrany">
    <w:name w:val="page number"/>
    <w:basedOn w:val="Predvolenpsmoodseku"/>
    <w:uiPriority w:val="99"/>
    <w:rsid w:val="00A52A6B"/>
    <w:rPr>
      <w:rFonts w:cs="Times New Roman"/>
    </w:rPr>
  </w:style>
  <w:style w:type="paragraph" w:styleId="Pta">
    <w:name w:val="footer"/>
    <w:basedOn w:val="Normlny"/>
    <w:link w:val="PtaChar"/>
    <w:uiPriority w:val="99"/>
    <w:rsid w:val="00A52A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2A6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52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52A6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52A6B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A52A6B"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A52A6B"/>
    <w:pPr>
      <w:ind w:left="1080" w:hanging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52A6B"/>
    <w:rPr>
      <w:sz w:val="24"/>
      <w:szCs w:val="24"/>
    </w:rPr>
  </w:style>
  <w:style w:type="character" w:styleId="slostrany">
    <w:name w:val="page number"/>
    <w:basedOn w:val="Predvolenpsmoodseku"/>
    <w:uiPriority w:val="99"/>
    <w:rsid w:val="00A52A6B"/>
    <w:rPr>
      <w:rFonts w:cs="Times New Roman"/>
    </w:rPr>
  </w:style>
  <w:style w:type="paragraph" w:styleId="Pta">
    <w:name w:val="footer"/>
    <w:basedOn w:val="Normlny"/>
    <w:link w:val="PtaChar"/>
    <w:uiPriority w:val="99"/>
    <w:rsid w:val="00A52A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2A6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5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4</cp:revision>
  <cp:lastPrinted>2013-09-25T11:08:00Z</cp:lastPrinted>
  <dcterms:created xsi:type="dcterms:W3CDTF">2013-09-25T11:04:00Z</dcterms:created>
  <dcterms:modified xsi:type="dcterms:W3CDTF">2013-09-26T07:00:00Z</dcterms:modified>
</cp:coreProperties>
</file>