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7672" w:rsidRPr="0045028C" w:rsidP="004D767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5028C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5028C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5028C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5028C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>z ... 2013,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7672" w:rsidRPr="0045028C" w:rsidP="004D7672">
      <w:pPr>
        <w:bidi w:val="0"/>
        <w:spacing w:line="276" w:lineRule="auto"/>
        <w:jc w:val="center"/>
        <w:rPr>
          <w:rFonts w:ascii="Book Antiqua" w:hAnsi="Book Antiqua"/>
          <w:noProof/>
          <w:sz w:val="22"/>
          <w:szCs w:val="22"/>
        </w:rPr>
      </w:pPr>
      <w:r w:rsidRPr="0045028C">
        <w:rPr>
          <w:rFonts w:ascii="Book Antiqua" w:hAnsi="Book Antiqua"/>
          <w:b/>
          <w:bCs/>
          <w:sz w:val="22"/>
          <w:szCs w:val="22"/>
        </w:rPr>
        <w:t xml:space="preserve">ktorým sa mení a dopĺňa zákon č. </w:t>
      </w:r>
      <w:r>
        <w:rPr>
          <w:rFonts w:ascii="Book Antiqua" w:hAnsi="Book Antiqua"/>
          <w:b/>
          <w:bCs/>
          <w:sz w:val="22"/>
          <w:szCs w:val="22"/>
        </w:rPr>
        <w:t>137/2010 Z. z. o ovzduší v znení zákona č. 318/2012 Z. z.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4D7672" w:rsidRPr="0045028C" w:rsidP="004D7672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5028C">
        <w:rPr>
          <w:rFonts w:ascii="Book Antiqua" w:hAnsi="Book Antiqua"/>
          <w:b/>
          <w:bCs/>
          <w:sz w:val="22"/>
          <w:szCs w:val="22"/>
        </w:rPr>
        <w:t>Čl. I</w:t>
      </w:r>
    </w:p>
    <w:p w:rsidR="004D7672" w:rsidRPr="0045028C" w:rsidP="004D767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D7672" w:rsidRPr="0045028C" w:rsidP="004D7672">
      <w:p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 xml:space="preserve">Zákon </w:t>
      </w:r>
      <w:r w:rsidRPr="0045028C">
        <w:rPr>
          <w:rFonts w:ascii="Book Antiqua" w:hAnsi="Book Antiqua"/>
          <w:bCs/>
          <w:sz w:val="22"/>
          <w:szCs w:val="22"/>
        </w:rPr>
        <w:t xml:space="preserve">č. </w:t>
      </w:r>
      <w:r>
        <w:rPr>
          <w:rFonts w:ascii="Book Antiqua" w:hAnsi="Book Antiqua"/>
          <w:bCs/>
          <w:sz w:val="22"/>
          <w:szCs w:val="22"/>
        </w:rPr>
        <w:t>137/2010 Z. z. o ovzduší v znení zákona č. 318/2012 Z. z.</w:t>
      </w:r>
      <w:r w:rsidRPr="0045028C">
        <w:rPr>
          <w:rFonts w:ascii="Book Antiqua" w:hAnsi="Book Antiqua"/>
          <w:noProof/>
          <w:sz w:val="22"/>
          <w:szCs w:val="22"/>
        </w:rPr>
        <w:t xml:space="preserve"> </w:t>
      </w:r>
      <w:r w:rsidRPr="0045028C">
        <w:rPr>
          <w:rFonts w:ascii="Book Antiqua" w:hAnsi="Book Antiqua"/>
          <w:sz w:val="22"/>
          <w:szCs w:val="22"/>
        </w:rPr>
        <w:t xml:space="preserve">sa mení a dopĺňa takto: </w:t>
      </w:r>
    </w:p>
    <w:p w:rsidR="004D7672">
      <w:pPr>
        <w:bidi w:val="0"/>
        <w:rPr>
          <w:rFonts w:ascii="Times New Roman" w:hAnsi="Times New Roman"/>
        </w:rPr>
      </w:pPr>
    </w:p>
    <w:p w:rsidR="004D7672" w:rsidP="004D7672">
      <w:pPr>
        <w:pStyle w:val="BodyText"/>
        <w:numPr>
          <w:numId w:val="1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>
        <w:rPr>
          <w:rFonts w:ascii="Book Antiqua" w:hAnsi="Book Antiqua"/>
          <w:bCs/>
          <w:sz w:val="22"/>
          <w:szCs w:val="22"/>
          <w:lang w:val="sk-SK" w:eastAsia="x-none"/>
        </w:rPr>
        <w:t xml:space="preserve">V § 15 ods. 1 písm. k) sa na konci čiarka nahrádza bodkočiarkou a pripájajú sa tieto slová: „za týmto účelom súčasne sprístupňujú prevádzkovatelia veľkých zdrojov </w:t>
      </w:r>
      <w:r w:rsidRPr="007938DC">
        <w:rPr>
          <w:rFonts w:ascii="Book Antiqua" w:hAnsi="Book Antiqua"/>
          <w:bCs/>
          <w:sz w:val="22"/>
          <w:szCs w:val="22"/>
          <w:lang w:val="sk-SK" w:eastAsia="x-none"/>
        </w:rPr>
        <w:t>a prevádzkovatelia stredných zdrojov aktuálne informácie o koncentráciách znečisťujúcich látok monitorovaných poverenou organizáciou podľa § 6 ods. 4</w:t>
      </w:r>
      <w:r>
        <w:rPr>
          <w:rFonts w:ascii="Book Antiqua" w:hAnsi="Book Antiqua"/>
          <w:bCs/>
          <w:sz w:val="22"/>
          <w:szCs w:val="22"/>
          <w:lang w:val="sk-SK" w:eastAsia="x-none"/>
        </w:rPr>
        <w:t>,</w:t>
      </w:r>
      <w:r w:rsidRPr="007938DC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>
        <w:rPr>
          <w:rFonts w:ascii="Book Antiqua" w:hAnsi="Book Antiqua"/>
          <w:bCs/>
          <w:sz w:val="22"/>
          <w:szCs w:val="22"/>
          <w:lang w:val="sk-SK" w:eastAsia="x-none"/>
        </w:rPr>
        <w:t xml:space="preserve">vrátane ich výstražného prahu, limitnej hodnoty zvýšenej o medzu tolerancie a cieľovej hodnoty, </w:t>
      </w:r>
      <w:r w:rsidRPr="007938DC">
        <w:rPr>
          <w:rFonts w:ascii="Book Antiqua" w:hAnsi="Book Antiqua"/>
          <w:bCs/>
          <w:sz w:val="22"/>
          <w:szCs w:val="22"/>
          <w:lang w:val="sk-SK" w:eastAsia="x-none"/>
        </w:rPr>
        <w:t>vypúšťaných z daného veľkéh</w:t>
      </w:r>
      <w:r>
        <w:rPr>
          <w:rFonts w:ascii="Book Antiqua" w:hAnsi="Book Antiqua"/>
          <w:bCs/>
          <w:sz w:val="22"/>
          <w:szCs w:val="22"/>
          <w:lang w:val="sk-SK" w:eastAsia="x-none"/>
        </w:rPr>
        <w:t xml:space="preserve">o zdroja alebo stredného zdroja, </w:t>
      </w:r>
      <w:r w:rsidRPr="00D37EF3">
        <w:rPr>
          <w:rFonts w:ascii="Book Antiqua" w:hAnsi="Book Antiqua"/>
          <w:bCs/>
          <w:sz w:val="22"/>
          <w:szCs w:val="22"/>
          <w:lang w:val="sk-SK" w:eastAsia="x-none"/>
        </w:rPr>
        <w:t>na digitálnom zariadení umiestnenom na viditeľnom mieste,“.</w:t>
      </w:r>
    </w:p>
    <w:p w:rsidR="004D7672" w:rsidRPr="004D7672" w:rsidP="004D7672">
      <w:pPr>
        <w:pStyle w:val="BodyText"/>
        <w:numPr>
          <w:numId w:val="1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90353B">
        <w:rPr>
          <w:rFonts w:ascii="Book Antiqua" w:hAnsi="Book Antiqua"/>
          <w:bCs/>
          <w:sz w:val="22"/>
          <w:szCs w:val="22"/>
          <w:lang w:val="sk-SK" w:eastAsia="x-none"/>
        </w:rPr>
        <w:t xml:space="preserve">V § 33 písm. c) sa </w:t>
      </w:r>
      <w:r>
        <w:rPr>
          <w:rFonts w:ascii="Book Antiqua" w:hAnsi="Book Antiqua"/>
          <w:bCs/>
          <w:sz w:val="22"/>
          <w:szCs w:val="22"/>
          <w:lang w:val="sk-SK" w:eastAsia="x-none"/>
        </w:rPr>
        <w:t xml:space="preserve">slová „(§ 5 ods. 19, § 6 a 13)“ nahrádzajú slovami </w:t>
      </w:r>
      <w:r w:rsidRPr="0090353B">
        <w:rPr>
          <w:rFonts w:ascii="Book Antiqua" w:hAnsi="Book Antiqua"/>
          <w:bCs/>
          <w:sz w:val="22"/>
          <w:szCs w:val="22"/>
          <w:lang w:val="sk-SK" w:eastAsia="x-none"/>
        </w:rPr>
        <w:t>„vrátane stanovenia podrobností o rozmeroch a iných náležitostiach digitálnych zariadení</w:t>
      </w:r>
      <w:r>
        <w:rPr>
          <w:rFonts w:ascii="Book Antiqua" w:hAnsi="Book Antiqua"/>
          <w:bCs/>
          <w:sz w:val="22"/>
          <w:szCs w:val="22"/>
          <w:lang w:val="sk-SK" w:eastAsia="x-none"/>
        </w:rPr>
        <w:t xml:space="preserve"> [(§ 5 ods. 19, § 6 a 13, § 15 ods. 1 písm. k)], a to najneskôr do 31. marca 2014“.</w:t>
      </w:r>
    </w:p>
    <w:p w:rsidR="004D7672" w:rsidP="004D7672">
      <w:pPr>
        <w:pStyle w:val="BodyText"/>
        <w:bidi w:val="0"/>
        <w:spacing w:before="120" w:line="276" w:lineRule="auto"/>
        <w:ind w:left="644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4D7672" w:rsidRPr="004D7672" w:rsidP="004D7672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D7672">
        <w:rPr>
          <w:rFonts w:ascii="Book Antiqua" w:hAnsi="Book Antiqua"/>
          <w:b/>
          <w:bCs/>
          <w:sz w:val="22"/>
          <w:szCs w:val="22"/>
        </w:rPr>
        <w:t>Čl. II</w:t>
      </w:r>
    </w:p>
    <w:p w:rsidR="004D7672">
      <w:pPr>
        <w:bidi w:val="0"/>
        <w:rPr>
          <w:rFonts w:ascii="Times New Roman" w:hAnsi="Times New Roman"/>
        </w:rPr>
      </w:pPr>
    </w:p>
    <w:p w:rsidR="004D7672" w:rsidP="007B733D">
      <w:pPr>
        <w:pStyle w:val="BodyText"/>
        <w:bidi w:val="0"/>
        <w:spacing w:before="120" w:line="276" w:lineRule="auto"/>
        <w:ind w:firstLine="708"/>
        <w:rPr>
          <w:rFonts w:ascii="Times New Roman" w:hAnsi="Times New Roman"/>
        </w:rPr>
      </w:pPr>
      <w:r w:rsidRPr="0045028C">
        <w:rPr>
          <w:rFonts w:ascii="Book Antiqua" w:hAnsi="Book Antiqua"/>
          <w:sz w:val="22"/>
          <w:szCs w:val="22"/>
        </w:rPr>
        <w:t xml:space="preserve">Tento zákon nadobúda účinnosť 1. </w:t>
      </w:r>
      <w:r w:rsidR="007B733D">
        <w:rPr>
          <w:rFonts w:ascii="Book Antiqua" w:hAnsi="Book Antiqua"/>
          <w:sz w:val="22"/>
          <w:szCs w:val="22"/>
          <w:lang w:val="sk-SK" w:eastAsia="x-none"/>
        </w:rPr>
        <w:t>februára</w:t>
      </w:r>
      <w:r>
        <w:rPr>
          <w:rFonts w:ascii="Book Antiqua" w:hAnsi="Book Antiqua"/>
          <w:sz w:val="22"/>
          <w:szCs w:val="22"/>
        </w:rPr>
        <w:t xml:space="preserve"> 201</w:t>
      </w:r>
      <w:r>
        <w:rPr>
          <w:rFonts w:ascii="Book Antiqua" w:hAnsi="Book Antiqua"/>
          <w:sz w:val="22"/>
          <w:szCs w:val="22"/>
          <w:lang w:val="sk-SK" w:eastAsia="x-none"/>
        </w:rPr>
        <w:t>4</w:t>
      </w:r>
      <w:r w:rsidR="007B733D">
        <w:rPr>
          <w:rFonts w:ascii="Book Antiqua" w:hAnsi="Book Antiqua"/>
          <w:sz w:val="22"/>
          <w:szCs w:val="22"/>
          <w:lang w:val="sk-SK" w:eastAsia="x-none"/>
        </w:rPr>
        <w:t xml:space="preserve"> okrem Čl. I bodu 1, ktorý nadobúda účinnosť 1. júla 2014</w:t>
      </w:r>
      <w:r>
        <w:rPr>
          <w:rFonts w:ascii="Book Antiqua" w:hAnsi="Book Antiqua"/>
          <w:sz w:val="22"/>
          <w:szCs w:val="22"/>
        </w:rPr>
        <w:t>.</w:t>
      </w:r>
    </w:p>
    <w:sectPr w:rsidSect="00D9282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593A49A5"/>
    <w:multiLevelType w:val="hybridMultilevel"/>
    <w:tmpl w:val="6810869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D7672"/>
    <w:rsid w:val="000F593D"/>
    <w:rsid w:val="001574D6"/>
    <w:rsid w:val="001C1F87"/>
    <w:rsid w:val="001D0840"/>
    <w:rsid w:val="001F5F24"/>
    <w:rsid w:val="002433F7"/>
    <w:rsid w:val="002B668F"/>
    <w:rsid w:val="0045028C"/>
    <w:rsid w:val="004A4A81"/>
    <w:rsid w:val="004D7672"/>
    <w:rsid w:val="00515442"/>
    <w:rsid w:val="0065196B"/>
    <w:rsid w:val="0065301C"/>
    <w:rsid w:val="006922D0"/>
    <w:rsid w:val="00716EE7"/>
    <w:rsid w:val="007938DC"/>
    <w:rsid w:val="007B733D"/>
    <w:rsid w:val="008B2BCB"/>
    <w:rsid w:val="0090353B"/>
    <w:rsid w:val="00982EE1"/>
    <w:rsid w:val="00C66908"/>
    <w:rsid w:val="00D37EF3"/>
    <w:rsid w:val="00D80C0B"/>
    <w:rsid w:val="00D92827"/>
    <w:rsid w:val="00DA7CDE"/>
    <w:rsid w:val="00EB4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7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4D7672"/>
    <w:pPr>
      <w:numPr>
        <w:ilvl w:val="4"/>
        <w:numId w:val="2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4D7672"/>
    <w:pPr>
      <w:numPr>
        <w:ilvl w:val="5"/>
        <w:numId w:val="2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rsid w:val="004D7672"/>
    <w:pPr>
      <w:numPr>
        <w:ilvl w:val="6"/>
        <w:numId w:val="2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4D7672"/>
    <w:pPr>
      <w:numPr>
        <w:ilvl w:val="7"/>
        <w:numId w:val="2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4D7672"/>
    <w:pPr>
      <w:numPr>
        <w:ilvl w:val="8"/>
        <w:numId w:val="2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4D7672"/>
    <w:pPr>
      <w:jc w:val="both"/>
    </w:pPr>
  </w:style>
  <w:style w:type="character" w:customStyle="1" w:styleId="ZkladntextChar">
    <w:name w:val="Základný text Char"/>
    <w:link w:val="BodyText"/>
    <w:uiPriority w:val="99"/>
    <w:locked/>
    <w:rsid w:val="004D7672"/>
    <w:rPr>
      <w:rFonts w:ascii="Times New Roman" w:hAnsi="Times New Roman" w:cs="Times New Roman"/>
      <w:sz w:val="20"/>
      <w:lang w:val="x-none" w:eastAsia="x-none"/>
    </w:rPr>
  </w:style>
  <w:style w:type="character" w:customStyle="1" w:styleId="Nadpis5Char">
    <w:name w:val="Nadpis 5 Char"/>
    <w:link w:val="Heading5"/>
    <w:uiPriority w:val="99"/>
    <w:locked/>
    <w:rsid w:val="004D7672"/>
    <w:rPr>
      <w:rFonts w:ascii="Calibri" w:hAnsi="Calibri" w:cs="Calibri"/>
      <w:b/>
      <w:i/>
      <w:sz w:val="26"/>
      <w:lang w:val="x-none" w:eastAsia="x-none"/>
    </w:rPr>
  </w:style>
  <w:style w:type="character" w:customStyle="1" w:styleId="Nadpis6Char">
    <w:name w:val="Nadpis 6 Char"/>
    <w:link w:val="Heading6"/>
    <w:uiPriority w:val="99"/>
    <w:locked/>
    <w:rsid w:val="004D7672"/>
    <w:rPr>
      <w:rFonts w:ascii="Calibri" w:hAnsi="Calibri" w:cs="Calibri"/>
      <w:b/>
      <w:sz w:val="20"/>
      <w:lang w:val="x-none" w:eastAsia="x-none"/>
    </w:rPr>
  </w:style>
  <w:style w:type="character" w:customStyle="1" w:styleId="Nadpis7Char">
    <w:name w:val="Nadpis 7 Char"/>
    <w:link w:val="Heading7"/>
    <w:uiPriority w:val="99"/>
    <w:locked/>
    <w:rsid w:val="004D7672"/>
    <w:rPr>
      <w:rFonts w:ascii="Calibri" w:hAnsi="Calibri" w:cs="Calibri"/>
      <w:sz w:val="24"/>
      <w:lang w:val="x-none" w:eastAsia="x-none"/>
    </w:rPr>
  </w:style>
  <w:style w:type="character" w:customStyle="1" w:styleId="Nadpis8Char">
    <w:name w:val="Nadpis 8 Char"/>
    <w:link w:val="Heading8"/>
    <w:uiPriority w:val="99"/>
    <w:locked/>
    <w:rsid w:val="004D7672"/>
    <w:rPr>
      <w:rFonts w:ascii="Calibri" w:hAnsi="Calibri" w:cs="Calibri"/>
      <w:i/>
      <w:sz w:val="24"/>
      <w:lang w:val="x-none" w:eastAsia="x-none"/>
    </w:rPr>
  </w:style>
  <w:style w:type="character" w:customStyle="1" w:styleId="Nadpis9Char">
    <w:name w:val="Nadpis 9 Char"/>
    <w:link w:val="Heading9"/>
    <w:uiPriority w:val="99"/>
    <w:locked/>
    <w:rsid w:val="004D7672"/>
    <w:rPr>
      <w:rFonts w:ascii="Calibri" w:hAnsi="Calibri" w:cs="Calibri"/>
      <w:sz w:val="20"/>
      <w:lang w:val="x-none" w:eastAsia="x-none"/>
    </w:rPr>
  </w:style>
  <w:style w:type="paragraph" w:customStyle="1" w:styleId="Nadpis1orobas">
    <w:name w:val="Nadpis 1.Čo robí (časť)"/>
    <w:basedOn w:val="Normal"/>
    <w:next w:val="Normal"/>
    <w:uiPriority w:val="99"/>
    <w:rsid w:val="004D7672"/>
    <w:pPr>
      <w:keepNext/>
      <w:numPr>
        <w:numId w:val="2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4D7672"/>
    <w:pPr>
      <w:numPr>
        <w:ilvl w:val="1"/>
        <w:numId w:val="2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4D7672"/>
    <w:pPr>
      <w:keepNext/>
      <w:numPr>
        <w:ilvl w:val="2"/>
        <w:numId w:val="2"/>
      </w:numPr>
      <w:tabs>
        <w:tab w:val="num" w:pos="1418"/>
      </w:tabs>
      <w:spacing w:before="120"/>
      <w:ind w:left="1418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4D7672"/>
    <w:pPr>
      <w:numPr>
        <w:ilvl w:val="3"/>
        <w:numId w:val="2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D767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183</Words>
  <Characters>1049</Characters>
  <Application>Microsoft Office Word</Application>
  <DocSecurity>0</DocSecurity>
  <Lines>0</Lines>
  <Paragraphs>0</Paragraphs>
  <ScaleCrop>false</ScaleCrop>
  <Company>Kancelaria NR SR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Igor_Matovic</dc:creator>
  <cp:lastModifiedBy>V</cp:lastModifiedBy>
  <cp:revision>2</cp:revision>
  <dcterms:created xsi:type="dcterms:W3CDTF">2013-09-25T16:54:00Z</dcterms:created>
  <dcterms:modified xsi:type="dcterms:W3CDTF">2013-09-25T16:54:00Z</dcterms:modified>
</cp:coreProperties>
</file>