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B0309" w:rsidRPr="009B3C7F" w:rsidP="001B0309">
      <w:pPr>
        <w:pStyle w:val="Heading3"/>
        <w:bidi w:val="0"/>
        <w:spacing w:before="0" w:after="0"/>
        <w:jc w:val="right"/>
        <w:rPr>
          <w:rFonts w:ascii="Times New Roman" w:hAnsi="Times New Roman"/>
          <w:sz w:val="24"/>
          <w:szCs w:val="24"/>
          <w:lang w:val="sk-SK"/>
        </w:rPr>
      </w:pPr>
      <w:r w:rsidRPr="009B3C7F">
        <w:rPr>
          <w:rFonts w:ascii="Times New Roman" w:hAnsi="Times New Roman"/>
          <w:sz w:val="24"/>
          <w:szCs w:val="24"/>
          <w:lang w:val="sk-SK"/>
        </w:rPr>
        <w:t>Príloha č. 5</w:t>
      </w:r>
    </w:p>
    <w:p w:rsidR="001B0309" w:rsidP="00C638DA">
      <w:pPr>
        <w:bidi w:val="0"/>
        <w:spacing w:after="288" w:afterLines="120" w:line="320" w:lineRule="exact"/>
        <w:jc w:val="both"/>
        <w:rPr>
          <w:rFonts w:ascii="Times New Roman" w:hAnsi="Times New Roman"/>
          <w:b/>
          <w:sz w:val="24"/>
          <w:szCs w:val="24"/>
          <w:lang w:val="sk-SK"/>
        </w:rPr>
      </w:pPr>
      <w:r>
        <w:rPr>
          <w:rFonts w:ascii="Times New Roman" w:hAnsi="Times New Roman"/>
          <w:b/>
          <w:noProof/>
          <w:sz w:val="24"/>
          <w:szCs w:val="24"/>
          <w:lang w:val="sk-SK"/>
        </w:rPr>
        <w:pict>
          <v:rect id="_x0000_s1025" style="width:468.85pt;height:24.75pt;margin-top:26.35pt;margin-left:-3.95pt;position:absolute;z-index:-251658240" fillcolor="#d6e3bc" strokecolor="white">
            <v:shadow on="t" color="#d8d8d8" opacity="0.5" offset="6pt,-6pt"/>
            <o:diagram v:ext="edit"/>
          </v:rect>
        </w:pict>
      </w:r>
      <w:r w:rsidR="00B21487">
        <w:rPr>
          <w:rFonts w:ascii="Times New Roman" w:hAnsi="Times New Roman"/>
          <w:b/>
          <w:sz w:val="24"/>
          <w:szCs w:val="24"/>
          <w:lang w:val="sk-SK"/>
        </w:rPr>
        <w:t>REGIONÁLNY ROZVOJ</w:t>
      </w:r>
    </w:p>
    <w:p w:rsidR="00A46F38" w:rsidRPr="00C043A8" w:rsidP="00C638DA">
      <w:pPr>
        <w:bidi w:val="0"/>
        <w:spacing w:after="288" w:afterLines="120" w:line="320" w:lineRule="exact"/>
        <w:jc w:val="both"/>
        <w:rPr>
          <w:rFonts w:ascii="Times New Roman" w:hAnsi="Times New Roman"/>
          <w:b/>
          <w:sz w:val="24"/>
          <w:szCs w:val="24"/>
          <w:lang w:val="sk-SK"/>
        </w:rPr>
      </w:pPr>
      <w:r w:rsidRPr="00C043A8">
        <w:rPr>
          <w:rFonts w:ascii="Times New Roman" w:hAnsi="Times New Roman"/>
          <w:b/>
          <w:sz w:val="24"/>
          <w:szCs w:val="24"/>
          <w:lang w:val="sk-SK"/>
        </w:rPr>
        <w:t>Operačné programy pod Sekciou riadenia programov regionálneho rozvoja v roku 2012</w:t>
      </w:r>
    </w:p>
    <w:p w:rsidR="00A46F38" w:rsidRPr="00C043A8" w:rsidP="001B0309">
      <w:pPr>
        <w:bidi w:val="0"/>
        <w:spacing w:after="120" w:line="320" w:lineRule="exact"/>
        <w:jc w:val="both"/>
        <w:rPr>
          <w:rFonts w:ascii="Times New Roman" w:hAnsi="Times New Roman"/>
          <w:sz w:val="24"/>
          <w:szCs w:val="24"/>
          <w:lang w:val="sk-SK"/>
        </w:rPr>
      </w:pPr>
      <w:r w:rsidRPr="00C043A8">
        <w:rPr>
          <w:rFonts w:ascii="Times New Roman" w:hAnsi="Times New Roman"/>
          <w:sz w:val="24"/>
          <w:szCs w:val="24"/>
          <w:lang w:val="sk-SK"/>
        </w:rPr>
        <w:t xml:space="preserve">           Agentúra na podporu regionálneho rozvoja zabezpečovala v rámci Národného strategického referenčného rámca na roky 2007 – 2013 realizáciu Regionálneho operačného programu, Operačného programu Bratislavský kraj, operačných programov cezhraničnej spolupráce a plnila úlohy v oblasti monitorovania a vyhodnocovania programov pomoci EÚ</w:t>
      </w:r>
      <w:r w:rsidRPr="00C043A8" w:rsidR="009F015D">
        <w:rPr>
          <w:rFonts w:ascii="Times New Roman" w:hAnsi="Times New Roman"/>
          <w:sz w:val="24"/>
          <w:szCs w:val="24"/>
          <w:lang w:val="sk-SK"/>
        </w:rPr>
        <w:t xml:space="preserve"> v roku 2012</w:t>
      </w:r>
      <w:r w:rsidRPr="00C043A8">
        <w:rPr>
          <w:rFonts w:ascii="Times New Roman" w:hAnsi="Times New Roman"/>
          <w:sz w:val="24"/>
          <w:szCs w:val="24"/>
          <w:lang w:val="sk-SK"/>
        </w:rPr>
        <w:t>.</w:t>
      </w:r>
      <w:r w:rsidR="009B3C7F">
        <w:rPr>
          <w:rFonts w:ascii="Times New Roman" w:hAnsi="Times New Roman"/>
          <w:sz w:val="24"/>
          <w:szCs w:val="24"/>
          <w:lang w:val="sk-SK"/>
        </w:rPr>
        <w:t xml:space="preserve"> </w:t>
      </w:r>
    </w:p>
    <w:p w:rsidR="00086990" w:rsidRPr="00C043A8" w:rsidP="001B0309">
      <w:pPr>
        <w:bidi w:val="0"/>
        <w:spacing w:after="120" w:line="320" w:lineRule="exact"/>
        <w:ind w:firstLine="708"/>
        <w:jc w:val="both"/>
        <w:rPr>
          <w:rFonts w:ascii="Times New Roman" w:hAnsi="Times New Roman"/>
          <w:sz w:val="24"/>
          <w:szCs w:val="24"/>
          <w:lang w:val="sk-SK"/>
        </w:rPr>
      </w:pPr>
      <w:r w:rsidRPr="00C043A8" w:rsidR="00A46F38">
        <w:rPr>
          <w:rFonts w:ascii="Times New Roman" w:hAnsi="Times New Roman"/>
          <w:sz w:val="24"/>
          <w:szCs w:val="24"/>
          <w:lang w:val="sk-SK"/>
        </w:rPr>
        <w:t>Agentúra na podporu regionálneho rozvoja (</w:t>
      </w:r>
      <w:r w:rsidR="00683B2A">
        <w:rPr>
          <w:rFonts w:ascii="Times New Roman" w:hAnsi="Times New Roman"/>
          <w:sz w:val="24"/>
          <w:szCs w:val="24"/>
          <w:lang w:val="sk-SK"/>
        </w:rPr>
        <w:t>ďa</w:t>
      </w:r>
      <w:r w:rsidRPr="00C043A8" w:rsidR="00A46F38">
        <w:rPr>
          <w:rFonts w:ascii="Times New Roman" w:hAnsi="Times New Roman"/>
          <w:sz w:val="24"/>
          <w:szCs w:val="24"/>
          <w:lang w:val="sk-SK"/>
        </w:rPr>
        <w:t>lej len „APRR“) sa k 01.01.2013  premenovala a rozčlenila na Sekciu riadenia programov regionálneho rozvoja (ďalej len SRPRR) a na Útvar implementácie programov regionálneho rozvoja Ministerstva pôdohospodárstva a rozvoja vidieka SR.</w:t>
      </w:r>
    </w:p>
    <w:p w:rsidR="009F015D" w:rsidRPr="00C043A8" w:rsidP="00781DE6">
      <w:pPr>
        <w:bidi w:val="0"/>
        <w:jc w:val="both"/>
        <w:rPr>
          <w:rFonts w:ascii="Times New Roman" w:hAnsi="Times New Roman"/>
          <w:sz w:val="24"/>
          <w:szCs w:val="24"/>
          <w:lang w:val="sk-SK"/>
        </w:rPr>
      </w:pPr>
    </w:p>
    <w:p w:rsidR="009F015D" w:rsidRPr="00C043A8" w:rsidP="00A46F38">
      <w:pPr>
        <w:bidi w:val="0"/>
        <w:rPr>
          <w:rFonts w:ascii="Times New Roman" w:hAnsi="Times New Roman"/>
          <w:b/>
          <w:sz w:val="24"/>
          <w:szCs w:val="24"/>
          <w:lang w:val="sk-SK"/>
        </w:rPr>
      </w:pPr>
      <w:r w:rsidRPr="00C043A8">
        <w:rPr>
          <w:rFonts w:ascii="Times New Roman" w:hAnsi="Times New Roman"/>
          <w:b/>
          <w:sz w:val="24"/>
          <w:szCs w:val="24"/>
          <w:lang w:val="sk-SK"/>
        </w:rPr>
        <w:t>Operačný program Bratislavsk</w:t>
      </w:r>
      <w:r w:rsidR="002D35C1">
        <w:rPr>
          <w:rFonts w:ascii="Times New Roman" w:hAnsi="Times New Roman"/>
          <w:b/>
          <w:sz w:val="24"/>
          <w:szCs w:val="24"/>
          <w:lang w:val="sk-SK"/>
        </w:rPr>
        <w:t>ý</w:t>
      </w:r>
      <w:r w:rsidRPr="00C043A8">
        <w:rPr>
          <w:rFonts w:ascii="Times New Roman" w:hAnsi="Times New Roman"/>
          <w:b/>
          <w:sz w:val="24"/>
          <w:szCs w:val="24"/>
          <w:lang w:val="sk-SK"/>
        </w:rPr>
        <w:t xml:space="preserve"> kraj</w:t>
      </w:r>
    </w:p>
    <w:p w:rsidR="009F015D" w:rsidRPr="00C043A8" w:rsidP="00A46F38">
      <w:pPr>
        <w:bidi w:val="0"/>
        <w:rPr>
          <w:rFonts w:ascii="Times New Roman" w:hAnsi="Times New Roman"/>
          <w:b/>
          <w:sz w:val="24"/>
          <w:szCs w:val="24"/>
          <w:lang w:val="sk-SK"/>
        </w:rPr>
      </w:pPr>
    </w:p>
    <w:p w:rsidR="00465355" w:rsidRPr="00C043A8" w:rsidP="00C638DA">
      <w:pPr>
        <w:pStyle w:val="Heading2"/>
        <w:bidi w:val="0"/>
        <w:spacing w:after="144" w:afterLines="60" w:line="320" w:lineRule="exact"/>
        <w:ind w:firstLine="709"/>
        <w:jc w:val="both"/>
        <w:rPr>
          <w:rFonts w:ascii="Times New Roman" w:hAnsi="Times New Roman" w:cs="Times New Roman"/>
          <w:b w:val="0"/>
          <w:bCs w:val="0"/>
          <w:caps w:val="0"/>
          <w:sz w:val="24"/>
        </w:rPr>
      </w:pPr>
      <w:r w:rsidRPr="00C043A8" w:rsidR="00417B3A">
        <w:rPr>
          <w:rFonts w:ascii="Times New Roman" w:hAnsi="Times New Roman" w:cs="Times New Roman"/>
          <w:b w:val="0"/>
          <w:bCs w:val="0"/>
          <w:i/>
          <w:caps w:val="0"/>
          <w:sz w:val="24"/>
        </w:rPr>
        <w:tab/>
      </w:r>
      <w:r w:rsidRPr="00C043A8">
        <w:rPr>
          <w:rFonts w:ascii="Times New Roman" w:hAnsi="Times New Roman" w:cs="Times New Roman"/>
          <w:b w:val="0"/>
          <w:bCs w:val="0"/>
          <w:i/>
          <w:caps w:val="0"/>
          <w:sz w:val="24"/>
        </w:rPr>
        <w:t>Odbor riadenia pomoci pre Bratislavský kraj</w:t>
      </w:r>
      <w:r w:rsidRPr="00C043A8">
        <w:rPr>
          <w:rFonts w:ascii="Times New Roman" w:hAnsi="Times New Roman" w:cs="Times New Roman"/>
          <w:b w:val="0"/>
          <w:bCs w:val="0"/>
          <w:caps w:val="0"/>
          <w:sz w:val="24"/>
        </w:rPr>
        <w:t xml:space="preserve"> zabezpečuje výkon úloh Riadiaceho orgánu pre </w:t>
      </w:r>
      <w:r w:rsidRPr="00C043A8">
        <w:rPr>
          <w:rFonts w:ascii="Times New Roman" w:hAnsi="Times New Roman" w:cs="Times New Roman"/>
          <w:bCs w:val="0"/>
          <w:caps w:val="0"/>
          <w:sz w:val="24"/>
        </w:rPr>
        <w:t>Operačný program Bratislavský kraj</w:t>
      </w:r>
      <w:r w:rsidRPr="00C043A8">
        <w:rPr>
          <w:rFonts w:ascii="Times New Roman" w:hAnsi="Times New Roman" w:cs="Times New Roman"/>
          <w:b w:val="0"/>
          <w:bCs w:val="0"/>
          <w:caps w:val="0"/>
          <w:sz w:val="24"/>
        </w:rPr>
        <w:t xml:space="preserve"> (ďalej len „OPBK“). OPBK predstavuje strategický dokument, pričom oprávneným územím na realizovanie intervencií je územie Bratislavského kraja.</w:t>
      </w:r>
    </w:p>
    <w:p w:rsidR="00BF6D46" w:rsidRPr="00C043A8" w:rsidP="00C638DA">
      <w:pPr>
        <w:autoSpaceDE w:val="0"/>
        <w:autoSpaceDN w:val="0"/>
        <w:bidi w:val="0"/>
        <w:adjustRightInd w:val="0"/>
        <w:spacing w:after="144" w:afterLines="60" w:line="320" w:lineRule="exact"/>
        <w:ind w:firstLine="708"/>
        <w:jc w:val="both"/>
        <w:rPr>
          <w:rFonts w:ascii="Times New Roman" w:hAnsi="Times New Roman"/>
          <w:sz w:val="24"/>
          <w:szCs w:val="24"/>
          <w:lang w:val="sk-SK"/>
        </w:rPr>
      </w:pPr>
      <w:r w:rsidRPr="00C043A8" w:rsidR="00465355">
        <w:rPr>
          <w:rFonts w:ascii="Times New Roman" w:hAnsi="Times New Roman"/>
          <w:sz w:val="24"/>
          <w:szCs w:val="24"/>
          <w:lang w:val="sk-SK"/>
        </w:rPr>
        <w:t xml:space="preserve">Globálnym cieľom OPBK je posilnenie konkurenčnej schopnosti regiónu rozvojom vedomostnej ekonomiky a budovaním regiónu atraktívneho pre život. Špecifické ciele OPBK sú napĺňané prostredníctvom dvoch prioritných osí OPBK: Prioritná os 1 Infraštruktúra a Prioritná os 2 Vedomostná ekonomika. </w:t>
      </w:r>
      <w:r w:rsidRPr="00295A6D" w:rsidR="00465355">
        <w:rPr>
          <w:rFonts w:ascii="Times New Roman" w:hAnsi="Times New Roman"/>
          <w:sz w:val="24"/>
          <w:szCs w:val="24"/>
          <w:lang w:val="sk-SK"/>
        </w:rPr>
        <w:t>V rámci OPBK sú verejné prostriedky (štátny rozpočet a rozpočet územnej samosprávy), súkromné zdroje a prostriedky ERDF sústredené na štyri základné opatrenia v</w:t>
      </w:r>
      <w:r w:rsidRPr="00295A6D" w:rsidR="002D35C1">
        <w:rPr>
          <w:rFonts w:ascii="Times New Roman" w:hAnsi="Times New Roman"/>
          <w:sz w:val="24"/>
          <w:szCs w:val="24"/>
          <w:lang w:val="sk-SK"/>
        </w:rPr>
        <w:t xml:space="preserve"> 2 </w:t>
      </w:r>
      <w:r w:rsidRPr="00295A6D" w:rsidR="00465355">
        <w:rPr>
          <w:rFonts w:ascii="Times New Roman" w:hAnsi="Times New Roman"/>
          <w:sz w:val="24"/>
          <w:szCs w:val="24"/>
          <w:lang w:val="sk-SK"/>
        </w:rPr>
        <w:t>prioritných osiach.</w:t>
      </w:r>
      <w:r w:rsidRPr="00C043A8" w:rsidR="00465355">
        <w:rPr>
          <w:rFonts w:ascii="Times New Roman" w:hAnsi="Times New Roman"/>
          <w:sz w:val="24"/>
          <w:szCs w:val="24"/>
          <w:lang w:val="sk-SK"/>
        </w:rPr>
        <w:t xml:space="preserve"> </w:t>
      </w:r>
    </w:p>
    <w:p w:rsidR="00BF6D46" w:rsidRPr="00C043A8" w:rsidP="00C638DA">
      <w:pPr>
        <w:autoSpaceDE w:val="0"/>
        <w:autoSpaceDN w:val="0"/>
        <w:bidi w:val="0"/>
        <w:adjustRightInd w:val="0"/>
        <w:spacing w:after="144" w:afterLines="60" w:line="320" w:lineRule="exact"/>
        <w:jc w:val="both"/>
        <w:rPr>
          <w:rFonts w:ascii="Times New Roman" w:hAnsi="Times New Roman"/>
          <w:sz w:val="24"/>
          <w:szCs w:val="24"/>
          <w:lang w:val="sk-SK"/>
        </w:rPr>
      </w:pPr>
      <w:r w:rsidRPr="00C043A8">
        <w:rPr>
          <w:rFonts w:ascii="Times New Roman" w:hAnsi="Times New Roman"/>
          <w:sz w:val="24"/>
          <w:szCs w:val="24"/>
          <w:lang w:val="sk-SK"/>
        </w:rPr>
        <w:t>-</w:t>
      </w:r>
      <w:r w:rsidRPr="00C043A8" w:rsidR="00465355">
        <w:rPr>
          <w:rFonts w:ascii="Times New Roman" w:hAnsi="Times New Roman"/>
          <w:sz w:val="24"/>
          <w:szCs w:val="24"/>
          <w:lang w:val="sk-SK"/>
        </w:rPr>
        <w:t xml:space="preserve">V Prioritnej osi 1 Infraštruktúra na opatrenie </w:t>
      </w:r>
    </w:p>
    <w:p w:rsidR="00BF6D46" w:rsidRPr="00C043A8" w:rsidP="00C638DA">
      <w:pPr>
        <w:autoSpaceDE w:val="0"/>
        <w:autoSpaceDN w:val="0"/>
        <w:bidi w:val="0"/>
        <w:adjustRightInd w:val="0"/>
        <w:spacing w:after="144" w:afterLines="60" w:line="320" w:lineRule="exact"/>
        <w:jc w:val="both"/>
        <w:rPr>
          <w:rFonts w:ascii="Times New Roman" w:hAnsi="Times New Roman"/>
          <w:sz w:val="24"/>
          <w:szCs w:val="24"/>
          <w:lang w:val="sk-SK"/>
        </w:rPr>
      </w:pPr>
      <w:r w:rsidRPr="00C043A8" w:rsidR="00465355">
        <w:rPr>
          <w:rFonts w:ascii="Times New Roman" w:hAnsi="Times New Roman"/>
          <w:sz w:val="24"/>
          <w:szCs w:val="24"/>
          <w:lang w:val="sk-SK"/>
        </w:rPr>
        <w:t xml:space="preserve">1.1 Regenerácia sídiel a opatrenie 1.2 Regionálna a mestská hromadná doprava.  </w:t>
      </w:r>
    </w:p>
    <w:p w:rsidR="00465355" w:rsidRPr="00C043A8" w:rsidP="00C638DA">
      <w:pPr>
        <w:autoSpaceDE w:val="0"/>
        <w:autoSpaceDN w:val="0"/>
        <w:bidi w:val="0"/>
        <w:adjustRightInd w:val="0"/>
        <w:spacing w:after="144" w:afterLines="60" w:line="320" w:lineRule="exact"/>
        <w:jc w:val="both"/>
        <w:rPr>
          <w:rFonts w:ascii="Times New Roman" w:hAnsi="Times New Roman"/>
          <w:sz w:val="24"/>
          <w:szCs w:val="24"/>
          <w:lang w:val="sk-SK"/>
        </w:rPr>
      </w:pPr>
      <w:r w:rsidRPr="00C043A8" w:rsidR="00BF6D46">
        <w:rPr>
          <w:rFonts w:ascii="Times New Roman" w:hAnsi="Times New Roman"/>
          <w:sz w:val="24"/>
          <w:szCs w:val="24"/>
          <w:lang w:val="sk-SK"/>
        </w:rPr>
        <w:t>-</w:t>
      </w:r>
      <w:r w:rsidRPr="00C043A8">
        <w:rPr>
          <w:rFonts w:ascii="Times New Roman" w:hAnsi="Times New Roman"/>
          <w:sz w:val="24"/>
          <w:szCs w:val="24"/>
          <w:lang w:val="sk-SK"/>
        </w:rPr>
        <w:t>V Prioritnej osi 2 Vedomostná ekonomika na opatrenie 2.1 Inovácie a technologické transfery a opatrenie 2.2 Informatizácia spoločnosti.</w:t>
      </w:r>
    </w:p>
    <w:p w:rsidR="00465355" w:rsidRPr="00C043A8" w:rsidP="00C638DA">
      <w:pPr>
        <w:autoSpaceDE w:val="0"/>
        <w:autoSpaceDN w:val="0"/>
        <w:bidi w:val="0"/>
        <w:adjustRightInd w:val="0"/>
        <w:spacing w:after="144" w:afterLines="60" w:line="320" w:lineRule="exact"/>
        <w:ind w:firstLine="708"/>
        <w:jc w:val="both"/>
        <w:rPr>
          <w:rFonts w:ascii="Times New Roman" w:hAnsi="Times New Roman"/>
          <w:sz w:val="24"/>
          <w:szCs w:val="24"/>
          <w:lang w:val="sk-SK"/>
        </w:rPr>
      </w:pPr>
      <w:r w:rsidRPr="00C043A8">
        <w:rPr>
          <w:rFonts w:ascii="Times New Roman" w:hAnsi="Times New Roman"/>
          <w:sz w:val="24"/>
          <w:szCs w:val="24"/>
          <w:lang w:val="sk-SK"/>
        </w:rPr>
        <w:t>Prvá prioritná os „Infraštruktúra“ je zameraná na podporu budovania moderného a atraktívneho regiónu pre občanov, návštevníkov a investorov. Druhá prioritná os „Vedomostná ekonomika“ podporuje v rámci OPBK inovácie a informatizáciu spoločnosti ako kľúčové tematické okruhy pre zabezpečenie dlhodobej konkurencieschopnosti regiónu.</w:t>
      </w:r>
    </w:p>
    <w:p w:rsidR="00465355" w:rsidRPr="00C043A8" w:rsidP="00C638DA">
      <w:pPr>
        <w:autoSpaceDE w:val="0"/>
        <w:autoSpaceDN w:val="0"/>
        <w:bidi w:val="0"/>
        <w:adjustRightInd w:val="0"/>
        <w:spacing w:after="144" w:afterLines="60" w:line="320" w:lineRule="exact"/>
        <w:ind w:firstLine="708"/>
        <w:jc w:val="both"/>
        <w:rPr>
          <w:rFonts w:ascii="Times New Roman" w:hAnsi="Times New Roman"/>
          <w:sz w:val="24"/>
          <w:szCs w:val="24"/>
          <w:lang w:val="sk-SK"/>
        </w:rPr>
      </w:pPr>
      <w:r w:rsidRPr="00C043A8">
        <w:rPr>
          <w:rFonts w:ascii="Times New Roman" w:hAnsi="Times New Roman"/>
          <w:sz w:val="24"/>
          <w:szCs w:val="24"/>
          <w:lang w:val="sk-SK"/>
        </w:rPr>
        <w:t>OPBK stanovuje stratégiu a prioritné osi podporované zo štrukturálnych fondov a zo zdrojov členského štátu, ich špecifické ciele, príspevok zo štrukturálnych fondov a ostatné finančné prostriedky v súlade s Nariadením Rady (ES) č. 1083/2006 z 11. júla 2006, ktorým sa ustanovujú všeobecné ustanovenia o Európskom fonde regionálneho rozvoja, Európskom sociálnom fonde a Kohéznom fonde a ktorým sa zrušuje nariadenie (ES) č.1260/1999 („všeobecné nariadenie“) a v súlade s Nariadením Komisie (ES) č. 1828/2006 z 8. decembra 2006, ktorým sa stanovujú vykonávacie pravidlá nariadenia Rady (ES) č. 1083/2006, ktorým sa ustanovujú všeobecné ustanovenia o Európskom fonde regionálneho rozvoja, Európskom sociálnom fonde a Kohéznom fonde a nariadenia Európskeho parlamentu a Rady (ES) č. 1080/2006 o Európskom fonde regionálneho rozvoja v znení neskorších zmien a doplnení („vykonávacie nariadenie“). Okrem toho Riadiaci orgán pre OPBK postupuje pri implementácii OPBK v súlade s ďalšími nariadeniami EÚ /ES, platnými právnymi predpismi Slovenskej republiky, najmä podľa zákona č. 528/2008 Z. z. o poskytovaní pomoci a podpory z fondov Európskych spoločenstiev v znení neskorších predpisov, ako aj ďalšími záväznými dokumentmi, najmä súlade so Systémom riadenia štrukturálnych fondov a Kohézneho fondu na programové obdobie 2007 – 2013 v aktuálnom znení a Systémom finančného riadenia štrukturálnych fondov a Kohézneho fondu na programové obdobie 2007 – 2013 v platnom znení.</w:t>
      </w:r>
    </w:p>
    <w:p w:rsidR="00465355" w:rsidRPr="00C043A8" w:rsidP="00C638DA">
      <w:pPr>
        <w:autoSpaceDE w:val="0"/>
        <w:autoSpaceDN w:val="0"/>
        <w:bidi w:val="0"/>
        <w:adjustRightInd w:val="0"/>
        <w:spacing w:after="144" w:afterLines="60" w:line="320" w:lineRule="exact"/>
        <w:ind w:firstLine="708"/>
        <w:jc w:val="both"/>
        <w:rPr>
          <w:rFonts w:ascii="Times New Roman" w:hAnsi="Times New Roman"/>
          <w:sz w:val="24"/>
          <w:szCs w:val="24"/>
          <w:lang w:val="sk-SK"/>
        </w:rPr>
      </w:pPr>
      <w:r w:rsidRPr="00C043A8">
        <w:rPr>
          <w:rFonts w:ascii="Times New Roman" w:hAnsi="Times New Roman"/>
          <w:sz w:val="24"/>
          <w:szCs w:val="24"/>
          <w:lang w:val="sk-SK"/>
        </w:rPr>
        <w:t xml:space="preserve">Prijímateľmi pomoci z OPBK sú obce a mestá Bratislavského kraja založené v zmysle zákona č. 369/1990 Zb. o obecnom zriadení v znení neskorších predpisov; Bratislavský samosprávny kraj, založený v zmysle zákona č. 302/2001 Z. z. o samospráve vyšších územných celkov v znení neskorších predpisov, Hlavné mesto SR Bratislava a jeho mestské časti v zmysle zákona č. 377/1990 Zb. o hlavnom  meste SR Bratislave v znení neskorších predpisov; Združenia miest a obcí založené v zmysle zákona č. 369/1990 Zb. o obecnom zriadení v znení neskorších predpisov; Subjekt správy bytového domu v zmysle zákona            č. 182/1993 Z. z. o vlastníctve bytov a nebytových priestorov v znení neskorších predpisov;    a Mikro, malí a strední podnikatelia (MSP) – fyzické alebo právnické osoby podnikajúce v oblasti výroby oprávnené na podnikanie v zmysle § 2 ods. 2 písm. a) a b) Obchodného zákonníka, registrované na území SR. </w:t>
      </w:r>
    </w:p>
    <w:p w:rsidR="00465355" w:rsidRPr="00C043A8" w:rsidP="00C638DA">
      <w:pPr>
        <w:autoSpaceDE w:val="0"/>
        <w:autoSpaceDN w:val="0"/>
        <w:bidi w:val="0"/>
        <w:adjustRightInd w:val="0"/>
        <w:spacing w:after="144" w:afterLines="60" w:line="320" w:lineRule="exact"/>
        <w:ind w:firstLine="708"/>
        <w:jc w:val="both"/>
        <w:rPr>
          <w:rFonts w:ascii="Times New Roman" w:hAnsi="Times New Roman"/>
          <w:sz w:val="24"/>
          <w:szCs w:val="24"/>
          <w:lang w:val="sk-SK"/>
        </w:rPr>
      </w:pPr>
      <w:r w:rsidRPr="00C043A8">
        <w:rPr>
          <w:rFonts w:ascii="Times New Roman" w:hAnsi="Times New Roman"/>
          <w:sz w:val="24"/>
          <w:szCs w:val="24"/>
          <w:lang w:val="sk-SK"/>
        </w:rPr>
        <w:t xml:space="preserve">Do implementácie OPBK je aktívne zapojený aj Bratislavský samosprávny kraj, ktorý vo vymedzenom rozsahu plní úlohy sprostredkovateľského orgánu pod Riadiacim orgánom pre OPBK. </w:t>
      </w:r>
    </w:p>
    <w:p w:rsidR="00465355" w:rsidRPr="00C043A8" w:rsidP="00C638DA">
      <w:pPr>
        <w:autoSpaceDE w:val="0"/>
        <w:autoSpaceDN w:val="0"/>
        <w:bidi w:val="0"/>
        <w:adjustRightInd w:val="0"/>
        <w:spacing w:after="144" w:afterLines="60" w:line="320" w:lineRule="exact"/>
        <w:ind w:firstLine="708"/>
        <w:jc w:val="both"/>
        <w:rPr>
          <w:rFonts w:ascii="Times New Roman" w:hAnsi="Times New Roman"/>
          <w:sz w:val="24"/>
          <w:szCs w:val="24"/>
          <w:lang w:val="sk-SK"/>
        </w:rPr>
      </w:pPr>
      <w:r w:rsidRPr="00C043A8">
        <w:rPr>
          <w:rFonts w:ascii="Times New Roman" w:hAnsi="Times New Roman"/>
          <w:sz w:val="24"/>
          <w:szCs w:val="24"/>
          <w:lang w:val="sk-SK"/>
        </w:rPr>
        <w:t xml:space="preserve">V roku 2012 Riadiaci orgán pre OPBK vyhlásil jeden Oznam o možnosti predkladať integrované stratégie rozvoja mestských oblastí (ďalej len „ISRMO“) a 4 výzvy na predkladanie žiadostí o nenávratný finančný príspevok (ďalej len „ŽoNFP“) z toho 2 výzvy v rámci Prioritnej osi 1 Infraštruktúra a 2 výzvy v rámci Prioritnej osi 2 Vedomostná ekonomika. </w:t>
      </w:r>
    </w:p>
    <w:p w:rsidR="00465355" w:rsidRPr="00C043A8" w:rsidP="00C638DA">
      <w:pPr>
        <w:autoSpaceDE w:val="0"/>
        <w:autoSpaceDN w:val="0"/>
        <w:bidi w:val="0"/>
        <w:adjustRightInd w:val="0"/>
        <w:spacing w:after="144" w:afterLines="60" w:line="320" w:lineRule="exact"/>
        <w:ind w:firstLine="708"/>
        <w:jc w:val="both"/>
        <w:rPr>
          <w:rFonts w:ascii="Times New Roman" w:hAnsi="Times New Roman"/>
          <w:sz w:val="24"/>
          <w:szCs w:val="24"/>
          <w:lang w:val="sk-SK"/>
        </w:rPr>
      </w:pPr>
      <w:r w:rsidRPr="00C043A8">
        <w:rPr>
          <w:rFonts w:ascii="Times New Roman" w:hAnsi="Times New Roman"/>
          <w:sz w:val="24"/>
          <w:szCs w:val="24"/>
          <w:lang w:val="sk-SK"/>
        </w:rPr>
        <w:t xml:space="preserve">V rámci Prioritnej osi 1 Infraštruktúra bolo od začiatku programového obdobia vyhlásených 8 výziev na predkladanie ŽoNFP a jeden Oznam o možnosti predkladať ISRMO. V rámci výziev bolo prijatých 187 ŽoNFP v celkovej výške celkových oprávnených výdavkov 113 507 150,68 €, z toho bolo 54 ŽoNFP schválených. Zo schválených ŽoNFP Riadiaci orgán OPBK pristúpil k uzavretiu zmluvy o poskytnutí NFP pri 50 projektoch v celkovej výške COV 25 470 844,29 €. V opatrení 1.1 Regenerácia sídiel je výška zazmluvnených finančných prostriedkov 19 677 457,92 € a v opatrení 1.2 Regionálna a mestská hromadná doprava je to 5 793 386,37 €. K 31.12.2012 je 50 projektov v realizácii a 46 projektov je úspešne ukončených v celkovej výške NFP 21 289 308,86 €. </w:t>
      </w:r>
    </w:p>
    <w:p w:rsidR="00465355" w:rsidRPr="00C043A8" w:rsidP="00C638DA">
      <w:pPr>
        <w:bidi w:val="0"/>
        <w:spacing w:after="144" w:afterLines="60" w:line="320" w:lineRule="exact"/>
        <w:ind w:firstLine="708"/>
        <w:jc w:val="both"/>
        <w:rPr>
          <w:rFonts w:ascii="Times New Roman" w:hAnsi="Times New Roman"/>
          <w:sz w:val="24"/>
          <w:szCs w:val="24"/>
          <w:lang w:val="sk-SK"/>
        </w:rPr>
      </w:pPr>
      <w:r w:rsidRPr="00C043A8">
        <w:rPr>
          <w:rFonts w:ascii="Times New Roman" w:hAnsi="Times New Roman"/>
          <w:sz w:val="24"/>
          <w:szCs w:val="24"/>
          <w:lang w:val="sk-SK"/>
        </w:rPr>
        <w:t>V rámci Prioritnej osi 2 Vedomostná ekonomika bolo od začiatku programového obdobia vyhlásených 11 výziev (bez iniciatívy JEREMIE). V rámci výziev bolo prijatých 406 ŽoNFP v celkovej výške NFP 66 623 114,53 €, z toho 235 ŽoNFP bolo schválených.       Z 235 schválených ŽoNFP Riadiaci orgán pre OPBK pristúpil k uzavretiu zmluvy o poskytnutí NFP pri 217 projektoch v celkovej výške NFP 33 245 308,29 €. K 31.12.2012 je 55 projektov v realizácii a 162 projektov je ukončených v celkovej výške NFP 19 220 093,50</w:t>
      </w:r>
      <w:r w:rsidRPr="00C043A8" w:rsidR="00781DE6">
        <w:rPr>
          <w:rFonts w:ascii="Times New Roman" w:hAnsi="Times New Roman"/>
          <w:sz w:val="24"/>
          <w:szCs w:val="24"/>
          <w:lang w:val="sk-SK"/>
        </w:rPr>
        <w:t> </w:t>
      </w:r>
      <w:r w:rsidRPr="00C043A8">
        <w:rPr>
          <w:rFonts w:ascii="Times New Roman" w:hAnsi="Times New Roman"/>
          <w:sz w:val="24"/>
          <w:szCs w:val="24"/>
          <w:lang w:val="sk-SK"/>
        </w:rPr>
        <w:t>€.</w:t>
      </w:r>
    </w:p>
    <w:p w:rsidR="00465355" w:rsidRPr="00C043A8" w:rsidP="00465355">
      <w:pPr>
        <w:keepNext/>
        <w:bidi w:val="0"/>
        <w:rPr>
          <w:rFonts w:ascii="Times New Roman" w:hAnsi="Times New Roman"/>
          <w:b/>
          <w:sz w:val="22"/>
          <w:szCs w:val="22"/>
          <w:lang w:val="sk-SK"/>
        </w:rPr>
      </w:pPr>
    </w:p>
    <w:p w:rsidR="001B0C88" w:rsidP="001B0C88">
      <w:pPr>
        <w:keepNext/>
        <w:bidi w:val="0"/>
        <w:rPr>
          <w:rFonts w:ascii="Times New Roman" w:hAnsi="Times New Roman"/>
          <w:sz w:val="22"/>
          <w:szCs w:val="22"/>
          <w:lang w:val="sk-SK"/>
        </w:rPr>
      </w:pPr>
      <w:r w:rsidRPr="00C043A8" w:rsidR="00465355">
        <w:rPr>
          <w:rFonts w:ascii="Times New Roman" w:hAnsi="Times New Roman"/>
          <w:b/>
          <w:sz w:val="22"/>
          <w:szCs w:val="22"/>
          <w:lang w:val="sk-SK"/>
        </w:rPr>
        <w:t xml:space="preserve">Čerpanie </w:t>
      </w:r>
      <w:r w:rsidRPr="00C043A8" w:rsidR="00080766">
        <w:rPr>
          <w:rFonts w:ascii="Times New Roman" w:hAnsi="Times New Roman"/>
          <w:b/>
          <w:sz w:val="22"/>
          <w:szCs w:val="22"/>
          <w:lang w:val="sk-SK"/>
        </w:rPr>
        <w:t xml:space="preserve"> finančných prostriedkov za </w:t>
      </w:r>
      <w:r w:rsidRPr="001B0C88">
        <w:rPr>
          <w:rFonts w:ascii="Times New Roman" w:hAnsi="Times New Roman"/>
          <w:b/>
          <w:sz w:val="22"/>
          <w:szCs w:val="22"/>
          <w:lang w:val="sk-SK"/>
        </w:rPr>
        <w:t>Operačný program Bratislavský kraj k 31.12.2012 v €</w:t>
      </w:r>
    </w:p>
    <w:p w:rsidR="00465355" w:rsidRPr="00C043A8" w:rsidP="001B0C88">
      <w:pPr>
        <w:keepNext/>
        <w:bidi w:val="0"/>
        <w:jc w:val="right"/>
        <w:rPr>
          <w:rFonts w:ascii="Times New Roman" w:hAnsi="Times New Roman"/>
          <w:lang w:val="sk-SK"/>
        </w:rPr>
      </w:pPr>
      <w:r w:rsidRPr="00C043A8">
        <w:rPr>
          <w:rFonts w:ascii="Times New Roman" w:hAnsi="Times New Roman"/>
          <w:sz w:val="22"/>
          <w:szCs w:val="22"/>
          <w:lang w:val="sk-SK"/>
        </w:rPr>
        <w:t>Tabuľka č.1</w:t>
      </w:r>
    </w:p>
    <w:tbl>
      <w:tblPr>
        <w:tblStyle w:val="TableNormal"/>
        <w:tblW w:w="930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4442"/>
        <w:gridCol w:w="1714"/>
        <w:gridCol w:w="1570"/>
        <w:gridCol w:w="1581"/>
      </w:tblGrid>
      <w:tr>
        <w:tblPrEx>
          <w:tblW w:w="930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Ex>
        <w:trPr>
          <w:trHeight w:val="315"/>
        </w:trPr>
        <w:tc>
          <w:tcPr>
            <w:tcW w:w="4410" w:type="dxa"/>
            <w:tcBorders>
              <w:top w:val="single" w:sz="8" w:space="0" w:color="9BBB59"/>
              <w:left w:val="single" w:sz="8" w:space="0" w:color="9BBB59"/>
              <w:bottom w:val="single" w:sz="8" w:space="0" w:color="9BBB59"/>
              <w:right w:val="single" w:sz="8" w:space="0" w:color="9BBB59"/>
            </w:tcBorders>
            <w:shd w:val="clear" w:color="auto" w:fill="C2D69B"/>
            <w:noWrap/>
            <w:textDirection w:val="lrTb"/>
            <w:vAlign w:val="top"/>
            <w:hideMark/>
          </w:tcPr>
          <w:p w:rsidR="00465355" w:rsidRPr="00C638DA" w:rsidP="00C638DA">
            <w:pPr>
              <w:keepNext/>
              <w:bidi w:val="0"/>
              <w:rPr>
                <w:rFonts w:ascii="Times New Roman" w:hAnsi="Times New Roman"/>
                <w:b/>
                <w:bCs/>
                <w:lang w:val="sk-SK"/>
              </w:rPr>
            </w:pPr>
            <w:r w:rsidRPr="00C638DA">
              <w:rPr>
                <w:rFonts w:ascii="Times New Roman" w:hAnsi="Times New Roman"/>
                <w:b/>
                <w:bCs/>
                <w:sz w:val="22"/>
                <w:szCs w:val="22"/>
                <w:lang w:val="sk-SK"/>
              </w:rPr>
              <w:t>Programový dokument</w:t>
            </w:r>
          </w:p>
        </w:tc>
        <w:tc>
          <w:tcPr>
            <w:tcW w:w="1701" w:type="dxa"/>
            <w:tcBorders>
              <w:top w:val="single" w:sz="8" w:space="0" w:color="9BBB59"/>
              <w:left w:val="single" w:sz="8" w:space="0" w:color="9BBB59"/>
              <w:bottom w:val="single" w:sz="8" w:space="0" w:color="9BBB59"/>
              <w:right w:val="single" w:sz="8" w:space="0" w:color="9BBB59"/>
            </w:tcBorders>
            <w:shd w:val="clear" w:color="auto" w:fill="C2D69B"/>
            <w:noWrap/>
            <w:textDirection w:val="lrTb"/>
            <w:vAlign w:val="top"/>
            <w:hideMark/>
          </w:tcPr>
          <w:p w:rsidR="00465355" w:rsidRPr="00C638DA" w:rsidP="00C638DA">
            <w:pPr>
              <w:keepNext/>
              <w:bidi w:val="0"/>
              <w:jc w:val="center"/>
              <w:rPr>
                <w:rFonts w:ascii="Times New Roman" w:hAnsi="Times New Roman"/>
                <w:b/>
                <w:bCs/>
                <w:lang w:val="sk-SK"/>
              </w:rPr>
            </w:pPr>
            <w:r w:rsidRPr="00C638DA">
              <w:rPr>
                <w:rFonts w:ascii="Times New Roman" w:hAnsi="Times New Roman"/>
                <w:b/>
                <w:bCs/>
                <w:sz w:val="22"/>
                <w:szCs w:val="22"/>
                <w:lang w:val="sk-SK"/>
              </w:rPr>
              <w:t>ERDF</w:t>
            </w:r>
          </w:p>
        </w:tc>
        <w:tc>
          <w:tcPr>
            <w:tcW w:w="1559" w:type="dxa"/>
            <w:tcBorders>
              <w:top w:val="single" w:sz="8" w:space="0" w:color="9BBB59"/>
              <w:left w:val="single" w:sz="8" w:space="0" w:color="9BBB59"/>
              <w:bottom w:val="single" w:sz="8" w:space="0" w:color="9BBB59"/>
              <w:right w:val="single" w:sz="8" w:space="0" w:color="9BBB59"/>
            </w:tcBorders>
            <w:shd w:val="clear" w:color="auto" w:fill="C2D69B"/>
            <w:noWrap/>
            <w:textDirection w:val="lrTb"/>
            <w:vAlign w:val="top"/>
            <w:hideMark/>
          </w:tcPr>
          <w:p w:rsidR="00465355" w:rsidRPr="00C638DA" w:rsidP="00C638DA">
            <w:pPr>
              <w:keepNext/>
              <w:bidi w:val="0"/>
              <w:jc w:val="center"/>
              <w:rPr>
                <w:rFonts w:ascii="Times New Roman" w:hAnsi="Times New Roman"/>
                <w:b/>
                <w:bCs/>
                <w:lang w:val="sk-SK"/>
              </w:rPr>
            </w:pPr>
            <w:r w:rsidRPr="00C638DA">
              <w:rPr>
                <w:rFonts w:ascii="Times New Roman" w:hAnsi="Times New Roman"/>
                <w:b/>
                <w:bCs/>
                <w:sz w:val="22"/>
                <w:szCs w:val="22"/>
                <w:lang w:val="sk-SK"/>
              </w:rPr>
              <w:t>ŠR</w:t>
            </w:r>
          </w:p>
        </w:tc>
        <w:tc>
          <w:tcPr>
            <w:tcW w:w="1569" w:type="dxa"/>
            <w:tcBorders>
              <w:top w:val="single" w:sz="8" w:space="0" w:color="9BBB59"/>
              <w:left w:val="single" w:sz="8" w:space="0" w:color="9BBB59"/>
              <w:bottom w:val="single" w:sz="8" w:space="0" w:color="9BBB59"/>
              <w:right w:val="single" w:sz="8" w:space="0" w:color="9BBB59"/>
            </w:tcBorders>
            <w:shd w:val="clear" w:color="auto" w:fill="C2D69B"/>
            <w:noWrap/>
            <w:textDirection w:val="lrTb"/>
            <w:vAlign w:val="top"/>
            <w:hideMark/>
          </w:tcPr>
          <w:p w:rsidR="00465355" w:rsidRPr="00C638DA" w:rsidP="00C638DA">
            <w:pPr>
              <w:keepNext/>
              <w:bidi w:val="0"/>
              <w:jc w:val="center"/>
              <w:rPr>
                <w:rFonts w:ascii="Times New Roman" w:hAnsi="Times New Roman"/>
                <w:b/>
                <w:bCs/>
                <w:lang w:val="sk-SK"/>
              </w:rPr>
            </w:pPr>
            <w:r w:rsidRPr="00C638DA">
              <w:rPr>
                <w:rFonts w:ascii="Times New Roman" w:hAnsi="Times New Roman"/>
                <w:b/>
                <w:bCs/>
                <w:sz w:val="22"/>
                <w:szCs w:val="22"/>
                <w:lang w:val="sk-SK"/>
              </w:rPr>
              <w:t>Spolu</w:t>
            </w:r>
          </w:p>
        </w:tc>
      </w:tr>
      <w:tr>
        <w:tblPrEx>
          <w:tblW w:w="9307" w:type="dxa"/>
          <w:tblLook w:val="04A0"/>
        </w:tblPrEx>
        <w:trPr>
          <w:trHeight w:val="300"/>
        </w:trPr>
        <w:tc>
          <w:tcPr>
            <w:tcW w:w="4410" w:type="dxa"/>
            <w:tcBorders>
              <w:top w:val="single" w:sz="8" w:space="0" w:color="9BBB59"/>
              <w:left w:val="single" w:sz="8" w:space="0" w:color="9BBB59"/>
              <w:bottom w:val="single" w:sz="8" w:space="0" w:color="9BBB59"/>
              <w:right w:val="single" w:sz="8" w:space="0" w:color="9BBB59"/>
            </w:tcBorders>
            <w:shd w:val="clear" w:color="auto" w:fill="FFFFFF"/>
            <w:textDirection w:val="lrTb"/>
            <w:vAlign w:val="top"/>
            <w:hideMark/>
          </w:tcPr>
          <w:p w:rsidR="00465355" w:rsidRPr="00C638DA" w:rsidP="00C638DA">
            <w:pPr>
              <w:keepNext/>
              <w:bidi w:val="0"/>
              <w:rPr>
                <w:rFonts w:ascii="Times New Roman" w:hAnsi="Times New Roman"/>
                <w:b/>
                <w:bCs/>
                <w:lang w:val="sk-SK"/>
              </w:rPr>
            </w:pPr>
            <w:r w:rsidRPr="00C638DA">
              <w:rPr>
                <w:rFonts w:ascii="Times New Roman" w:hAnsi="Times New Roman"/>
                <w:b/>
                <w:bCs/>
                <w:sz w:val="22"/>
                <w:szCs w:val="22"/>
                <w:lang w:val="sk-SK"/>
              </w:rPr>
              <w:t xml:space="preserve">Operačný program Bratislavský kraj </w:t>
            </w:r>
          </w:p>
        </w:tc>
        <w:tc>
          <w:tcPr>
            <w:tcW w:w="1701" w:type="dxa"/>
            <w:tcBorders>
              <w:top w:val="single" w:sz="8" w:space="0" w:color="9BBB59"/>
              <w:left w:val="single" w:sz="8" w:space="0" w:color="9BBB59"/>
              <w:bottom w:val="single" w:sz="8" w:space="0" w:color="9BBB59"/>
              <w:right w:val="single" w:sz="8" w:space="0" w:color="9BBB59"/>
            </w:tcBorders>
            <w:shd w:val="clear" w:color="auto" w:fill="FFFFFF"/>
            <w:noWrap/>
            <w:textDirection w:val="lrTb"/>
            <w:vAlign w:val="top"/>
            <w:hideMark/>
          </w:tcPr>
          <w:p w:rsidR="00465355" w:rsidRPr="00C638DA" w:rsidP="00C638DA">
            <w:pPr>
              <w:keepNext/>
              <w:bidi w:val="0"/>
              <w:jc w:val="right"/>
              <w:rPr>
                <w:rFonts w:ascii="Times New Roman" w:hAnsi="Times New Roman"/>
                <w:color w:val="000000"/>
                <w:sz w:val="22"/>
                <w:szCs w:val="22"/>
                <w:lang w:val="sk-SK"/>
              </w:rPr>
            </w:pPr>
            <w:r w:rsidRPr="00C638DA">
              <w:rPr>
                <w:rFonts w:ascii="Times New Roman" w:hAnsi="Times New Roman"/>
                <w:color w:val="000000"/>
                <w:sz w:val="22"/>
                <w:szCs w:val="22"/>
                <w:lang w:val="sk-SK"/>
              </w:rPr>
              <w:t>38 962 163,46</w:t>
            </w:r>
          </w:p>
        </w:tc>
        <w:tc>
          <w:tcPr>
            <w:tcW w:w="1559" w:type="dxa"/>
            <w:tcBorders>
              <w:top w:val="single" w:sz="8" w:space="0" w:color="9BBB59"/>
              <w:left w:val="single" w:sz="8" w:space="0" w:color="9BBB59"/>
              <w:bottom w:val="single" w:sz="8" w:space="0" w:color="9BBB59"/>
              <w:right w:val="single" w:sz="8" w:space="0" w:color="9BBB59"/>
            </w:tcBorders>
            <w:shd w:val="clear" w:color="auto" w:fill="FFFFFF"/>
            <w:noWrap/>
            <w:textDirection w:val="lrTb"/>
            <w:vAlign w:val="top"/>
            <w:hideMark/>
          </w:tcPr>
          <w:p w:rsidR="00465355" w:rsidRPr="00C638DA" w:rsidP="00C638DA">
            <w:pPr>
              <w:keepNext/>
              <w:bidi w:val="0"/>
              <w:jc w:val="right"/>
              <w:rPr>
                <w:rFonts w:ascii="Times New Roman" w:hAnsi="Times New Roman"/>
                <w:color w:val="000000"/>
                <w:sz w:val="22"/>
                <w:szCs w:val="22"/>
                <w:lang w:val="sk-SK"/>
              </w:rPr>
            </w:pPr>
            <w:r w:rsidRPr="00C638DA">
              <w:rPr>
                <w:rFonts w:ascii="Times New Roman" w:hAnsi="Times New Roman"/>
                <w:color w:val="000000"/>
                <w:sz w:val="22"/>
                <w:szCs w:val="22"/>
                <w:lang w:val="sk-SK"/>
              </w:rPr>
              <w:t>5 813 463,07</w:t>
            </w:r>
          </w:p>
        </w:tc>
        <w:tc>
          <w:tcPr>
            <w:tcW w:w="1569" w:type="dxa"/>
            <w:tcBorders>
              <w:top w:val="single" w:sz="8" w:space="0" w:color="9BBB59"/>
              <w:left w:val="single" w:sz="8" w:space="0" w:color="9BBB59"/>
              <w:bottom w:val="single" w:sz="8" w:space="0" w:color="9BBB59"/>
              <w:right w:val="single" w:sz="8" w:space="0" w:color="9BBB59"/>
            </w:tcBorders>
            <w:shd w:val="clear" w:color="auto" w:fill="FFFFFF"/>
            <w:noWrap/>
            <w:textDirection w:val="lrTb"/>
            <w:vAlign w:val="top"/>
            <w:hideMark/>
          </w:tcPr>
          <w:p w:rsidR="00465355" w:rsidRPr="00C638DA" w:rsidP="00C638DA">
            <w:pPr>
              <w:keepNext/>
              <w:bidi w:val="0"/>
              <w:jc w:val="right"/>
              <w:rPr>
                <w:rFonts w:ascii="Times New Roman" w:hAnsi="Times New Roman"/>
                <w:color w:val="000000"/>
                <w:sz w:val="22"/>
                <w:szCs w:val="22"/>
                <w:lang w:val="sk-SK"/>
              </w:rPr>
            </w:pPr>
            <w:r w:rsidRPr="00C638DA">
              <w:rPr>
                <w:rFonts w:ascii="Times New Roman" w:hAnsi="Times New Roman"/>
                <w:color w:val="000000"/>
                <w:sz w:val="22"/>
                <w:szCs w:val="22"/>
                <w:lang w:val="sk-SK"/>
              </w:rPr>
              <w:t>44 775 626,53</w:t>
            </w:r>
          </w:p>
        </w:tc>
      </w:tr>
    </w:tbl>
    <w:p w:rsidR="00417B3A" w:rsidRPr="00C043A8" w:rsidP="00A46F38">
      <w:pPr>
        <w:bidi w:val="0"/>
        <w:rPr>
          <w:rFonts w:ascii="Times New Roman" w:hAnsi="Times New Roman"/>
          <w:lang w:val="sk-SK"/>
        </w:rPr>
      </w:pPr>
    </w:p>
    <w:p w:rsidR="001D56CE" w:rsidRPr="00C043A8" w:rsidP="007B594B">
      <w:pPr>
        <w:bidi w:val="0"/>
        <w:jc w:val="both"/>
        <w:rPr>
          <w:rFonts w:ascii="Times New Roman" w:hAnsi="Times New Roman"/>
          <w:b/>
          <w:sz w:val="24"/>
          <w:szCs w:val="24"/>
          <w:lang w:val="sk-SK"/>
        </w:rPr>
      </w:pPr>
      <w:r w:rsidRPr="00C043A8">
        <w:rPr>
          <w:rFonts w:ascii="Times New Roman" w:hAnsi="Times New Roman"/>
          <w:b/>
          <w:sz w:val="24"/>
          <w:szCs w:val="24"/>
          <w:lang w:val="sk-SK"/>
        </w:rPr>
        <w:t>Programy cezhraničnej spolupráce</w:t>
      </w:r>
    </w:p>
    <w:p w:rsidR="001D56CE" w:rsidRPr="00C043A8" w:rsidP="007B594B">
      <w:pPr>
        <w:bidi w:val="0"/>
        <w:jc w:val="both"/>
        <w:rPr>
          <w:rFonts w:ascii="Times New Roman" w:hAnsi="Times New Roman"/>
          <w:b/>
          <w:sz w:val="24"/>
          <w:szCs w:val="24"/>
          <w:lang w:val="sk-SK"/>
        </w:rPr>
      </w:pPr>
    </w:p>
    <w:p w:rsidR="007B594B" w:rsidRPr="00C043A8" w:rsidP="00781DE6">
      <w:pPr>
        <w:bidi w:val="0"/>
        <w:spacing w:after="60" w:line="320" w:lineRule="exact"/>
        <w:ind w:firstLine="708"/>
        <w:jc w:val="both"/>
        <w:rPr>
          <w:rFonts w:ascii="Times New Roman" w:hAnsi="Times New Roman"/>
          <w:sz w:val="24"/>
          <w:szCs w:val="24"/>
          <w:lang w:val="sk-SK"/>
        </w:rPr>
      </w:pPr>
      <w:r w:rsidRPr="00C043A8">
        <w:rPr>
          <w:rFonts w:ascii="Times New Roman" w:hAnsi="Times New Roman"/>
          <w:sz w:val="24"/>
          <w:szCs w:val="24"/>
          <w:lang w:val="sk-SK"/>
        </w:rPr>
        <w:t>Programy cezhraničnej spolupráce spadajú pod Európsku územnú spoluprácu a sú realizované s podporou štrukturálnych fondov EÚ, z Európskeho fondu regionálneho rozvoja so súčasnou finančnou účasťou jednotlivých národných rozpočtov. Odbor programov cezhraničnej spolupráce spadajúci pod Sekciu riadenia programov regionálneho rozvoja MPRV SR zodpovedá za realizáciu jednotlivých programov, na ktorých participujú susediace štáty, Česká republika, Maďarsko, Poľsko, Rakúsko a tiež spoločný program ENPI kde spolupracujú na programe Maďarsko – Slovensko – Rumunsko a Ukrajina. Jednotlivé programy cezhraničnej spolupráce spoločne pripravujú Operačné programy, ktoré definujú rámec spolupráce, určujú priestor pre aktivity, projektové zámery na danom vymedzenom území. Odbor programov cezhraničnej spolupráce zodpovedá za riadenie Operačného programu cezhraničnej spolupráce Slovenská republika – Česká republika, plní úlohu Riadiaceho orgánu pre obdobie 2007-2013. V ostatných programoch cezhraničnej spolupráce Slovenská republika – Rakúsko, Maďarsko – Slovenská republika, Poľsko – Slovenská republika a operačného programu ENPI Maďarsko – Slovensko – Rumunsko – Ukrajina  2007 -2013 zastáva  Slovenská republika pozíciu Národného orgánu, čo znamená, že  koordinuje Program na Slovensku a tiež spolupracuje s jednotlivými Riadiacimi orgánmi.</w:t>
      </w:r>
    </w:p>
    <w:p w:rsidR="007B594B" w:rsidRPr="00C043A8" w:rsidP="00417B3A">
      <w:pPr>
        <w:bidi w:val="0"/>
        <w:spacing w:after="60" w:line="320" w:lineRule="exact"/>
        <w:ind w:firstLine="708"/>
        <w:jc w:val="both"/>
        <w:rPr>
          <w:rFonts w:ascii="Times New Roman" w:hAnsi="Times New Roman"/>
          <w:sz w:val="24"/>
          <w:szCs w:val="24"/>
          <w:lang w:val="sk-SK"/>
        </w:rPr>
      </w:pPr>
      <w:r w:rsidRPr="00C043A8">
        <w:rPr>
          <w:rFonts w:ascii="Times New Roman" w:hAnsi="Times New Roman"/>
          <w:sz w:val="24"/>
          <w:szCs w:val="24"/>
          <w:lang w:val="sk-SK"/>
        </w:rPr>
        <w:t>Programy cezhraničnej spolupráce sú zamerané na hospodársku spoluprácu rôznych partnerov, zvýšenie sociálnej a kultúrnej súdržnosti, zlepšenie dostupnosti a komunikácie a ochranu prírodných hodnôt v prihraničných regiónoch. Programy podporujú zvyšovanie hospodárskej a sociálnej integrácie prihraničných regiónov.</w:t>
      </w:r>
    </w:p>
    <w:p w:rsidR="007B594B" w:rsidRPr="00C043A8" w:rsidP="00417B3A">
      <w:pPr>
        <w:bidi w:val="0"/>
        <w:spacing w:after="60" w:line="320" w:lineRule="exact"/>
        <w:ind w:firstLine="708"/>
        <w:jc w:val="both"/>
        <w:rPr>
          <w:rFonts w:ascii="Times New Roman" w:hAnsi="Times New Roman"/>
          <w:sz w:val="24"/>
          <w:szCs w:val="24"/>
          <w:lang w:val="sk-SK"/>
        </w:rPr>
      </w:pPr>
      <w:r w:rsidRPr="00C043A8">
        <w:rPr>
          <w:rFonts w:ascii="Times New Roman" w:hAnsi="Times New Roman"/>
          <w:sz w:val="24"/>
          <w:szCs w:val="24"/>
          <w:lang w:val="sk-SK"/>
        </w:rPr>
        <w:t>Projektové zámery realizujú v oprávnených územiach jednotlivých programov rôzne subjekty, samosprávne kraje, obce, mestá, združenia obcí, príspevkové a rozpočtové organizácie ako aj školy, neziskové organizácie, záujmové združenia právnických osôb, občianske združenia a ďalšie subjekty. Špecifikom cezhraničných programov je podmienka spoločnej realizácie projektového zámeru minimálne dvoma projektovými partnermi, z každej strany hranice jedným a podmienka preukázateľného cezhraničného dopadu.</w:t>
      </w:r>
    </w:p>
    <w:p w:rsidR="007B594B" w:rsidRPr="00C043A8" w:rsidP="00417B3A">
      <w:pPr>
        <w:bidi w:val="0"/>
        <w:spacing w:after="60" w:line="320" w:lineRule="exact"/>
        <w:ind w:firstLine="708"/>
        <w:jc w:val="both"/>
        <w:rPr>
          <w:rFonts w:ascii="Times New Roman" w:hAnsi="Times New Roman"/>
          <w:sz w:val="24"/>
          <w:szCs w:val="24"/>
          <w:lang w:val="sk-SK"/>
        </w:rPr>
      </w:pPr>
      <w:r w:rsidRPr="00C043A8">
        <w:rPr>
          <w:rFonts w:ascii="Times New Roman" w:hAnsi="Times New Roman"/>
          <w:sz w:val="24"/>
          <w:szCs w:val="24"/>
          <w:lang w:val="sk-SK"/>
        </w:rPr>
        <w:t>Oprávnené územia, v rámci ktorých je možné realizovať projekty s finančnou podporou niektorého z programov sú určené podľa geografickej orientácie programu na úrovni NUTS III v rámci susediacich regiónov zúčastnených štátov.</w:t>
      </w:r>
    </w:p>
    <w:p w:rsidR="001B0C88" w:rsidP="00417B3A">
      <w:pPr>
        <w:bidi w:val="0"/>
        <w:spacing w:after="60" w:line="320" w:lineRule="exact"/>
        <w:ind w:firstLine="708"/>
        <w:jc w:val="both"/>
        <w:rPr>
          <w:rFonts w:ascii="Times New Roman" w:hAnsi="Times New Roman"/>
          <w:sz w:val="24"/>
          <w:szCs w:val="24"/>
          <w:lang w:val="sk-SK"/>
        </w:rPr>
      </w:pPr>
      <w:r w:rsidRPr="00C043A8" w:rsidR="007B594B">
        <w:rPr>
          <w:rFonts w:ascii="Times New Roman" w:hAnsi="Times New Roman"/>
          <w:sz w:val="24"/>
          <w:szCs w:val="24"/>
          <w:lang w:val="sk-SK"/>
        </w:rPr>
        <w:t xml:space="preserve">Výzvy na predkladanie žiadostí o poskytnutie finančného príspevku z ERDF za jednotlivé programy boli vyhlasované priebežne. V rámci programu cezhraničnej spolupráce SR-ČR 2007-2013 s alokáciou 92 740 141,- </w:t>
      </w:r>
      <w:r w:rsidR="00AB6283">
        <w:rPr>
          <w:rFonts w:ascii="Times New Roman" w:hAnsi="Times New Roman"/>
          <w:sz w:val="24"/>
          <w:szCs w:val="24"/>
          <w:lang w:val="sk-SK"/>
        </w:rPr>
        <w:t>€</w:t>
      </w:r>
      <w:r w:rsidRPr="00C043A8" w:rsidR="007B594B">
        <w:rPr>
          <w:rFonts w:ascii="Times New Roman" w:hAnsi="Times New Roman"/>
          <w:sz w:val="24"/>
          <w:szCs w:val="24"/>
          <w:lang w:val="sk-SK"/>
        </w:rPr>
        <w:t xml:space="preserve"> z prostriedkov ERDF boli doteraz vyhlásené štyri výzvy na predkladanie žiadostí o poskytnutie finančného príspevku. </w:t>
      </w:r>
      <w:r w:rsidRPr="00683B2A">
        <w:rPr>
          <w:rFonts w:ascii="Times New Roman" w:hAnsi="Times New Roman"/>
          <w:sz w:val="24"/>
          <w:szCs w:val="24"/>
          <w:lang w:val="sk-SK"/>
        </w:rPr>
        <w:t>K 31.12.2012 program eviduje 216 schválených projektov vo výške 88,5 mil. € (za zdroj ERDF) a 182 zmlúv o poskytnutí finančného príspevku z ERDF v celkovej výške takmer 78,5 mil. €. K uvedenému obdobiu bolo prijímateľom vyplatených  46,9 mil. € (za zdroj ERDF), čo tvorí 50,6 % zo záväzku pre program.</w:t>
      </w:r>
      <w:r w:rsidRPr="001B0C88">
        <w:rPr>
          <w:rFonts w:ascii="Times New Roman" w:hAnsi="Times New Roman"/>
          <w:sz w:val="24"/>
          <w:szCs w:val="24"/>
          <w:lang w:val="sk-SK"/>
        </w:rPr>
        <w:t xml:space="preserve"> </w:t>
      </w:r>
    </w:p>
    <w:p w:rsidR="007B594B" w:rsidRPr="00295A6D" w:rsidP="00417B3A">
      <w:pPr>
        <w:bidi w:val="0"/>
        <w:spacing w:after="60" w:line="320" w:lineRule="exact"/>
        <w:ind w:firstLine="708"/>
        <w:jc w:val="both"/>
        <w:rPr>
          <w:rFonts w:ascii="Times New Roman" w:hAnsi="Times New Roman"/>
          <w:sz w:val="24"/>
          <w:szCs w:val="24"/>
          <w:lang w:val="sk-SK"/>
        </w:rPr>
      </w:pPr>
      <w:r w:rsidRPr="00295A6D">
        <w:rPr>
          <w:rFonts w:ascii="Times New Roman" w:hAnsi="Times New Roman"/>
          <w:sz w:val="24"/>
          <w:szCs w:val="24"/>
          <w:lang w:val="sk-SK"/>
        </w:rPr>
        <w:t>Na program cezhraničnej spolupráce  Maďarsko - Slovensko bolo alokovaných 176</w:t>
      </w:r>
      <w:r w:rsidRPr="00295A6D" w:rsidR="00A95476">
        <w:rPr>
          <w:rFonts w:ascii="Times New Roman" w:hAnsi="Times New Roman"/>
          <w:sz w:val="24"/>
          <w:szCs w:val="24"/>
          <w:lang w:val="sk-SK"/>
        </w:rPr>
        <w:t> </w:t>
      </w:r>
      <w:r w:rsidRPr="00295A6D">
        <w:rPr>
          <w:rFonts w:ascii="Times New Roman" w:hAnsi="Times New Roman"/>
          <w:sz w:val="24"/>
          <w:szCs w:val="24"/>
          <w:lang w:val="sk-SK"/>
        </w:rPr>
        <w:t xml:space="preserve">496 479,- </w:t>
      </w:r>
      <w:r w:rsidRPr="00295A6D" w:rsidR="00AB6283">
        <w:rPr>
          <w:rFonts w:ascii="Times New Roman" w:hAnsi="Times New Roman"/>
          <w:sz w:val="24"/>
          <w:szCs w:val="24"/>
          <w:lang w:val="sk-SK"/>
        </w:rPr>
        <w:t>€</w:t>
      </w:r>
      <w:r w:rsidRPr="00295A6D">
        <w:rPr>
          <w:rFonts w:ascii="Times New Roman" w:hAnsi="Times New Roman"/>
          <w:sz w:val="24"/>
          <w:szCs w:val="24"/>
          <w:lang w:val="sk-SK"/>
        </w:rPr>
        <w:t xml:space="preserve"> z prostriedkov ERDF. Do konca roka 2012 bolo vyčerpaných takmer 5</w:t>
      </w:r>
      <w:r w:rsidRPr="00295A6D" w:rsidR="00402D05">
        <w:rPr>
          <w:rFonts w:ascii="Times New Roman" w:hAnsi="Times New Roman"/>
          <w:sz w:val="24"/>
          <w:szCs w:val="24"/>
          <w:lang w:val="sk-SK"/>
        </w:rPr>
        <w:t>6</w:t>
      </w:r>
      <w:r w:rsidRPr="00295A6D">
        <w:rPr>
          <w:rFonts w:ascii="Times New Roman" w:hAnsi="Times New Roman"/>
          <w:sz w:val="24"/>
          <w:szCs w:val="24"/>
          <w:lang w:val="sk-SK"/>
        </w:rPr>
        <w:t xml:space="preserve"> mil. </w:t>
      </w:r>
      <w:r w:rsidRPr="00295A6D" w:rsidR="00AB6283">
        <w:rPr>
          <w:rFonts w:ascii="Times New Roman" w:hAnsi="Times New Roman"/>
          <w:sz w:val="24"/>
          <w:szCs w:val="24"/>
          <w:lang w:val="sk-SK"/>
        </w:rPr>
        <w:t>€</w:t>
      </w:r>
      <w:r w:rsidRPr="00295A6D">
        <w:rPr>
          <w:rFonts w:ascii="Times New Roman" w:hAnsi="Times New Roman"/>
          <w:sz w:val="24"/>
          <w:szCs w:val="24"/>
          <w:lang w:val="sk-SK"/>
        </w:rPr>
        <w:t>, čo predstavuje 3</w:t>
      </w:r>
      <w:r w:rsidRPr="00295A6D" w:rsidR="00402D05">
        <w:rPr>
          <w:rFonts w:ascii="Times New Roman" w:hAnsi="Times New Roman"/>
          <w:sz w:val="24"/>
          <w:szCs w:val="24"/>
          <w:lang w:val="sk-SK"/>
        </w:rPr>
        <w:t>1</w:t>
      </w:r>
      <w:r w:rsidRPr="00295A6D">
        <w:rPr>
          <w:rFonts w:ascii="Times New Roman" w:hAnsi="Times New Roman"/>
          <w:sz w:val="24"/>
          <w:szCs w:val="24"/>
          <w:lang w:val="sk-SK"/>
        </w:rPr>
        <w:t>,</w:t>
      </w:r>
      <w:r w:rsidRPr="00295A6D" w:rsidR="00402D05">
        <w:rPr>
          <w:rFonts w:ascii="Times New Roman" w:hAnsi="Times New Roman"/>
          <w:sz w:val="24"/>
          <w:szCs w:val="24"/>
          <w:lang w:val="sk-SK"/>
        </w:rPr>
        <w:t>6</w:t>
      </w:r>
      <w:r w:rsidRPr="00295A6D">
        <w:rPr>
          <w:rFonts w:ascii="Times New Roman" w:hAnsi="Times New Roman"/>
          <w:sz w:val="24"/>
          <w:szCs w:val="24"/>
          <w:lang w:val="sk-SK"/>
        </w:rPr>
        <w:t>9</w:t>
      </w:r>
      <w:r w:rsidRPr="00295A6D" w:rsidR="00A95476">
        <w:rPr>
          <w:rFonts w:ascii="Times New Roman" w:hAnsi="Times New Roman"/>
          <w:sz w:val="24"/>
          <w:szCs w:val="24"/>
          <w:lang w:val="sk-SK"/>
        </w:rPr>
        <w:t xml:space="preserve"> </w:t>
      </w:r>
      <w:r w:rsidRPr="00295A6D">
        <w:rPr>
          <w:rFonts w:ascii="Times New Roman" w:hAnsi="Times New Roman"/>
          <w:sz w:val="24"/>
          <w:szCs w:val="24"/>
          <w:lang w:val="sk-SK"/>
        </w:rPr>
        <w:t>% z celkovej alokácie programu. V rámci programu bolo schválených 340 žiadostí o poskytnutie finančného príspevku.</w:t>
      </w:r>
    </w:p>
    <w:p w:rsidR="007B594B" w:rsidRPr="00295A6D" w:rsidP="00417B3A">
      <w:pPr>
        <w:bidi w:val="0"/>
        <w:spacing w:after="60" w:line="320" w:lineRule="exact"/>
        <w:ind w:firstLine="708"/>
        <w:jc w:val="both"/>
        <w:rPr>
          <w:rFonts w:ascii="Times New Roman" w:hAnsi="Times New Roman"/>
          <w:sz w:val="24"/>
          <w:szCs w:val="24"/>
          <w:lang w:val="sk-SK"/>
        </w:rPr>
      </w:pPr>
      <w:r w:rsidRPr="00295A6D">
        <w:rPr>
          <w:rFonts w:ascii="Times New Roman" w:hAnsi="Times New Roman"/>
          <w:sz w:val="24"/>
          <w:szCs w:val="24"/>
          <w:lang w:val="sk-SK"/>
        </w:rPr>
        <w:t xml:space="preserve">Schválená alokácia ERDF pre Program cezhraničnej spolupráce Poľsko – Slovenská republika 2007-2013 činí 157 407 763,- </w:t>
      </w:r>
      <w:r w:rsidRPr="00295A6D" w:rsidR="00AB6283">
        <w:rPr>
          <w:rFonts w:ascii="Times New Roman" w:hAnsi="Times New Roman"/>
          <w:sz w:val="24"/>
          <w:szCs w:val="24"/>
          <w:lang w:val="sk-SK"/>
        </w:rPr>
        <w:t>€</w:t>
      </w:r>
      <w:r w:rsidRPr="00295A6D">
        <w:rPr>
          <w:rFonts w:ascii="Times New Roman" w:hAnsi="Times New Roman"/>
          <w:sz w:val="24"/>
          <w:szCs w:val="24"/>
          <w:lang w:val="sk-SK"/>
        </w:rPr>
        <w:t xml:space="preserve">. V rámci programu boli vyhlásené 2 výzvy na predkladanie žiadostí o poskytnutie FP. K 31. decembru 2012 bolo schválených 111 projektov v hodnote viac ako 162 mil. </w:t>
      </w:r>
      <w:r w:rsidRPr="00295A6D" w:rsidR="00AB6283">
        <w:rPr>
          <w:rFonts w:ascii="Times New Roman" w:hAnsi="Times New Roman"/>
          <w:sz w:val="24"/>
          <w:szCs w:val="24"/>
          <w:lang w:val="sk-SK"/>
        </w:rPr>
        <w:t>€</w:t>
      </w:r>
      <w:r w:rsidRPr="00295A6D">
        <w:rPr>
          <w:rFonts w:ascii="Times New Roman" w:hAnsi="Times New Roman"/>
          <w:sz w:val="24"/>
          <w:szCs w:val="24"/>
          <w:lang w:val="sk-SK"/>
        </w:rPr>
        <w:t xml:space="preserve"> z ERDF. K uvedenému dátumu dosiahlo čerpanie prostriedkov ERDF za program sumu 73,2 mil. </w:t>
      </w:r>
      <w:r w:rsidRPr="00295A6D" w:rsidR="00AB6283">
        <w:rPr>
          <w:rFonts w:ascii="Times New Roman" w:hAnsi="Times New Roman"/>
          <w:sz w:val="24"/>
          <w:szCs w:val="24"/>
          <w:lang w:val="sk-SK"/>
        </w:rPr>
        <w:t>€</w:t>
      </w:r>
      <w:r w:rsidRPr="00295A6D">
        <w:rPr>
          <w:rFonts w:ascii="Times New Roman" w:hAnsi="Times New Roman"/>
          <w:sz w:val="24"/>
          <w:szCs w:val="24"/>
          <w:lang w:val="sk-SK"/>
        </w:rPr>
        <w:t xml:space="preserve">, čo predstavuje 46,55% alokácie na program. </w:t>
      </w:r>
    </w:p>
    <w:p w:rsidR="007B594B" w:rsidRPr="00295A6D" w:rsidP="00417B3A">
      <w:pPr>
        <w:bidi w:val="0"/>
        <w:spacing w:after="60" w:line="320" w:lineRule="exact"/>
        <w:ind w:firstLine="708"/>
        <w:jc w:val="both"/>
        <w:rPr>
          <w:rFonts w:ascii="Times New Roman" w:hAnsi="Times New Roman"/>
          <w:sz w:val="24"/>
          <w:szCs w:val="24"/>
          <w:lang w:val="sk-SK"/>
        </w:rPr>
      </w:pPr>
      <w:r w:rsidRPr="00295A6D">
        <w:rPr>
          <w:rFonts w:ascii="Times New Roman" w:hAnsi="Times New Roman"/>
          <w:sz w:val="24"/>
          <w:szCs w:val="24"/>
          <w:lang w:val="sk-SK"/>
        </w:rPr>
        <w:t>V rámci programu cezhraničnej spolupráce SK-AT 2007-2013 s alokáciou 59</w:t>
      </w:r>
      <w:r w:rsidRPr="00295A6D" w:rsidR="00A95476">
        <w:rPr>
          <w:rFonts w:ascii="Times New Roman" w:hAnsi="Times New Roman"/>
          <w:sz w:val="24"/>
          <w:szCs w:val="24"/>
          <w:lang w:val="sk-SK"/>
        </w:rPr>
        <w:t> </w:t>
      </w:r>
      <w:r w:rsidRPr="00295A6D">
        <w:rPr>
          <w:rFonts w:ascii="Times New Roman" w:hAnsi="Times New Roman"/>
          <w:sz w:val="24"/>
          <w:szCs w:val="24"/>
          <w:lang w:val="sk-SK"/>
        </w:rPr>
        <w:t>906</w:t>
      </w:r>
      <w:r w:rsidRPr="00295A6D" w:rsidR="00A95476">
        <w:rPr>
          <w:rFonts w:ascii="Times New Roman" w:hAnsi="Times New Roman"/>
          <w:sz w:val="24"/>
          <w:szCs w:val="24"/>
          <w:lang w:val="sk-SK"/>
        </w:rPr>
        <w:t> </w:t>
      </w:r>
      <w:r w:rsidRPr="00295A6D">
        <w:rPr>
          <w:rFonts w:ascii="Times New Roman" w:hAnsi="Times New Roman"/>
          <w:sz w:val="24"/>
          <w:szCs w:val="24"/>
          <w:lang w:val="sk-SK"/>
        </w:rPr>
        <w:t>355,</w:t>
      </w:r>
      <w:r w:rsidRPr="00295A6D" w:rsidR="00A95476">
        <w:rPr>
          <w:rFonts w:ascii="Times New Roman" w:hAnsi="Times New Roman"/>
          <w:sz w:val="24"/>
          <w:szCs w:val="24"/>
          <w:lang w:val="sk-SK"/>
        </w:rPr>
        <w:t>13</w:t>
      </w:r>
      <w:r w:rsidRPr="00295A6D">
        <w:rPr>
          <w:rFonts w:ascii="Times New Roman" w:hAnsi="Times New Roman"/>
          <w:sz w:val="24"/>
          <w:szCs w:val="24"/>
          <w:lang w:val="sk-SK"/>
        </w:rPr>
        <w:t xml:space="preserve"> </w:t>
      </w:r>
      <w:r w:rsidRPr="00295A6D" w:rsidR="00AB6283">
        <w:rPr>
          <w:rFonts w:ascii="Times New Roman" w:hAnsi="Times New Roman"/>
          <w:sz w:val="24"/>
          <w:szCs w:val="24"/>
          <w:lang w:val="sk-SK"/>
        </w:rPr>
        <w:t>€</w:t>
      </w:r>
      <w:r w:rsidRPr="00295A6D">
        <w:rPr>
          <w:rFonts w:ascii="Times New Roman" w:hAnsi="Times New Roman"/>
          <w:sz w:val="24"/>
          <w:szCs w:val="24"/>
          <w:lang w:val="sk-SK"/>
        </w:rPr>
        <w:t xml:space="preserve"> z prostriedkov ERDF bolo vyhlásených 10 kôl priebežnej výzvy na predkladanie žiadostí o poskytnutie finančného príspevku. K 31.12.2012 program eviduje 91 schválených projektov vo výške 56,5 mil. </w:t>
      </w:r>
      <w:r w:rsidRPr="00295A6D" w:rsidR="00AB6283">
        <w:rPr>
          <w:rFonts w:ascii="Times New Roman" w:hAnsi="Times New Roman"/>
          <w:sz w:val="24"/>
          <w:szCs w:val="24"/>
          <w:lang w:val="sk-SK"/>
        </w:rPr>
        <w:t>€</w:t>
      </w:r>
      <w:r w:rsidRPr="00295A6D">
        <w:rPr>
          <w:rFonts w:ascii="Times New Roman" w:hAnsi="Times New Roman"/>
          <w:sz w:val="24"/>
          <w:szCs w:val="24"/>
          <w:lang w:val="sk-SK"/>
        </w:rPr>
        <w:t xml:space="preserve"> (za zdroj ERDF) a 74 zmlúv o poskytnutí finančného príspevku z ERDF v celkovej výške takmer 46,7 mil. </w:t>
      </w:r>
      <w:r w:rsidRPr="00295A6D" w:rsidR="00AB6283">
        <w:rPr>
          <w:rFonts w:ascii="Times New Roman" w:hAnsi="Times New Roman"/>
          <w:sz w:val="24"/>
          <w:szCs w:val="24"/>
          <w:lang w:val="sk-SK"/>
        </w:rPr>
        <w:t>€</w:t>
      </w:r>
      <w:r w:rsidRPr="00295A6D">
        <w:rPr>
          <w:rFonts w:ascii="Times New Roman" w:hAnsi="Times New Roman"/>
          <w:sz w:val="24"/>
          <w:szCs w:val="24"/>
          <w:lang w:val="sk-SK"/>
        </w:rPr>
        <w:t xml:space="preserve">. K uvedenému obdobiu bolo prijímateľom vyplatených 16,9 mil. </w:t>
      </w:r>
      <w:r w:rsidRPr="00295A6D" w:rsidR="00AB6283">
        <w:rPr>
          <w:rFonts w:ascii="Times New Roman" w:hAnsi="Times New Roman"/>
          <w:sz w:val="24"/>
          <w:szCs w:val="24"/>
          <w:lang w:val="sk-SK"/>
        </w:rPr>
        <w:t>€</w:t>
      </w:r>
      <w:r w:rsidRPr="00295A6D">
        <w:rPr>
          <w:rFonts w:ascii="Times New Roman" w:hAnsi="Times New Roman"/>
          <w:sz w:val="24"/>
          <w:szCs w:val="24"/>
          <w:lang w:val="sk-SK"/>
        </w:rPr>
        <w:t xml:space="preserve"> (za zdroj ERDF), čo tvorí 28,2 % zo záväzku pre program. </w:t>
      </w:r>
    </w:p>
    <w:p w:rsidR="007B594B" w:rsidRPr="00C043A8" w:rsidP="00417B3A">
      <w:pPr>
        <w:bidi w:val="0"/>
        <w:spacing w:after="60" w:line="320" w:lineRule="exact"/>
        <w:ind w:firstLine="708"/>
        <w:jc w:val="both"/>
        <w:rPr>
          <w:rFonts w:ascii="Times New Roman" w:hAnsi="Times New Roman"/>
          <w:bCs/>
          <w:sz w:val="24"/>
          <w:szCs w:val="24"/>
          <w:lang w:val="sk-SK"/>
        </w:rPr>
      </w:pPr>
      <w:r w:rsidRPr="00295A6D">
        <w:rPr>
          <w:rFonts w:ascii="Times New Roman" w:hAnsi="Times New Roman"/>
          <w:bCs/>
          <w:sz w:val="24"/>
          <w:szCs w:val="24"/>
          <w:lang w:val="sk-SK"/>
        </w:rPr>
        <w:t xml:space="preserve">Čerpanie programu </w:t>
      </w:r>
      <w:r w:rsidRPr="00295A6D">
        <w:rPr>
          <w:rFonts w:ascii="Times New Roman" w:hAnsi="Times New Roman"/>
          <w:sz w:val="24"/>
          <w:szCs w:val="24"/>
          <w:lang w:val="sk-SK"/>
        </w:rPr>
        <w:t xml:space="preserve">cezhraničnej spolupráce ENPI HU-SK-RO-UA 2007-2013 je v súčasnosti </w:t>
      </w:r>
      <w:r w:rsidRPr="00295A6D">
        <w:rPr>
          <w:rFonts w:ascii="Times New Roman" w:hAnsi="Times New Roman"/>
          <w:bCs/>
          <w:sz w:val="24"/>
          <w:szCs w:val="24"/>
          <w:lang w:val="sk-SK"/>
        </w:rPr>
        <w:t xml:space="preserve"> 2</w:t>
      </w:r>
      <w:r w:rsidRPr="00295A6D" w:rsidR="00C87469">
        <w:rPr>
          <w:rFonts w:ascii="Times New Roman" w:hAnsi="Times New Roman"/>
          <w:bCs/>
          <w:sz w:val="24"/>
          <w:szCs w:val="24"/>
          <w:lang w:val="sk-SK"/>
        </w:rPr>
        <w:t>1</w:t>
      </w:r>
      <w:r w:rsidRPr="00295A6D">
        <w:rPr>
          <w:rFonts w:ascii="Times New Roman" w:hAnsi="Times New Roman"/>
          <w:bCs/>
          <w:sz w:val="24"/>
          <w:szCs w:val="24"/>
          <w:lang w:val="sk-SK"/>
        </w:rPr>
        <w:t xml:space="preserve">,39 mil. </w:t>
      </w:r>
      <w:r w:rsidRPr="00295A6D" w:rsidR="00AB6283">
        <w:rPr>
          <w:rFonts w:ascii="Times New Roman" w:hAnsi="Times New Roman"/>
          <w:bCs/>
          <w:sz w:val="24"/>
          <w:szCs w:val="24"/>
          <w:lang w:val="sk-SK"/>
        </w:rPr>
        <w:t>€</w:t>
      </w:r>
      <w:r w:rsidRPr="00295A6D">
        <w:rPr>
          <w:rFonts w:ascii="Times New Roman" w:hAnsi="Times New Roman"/>
          <w:bCs/>
          <w:sz w:val="24"/>
          <w:szCs w:val="24"/>
          <w:lang w:val="sk-SK"/>
        </w:rPr>
        <w:t xml:space="preserve"> z prostriedkov ENPI, čo predstavuje približne </w:t>
      </w:r>
      <w:r w:rsidRPr="00295A6D" w:rsidR="00C87469">
        <w:rPr>
          <w:rFonts w:ascii="Times New Roman" w:hAnsi="Times New Roman"/>
          <w:bCs/>
          <w:sz w:val="24"/>
          <w:szCs w:val="24"/>
          <w:lang w:val="sk-SK"/>
        </w:rPr>
        <w:t>31</w:t>
      </w:r>
      <w:r w:rsidRPr="00295A6D">
        <w:rPr>
          <w:rFonts w:ascii="Times New Roman" w:hAnsi="Times New Roman"/>
          <w:bCs/>
          <w:sz w:val="24"/>
          <w:szCs w:val="24"/>
          <w:lang w:val="sk-SK"/>
        </w:rPr>
        <w:t>,16 % alokácie</w:t>
      </w:r>
      <w:r w:rsidRPr="00C043A8">
        <w:rPr>
          <w:rFonts w:ascii="Times New Roman" w:hAnsi="Times New Roman"/>
          <w:bCs/>
          <w:sz w:val="24"/>
          <w:szCs w:val="24"/>
          <w:lang w:val="sk-SK"/>
        </w:rPr>
        <w:t xml:space="preserve"> pre program V súčasnosti prebieha uzatváranie 30 zmlúv z 3. kola výzvy zo zdrojov ENPI a príprava 27 zmlúv zo štátneho rozpočtu SR. </w:t>
      </w:r>
    </w:p>
    <w:p w:rsidR="007B594B" w:rsidRPr="00C043A8" w:rsidP="00781DE6">
      <w:pPr>
        <w:bidi w:val="0"/>
        <w:spacing w:after="60" w:line="320" w:lineRule="exact"/>
        <w:ind w:firstLine="708"/>
        <w:jc w:val="both"/>
        <w:rPr>
          <w:rFonts w:ascii="Times New Roman" w:hAnsi="Times New Roman"/>
          <w:sz w:val="24"/>
          <w:szCs w:val="24"/>
          <w:lang w:val="sk-SK"/>
        </w:rPr>
      </w:pPr>
      <w:r w:rsidRPr="00C043A8">
        <w:rPr>
          <w:rFonts w:ascii="Times New Roman" w:hAnsi="Times New Roman"/>
          <w:sz w:val="24"/>
          <w:szCs w:val="24"/>
          <w:lang w:val="sk-SK"/>
        </w:rPr>
        <w:t>V programoch cezhraničnej spolupráce sa v roku 2013 predpokladá zrýchlenie čerpania kontrahovaných prostriedkov.</w:t>
      </w:r>
    </w:p>
    <w:p w:rsidR="007B594B" w:rsidP="00781DE6">
      <w:pPr>
        <w:bidi w:val="0"/>
        <w:spacing w:after="60" w:line="320" w:lineRule="exact"/>
        <w:rPr>
          <w:rFonts w:ascii="Times New Roman" w:hAnsi="Times New Roman"/>
          <w:sz w:val="24"/>
          <w:szCs w:val="24"/>
          <w:lang w:val="sk-SK"/>
        </w:rPr>
      </w:pPr>
    </w:p>
    <w:p w:rsidR="005D7DD4" w:rsidP="00781DE6">
      <w:pPr>
        <w:bidi w:val="0"/>
        <w:spacing w:after="60" w:line="320" w:lineRule="exact"/>
        <w:rPr>
          <w:rFonts w:ascii="Times New Roman" w:hAnsi="Times New Roman"/>
          <w:sz w:val="24"/>
          <w:szCs w:val="24"/>
          <w:lang w:val="sk-SK"/>
        </w:rPr>
      </w:pPr>
    </w:p>
    <w:p w:rsidR="005D7DD4" w:rsidP="00781DE6">
      <w:pPr>
        <w:bidi w:val="0"/>
        <w:spacing w:after="60" w:line="320" w:lineRule="exact"/>
        <w:rPr>
          <w:rFonts w:ascii="Times New Roman" w:hAnsi="Times New Roman"/>
          <w:sz w:val="24"/>
          <w:szCs w:val="24"/>
          <w:lang w:val="sk-SK"/>
        </w:rPr>
      </w:pPr>
    </w:p>
    <w:p w:rsidR="005D7DD4" w:rsidP="00781DE6">
      <w:pPr>
        <w:bidi w:val="0"/>
        <w:spacing w:after="60" w:line="320" w:lineRule="exact"/>
        <w:rPr>
          <w:rFonts w:ascii="Times New Roman" w:hAnsi="Times New Roman"/>
          <w:sz w:val="24"/>
          <w:szCs w:val="24"/>
          <w:lang w:val="sk-SK"/>
        </w:rPr>
      </w:pPr>
    </w:p>
    <w:p w:rsidR="005D7DD4" w:rsidP="00781DE6">
      <w:pPr>
        <w:bidi w:val="0"/>
        <w:spacing w:after="60" w:line="320" w:lineRule="exact"/>
        <w:rPr>
          <w:rFonts w:ascii="Times New Roman" w:hAnsi="Times New Roman"/>
          <w:sz w:val="24"/>
          <w:szCs w:val="24"/>
          <w:lang w:val="sk-SK"/>
        </w:rPr>
      </w:pPr>
    </w:p>
    <w:p w:rsidR="005D7DD4" w:rsidRPr="00C043A8" w:rsidP="00781DE6">
      <w:pPr>
        <w:bidi w:val="0"/>
        <w:spacing w:after="60" w:line="320" w:lineRule="exact"/>
        <w:rPr>
          <w:rFonts w:ascii="Times New Roman" w:hAnsi="Times New Roman"/>
          <w:sz w:val="24"/>
          <w:szCs w:val="24"/>
          <w:lang w:val="sk-SK"/>
        </w:rPr>
      </w:pPr>
    </w:p>
    <w:p w:rsidR="0016395B" w:rsidRPr="00C043A8" w:rsidP="0016395B">
      <w:pPr>
        <w:pStyle w:val="Heading3"/>
        <w:bidi w:val="0"/>
        <w:rPr>
          <w:rFonts w:ascii="Times New Roman" w:hAnsi="Times New Roman"/>
          <w:iCs/>
          <w:sz w:val="24"/>
          <w:szCs w:val="24"/>
          <w:lang w:val="sk-SK"/>
        </w:rPr>
      </w:pPr>
      <w:bookmarkStart w:id="0" w:name="_Toc323578276"/>
      <w:r w:rsidRPr="00C043A8">
        <w:rPr>
          <w:rFonts w:ascii="Times New Roman" w:hAnsi="Times New Roman"/>
          <w:iCs/>
          <w:sz w:val="24"/>
          <w:szCs w:val="24"/>
          <w:lang w:val="sk-SK"/>
        </w:rPr>
        <w:t xml:space="preserve">Stav fyzického pokroku </w:t>
      </w:r>
      <w:r w:rsidRPr="00C043A8" w:rsidR="00020A3D">
        <w:rPr>
          <w:rFonts w:ascii="Times New Roman" w:hAnsi="Times New Roman"/>
          <w:iCs/>
          <w:sz w:val="24"/>
          <w:szCs w:val="24"/>
          <w:lang w:val="sk-SK"/>
        </w:rPr>
        <w:t xml:space="preserve">Regionálneho </w:t>
      </w:r>
      <w:r w:rsidRPr="00C043A8">
        <w:rPr>
          <w:rFonts w:ascii="Times New Roman" w:hAnsi="Times New Roman"/>
          <w:iCs/>
          <w:sz w:val="24"/>
          <w:szCs w:val="24"/>
          <w:lang w:val="sk-SK"/>
        </w:rPr>
        <w:t>operačného programu</w:t>
      </w:r>
      <w:bookmarkEnd w:id="0"/>
    </w:p>
    <w:p w:rsidR="00020A3D" w:rsidRPr="00C043A8" w:rsidP="00020A3D">
      <w:pPr>
        <w:bidi w:val="0"/>
        <w:rPr>
          <w:rFonts w:ascii="Times New Roman" w:hAnsi="Times New Roman"/>
          <w:sz w:val="24"/>
          <w:szCs w:val="24"/>
          <w:highlight w:val="yellow"/>
          <w:lang w:val="sk-SK"/>
        </w:rPr>
      </w:pPr>
    </w:p>
    <w:p w:rsidR="00781DE6" w:rsidRPr="000C5E86" w:rsidP="00020A3D">
      <w:pPr>
        <w:bidi w:val="0"/>
        <w:spacing w:after="120"/>
        <w:jc w:val="both"/>
        <w:rPr>
          <w:rFonts w:ascii="Times New Roman" w:hAnsi="Times New Roman"/>
          <w:b/>
          <w:sz w:val="24"/>
          <w:szCs w:val="24"/>
          <w:lang w:val="sk-SK"/>
        </w:rPr>
      </w:pPr>
      <w:r w:rsidRPr="000C5E86" w:rsidR="00020A3D">
        <w:rPr>
          <w:rFonts w:ascii="Times New Roman" w:hAnsi="Times New Roman"/>
          <w:b/>
          <w:sz w:val="24"/>
          <w:szCs w:val="24"/>
          <w:lang w:val="sk-SK"/>
        </w:rPr>
        <w:t>Rozdelenie podpory podľa typu prijímateľa v rámci opatrenia 1.1 ROP k 31.12.2012</w:t>
      </w:r>
      <w:r w:rsidRPr="000C5E86">
        <w:rPr>
          <w:rFonts w:ascii="Times New Roman" w:hAnsi="Times New Roman"/>
          <w:b/>
          <w:sz w:val="24"/>
          <w:szCs w:val="24"/>
          <w:lang w:val="sk-SK"/>
        </w:rPr>
        <w:t xml:space="preserve"> </w:t>
      </w:r>
    </w:p>
    <w:p w:rsidR="00020A3D" w:rsidRPr="00C043A8" w:rsidP="000C5E86">
      <w:pPr>
        <w:bidi w:val="0"/>
        <w:spacing w:after="120"/>
        <w:ind w:left="6372" w:hanging="135"/>
        <w:jc w:val="both"/>
        <w:rPr>
          <w:rFonts w:ascii="Times New Roman" w:hAnsi="Times New Roman"/>
          <w:sz w:val="24"/>
          <w:szCs w:val="24"/>
          <w:lang w:val="sk-SK"/>
        </w:rPr>
      </w:pPr>
      <w:r w:rsidRPr="00C043A8" w:rsidR="00781DE6">
        <w:rPr>
          <w:rFonts w:ascii="Times New Roman" w:hAnsi="Times New Roman"/>
          <w:sz w:val="24"/>
          <w:szCs w:val="24"/>
          <w:lang w:val="sk-SK"/>
        </w:rPr>
        <w:t>Graf č.1:</w:t>
      </w:r>
    </w:p>
    <w:p w:rsidR="00020A3D" w:rsidRPr="00C043A8" w:rsidP="00020A3D">
      <w:pPr>
        <w:bidi w:val="0"/>
        <w:spacing w:after="120"/>
        <w:jc w:val="both"/>
        <w:rPr>
          <w:rFonts w:ascii="Arial" w:hAnsi="Arial" w:cs="Arial"/>
          <w:lang w:val="sk-SK"/>
        </w:rPr>
      </w:pPr>
      <w:r>
        <w:rPr>
          <w:rFonts w:ascii="Times New Roman" w:hAnsi="Times New Roman" w:cs="Times New Roman"/>
          <w:noProof/>
          <w:rtl w:val="0"/>
          <w:cs w:val="0"/>
          <w:lang w:val="sk-SK"/>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5" o:spid="_x0000_i1026" type="#_x0000_t75" style="width:350.9pt;height:190.25pt;visibility:visible" o:oleicon="f" o:ole="" stroked="f">
            <v:imagedata r:id="rId6" o:title="" cropbottom="-52f"/>
            <o:lock v:ext="edit" aspectratio="f"/>
          </v:shape>
          <o:OLEObject Type="Embed" ProgID="Excel.Chart.8" ShapeID="Graf 5" DrawAspect="Content" ObjectID="_1" r:id="rId7"/>
        </w:object>
      </w:r>
    </w:p>
    <w:p w:rsidR="00417B3A" w:rsidRPr="00C043A8" w:rsidP="00781DE6">
      <w:pPr>
        <w:tabs>
          <w:tab w:val="num" w:pos="720"/>
        </w:tabs>
        <w:bidi w:val="0"/>
        <w:spacing w:after="60" w:line="320" w:lineRule="exact"/>
        <w:jc w:val="both"/>
        <w:rPr>
          <w:rFonts w:ascii="Times New Roman" w:hAnsi="Times New Roman"/>
          <w:sz w:val="24"/>
          <w:szCs w:val="24"/>
          <w:lang w:val="sk-SK"/>
        </w:rPr>
      </w:pPr>
    </w:p>
    <w:p w:rsidR="006F7211" w:rsidRPr="00C043A8" w:rsidP="00781DE6">
      <w:pPr>
        <w:tabs>
          <w:tab w:val="num" w:pos="720"/>
        </w:tabs>
        <w:bidi w:val="0"/>
        <w:spacing w:after="60" w:line="320" w:lineRule="exact"/>
        <w:jc w:val="both"/>
        <w:rPr>
          <w:rFonts w:ascii="Times New Roman" w:hAnsi="Times New Roman"/>
          <w:sz w:val="24"/>
          <w:szCs w:val="24"/>
          <w:lang w:val="sk-SK"/>
        </w:rPr>
      </w:pPr>
      <w:r w:rsidRPr="00C043A8" w:rsidR="00417B3A">
        <w:rPr>
          <w:rFonts w:ascii="Times New Roman" w:hAnsi="Times New Roman"/>
          <w:sz w:val="24"/>
          <w:szCs w:val="24"/>
          <w:lang w:val="sk-SK"/>
        </w:rPr>
        <w:tab/>
      </w:r>
      <w:r w:rsidRPr="00C043A8">
        <w:rPr>
          <w:rFonts w:ascii="Times New Roman" w:hAnsi="Times New Roman"/>
          <w:sz w:val="24"/>
          <w:szCs w:val="24"/>
          <w:lang w:val="sk-SK"/>
        </w:rPr>
        <w:t>S ohľadom na závažnosť problematiky v súvislosti s deficitom finančných zdrojov na krytie aktuálnych pohľadávok prijímateľov deklarovaných v žiadostiach o platbu v rámci prioritnej osi 1 ROP bola začiatkom roku 2012 vykonaná druhá revízia ROP, ktorej predmetom boli úspory dosiahnuté v realizovaných projektoch za obdobie február – december 2011</w:t>
      </w:r>
      <w:r>
        <w:rPr>
          <w:rFonts w:ascii="Times New Roman" w:hAnsi="Times New Roman"/>
          <w:sz w:val="24"/>
          <w:szCs w:val="24"/>
          <w:vertAlign w:val="superscript"/>
          <w:rtl w:val="0"/>
          <w:lang w:val="sk-SK"/>
        </w:rPr>
        <w:footnoteReference w:id="2"/>
      </w:r>
      <w:r w:rsidRPr="00C043A8">
        <w:rPr>
          <w:rFonts w:ascii="Times New Roman" w:hAnsi="Times New Roman"/>
          <w:sz w:val="24"/>
          <w:szCs w:val="24"/>
          <w:lang w:val="sk-SK"/>
        </w:rPr>
        <w:t xml:space="preserve">. Na základe druhej revízie bola alokácia prioritnej osi 1 ROP navýšená o 31 742 535,00 </w:t>
      </w:r>
      <w:r w:rsidR="00AB6283">
        <w:rPr>
          <w:rFonts w:ascii="Times New Roman" w:hAnsi="Times New Roman"/>
          <w:sz w:val="24"/>
          <w:szCs w:val="24"/>
          <w:lang w:val="sk-SK"/>
        </w:rPr>
        <w:t>€</w:t>
      </w:r>
      <w:r w:rsidRPr="00C043A8">
        <w:rPr>
          <w:rFonts w:ascii="Times New Roman" w:hAnsi="Times New Roman"/>
          <w:sz w:val="24"/>
          <w:szCs w:val="24"/>
          <w:lang w:val="sk-SK"/>
        </w:rPr>
        <w:t xml:space="preserve">. </w:t>
      </w:r>
    </w:p>
    <w:p w:rsidR="006F7211" w:rsidRPr="00C043A8" w:rsidP="00781DE6">
      <w:pPr>
        <w:tabs>
          <w:tab w:val="num" w:pos="720"/>
        </w:tabs>
        <w:bidi w:val="0"/>
        <w:spacing w:after="60" w:line="320" w:lineRule="exact"/>
        <w:jc w:val="both"/>
        <w:rPr>
          <w:rFonts w:ascii="Times New Roman" w:hAnsi="Times New Roman"/>
          <w:sz w:val="24"/>
          <w:szCs w:val="24"/>
          <w:lang w:val="sk-SK"/>
        </w:rPr>
      </w:pPr>
      <w:r w:rsidRPr="00C043A8" w:rsidR="00417B3A">
        <w:rPr>
          <w:rFonts w:ascii="Times New Roman" w:hAnsi="Times New Roman"/>
          <w:sz w:val="24"/>
          <w:szCs w:val="24"/>
          <w:lang w:val="sk-SK"/>
        </w:rPr>
        <w:tab/>
      </w:r>
      <w:r w:rsidRPr="00C043A8">
        <w:rPr>
          <w:rFonts w:ascii="Times New Roman" w:hAnsi="Times New Roman"/>
          <w:sz w:val="24"/>
          <w:szCs w:val="24"/>
          <w:lang w:val="sk-SK"/>
        </w:rPr>
        <w:t>S cieľom vyriešenia danej situácie a získania potrebných finančných zdrojov na financovanie všetkých schválených projektov v prioritnej osi 1 ROP bola v roku 2012 vykonaná aj tretia revízia ROP, ktorá umožní využitie úspor dosiahnutých za obdobie január – máj 2012</w:t>
      </w:r>
      <w:r>
        <w:rPr>
          <w:rFonts w:ascii="Times New Roman" w:hAnsi="Times New Roman"/>
          <w:sz w:val="24"/>
          <w:szCs w:val="24"/>
          <w:vertAlign w:val="superscript"/>
          <w:rtl w:val="0"/>
          <w:lang w:val="sk-SK"/>
        </w:rPr>
        <w:footnoteReference w:id="3"/>
      </w:r>
      <w:r w:rsidRPr="00C043A8">
        <w:rPr>
          <w:rFonts w:ascii="Times New Roman" w:hAnsi="Times New Roman"/>
          <w:sz w:val="24"/>
          <w:szCs w:val="24"/>
          <w:lang w:val="sk-SK"/>
        </w:rPr>
        <w:t xml:space="preserve">. Alokácia prioritnej osi 1 ROP bola touto revíziou navýšená o 30 497 401,00 </w:t>
      </w:r>
      <w:r w:rsidR="00AB6283">
        <w:rPr>
          <w:rFonts w:ascii="Times New Roman" w:hAnsi="Times New Roman"/>
          <w:sz w:val="24"/>
          <w:szCs w:val="24"/>
          <w:lang w:val="sk-SK"/>
        </w:rPr>
        <w:t>€</w:t>
      </w:r>
      <w:r w:rsidRPr="00C043A8">
        <w:rPr>
          <w:rFonts w:ascii="Times New Roman" w:hAnsi="Times New Roman"/>
          <w:sz w:val="24"/>
          <w:szCs w:val="24"/>
          <w:lang w:val="sk-SK"/>
        </w:rPr>
        <w:t xml:space="preserve"> a deficit znížený o 117,8 mil. </w:t>
      </w:r>
      <w:r w:rsidR="00AB6283">
        <w:rPr>
          <w:rFonts w:ascii="Times New Roman" w:hAnsi="Times New Roman"/>
          <w:sz w:val="24"/>
          <w:szCs w:val="24"/>
          <w:lang w:val="sk-SK"/>
        </w:rPr>
        <w:t>€</w:t>
      </w:r>
      <w:r w:rsidRPr="00C043A8">
        <w:rPr>
          <w:rFonts w:ascii="Times New Roman" w:hAnsi="Times New Roman"/>
          <w:sz w:val="24"/>
          <w:szCs w:val="24"/>
          <w:lang w:val="sk-SK"/>
        </w:rPr>
        <w:t xml:space="preserve"> t. j. na 75,9 mil</w:t>
      </w:r>
      <w:r w:rsidRPr="00C043A8">
        <w:rPr>
          <w:rFonts w:ascii="Times New Roman" w:hAnsi="Times New Roman"/>
          <w:color w:val="4BACC6"/>
          <w:sz w:val="24"/>
          <w:szCs w:val="24"/>
          <w:lang w:val="sk-SK"/>
        </w:rPr>
        <w:t xml:space="preserve">. </w:t>
      </w:r>
      <w:r w:rsidR="00AB6283">
        <w:rPr>
          <w:rFonts w:ascii="Times New Roman" w:hAnsi="Times New Roman"/>
          <w:sz w:val="24"/>
          <w:szCs w:val="24"/>
          <w:lang w:val="sk-SK"/>
        </w:rPr>
        <w:t>€</w:t>
      </w:r>
      <w:r w:rsidRPr="00C043A8">
        <w:rPr>
          <w:rFonts w:ascii="Times New Roman" w:hAnsi="Times New Roman"/>
          <w:sz w:val="24"/>
          <w:szCs w:val="24"/>
          <w:lang w:val="sk-SK"/>
        </w:rPr>
        <w:t>. Úspory v rámci prioritnej osi 1 ROP boli dosiahnuté predovšetkým na základe zrušených projektov a v dôsledku zníženia rozpočtov po vykonaných verejných obstarávaniach.</w:t>
      </w:r>
    </w:p>
    <w:p w:rsidR="006F7211" w:rsidRPr="00C043A8" w:rsidP="00417B3A">
      <w:pPr>
        <w:bidi w:val="0"/>
        <w:spacing w:after="60" w:line="320" w:lineRule="exact"/>
        <w:ind w:firstLine="708"/>
        <w:jc w:val="both"/>
        <w:rPr>
          <w:rFonts w:ascii="Times New Roman" w:hAnsi="Times New Roman"/>
          <w:sz w:val="24"/>
          <w:szCs w:val="24"/>
          <w:lang w:val="sk-SK"/>
        </w:rPr>
      </w:pPr>
      <w:r w:rsidRPr="00C043A8">
        <w:rPr>
          <w:rFonts w:ascii="Times New Roman" w:hAnsi="Times New Roman"/>
          <w:sz w:val="24"/>
          <w:szCs w:val="24"/>
          <w:lang w:val="sk-SK"/>
        </w:rPr>
        <w:t>Vzhľadom na skorý začiatok a intenzitu implementácie prioritnej osi 1 ROP tieto projekty tvoria najväčší podiel na čerpaní finančných prostriedkov v ROP.</w:t>
      </w:r>
    </w:p>
    <w:p w:rsidR="006F7211" w:rsidRPr="00C043A8" w:rsidP="00417B3A">
      <w:pPr>
        <w:bidi w:val="0"/>
        <w:spacing w:after="60" w:line="320" w:lineRule="exact"/>
        <w:ind w:firstLine="708"/>
        <w:jc w:val="both"/>
        <w:rPr>
          <w:rFonts w:ascii="Times New Roman" w:hAnsi="Times New Roman"/>
          <w:sz w:val="24"/>
          <w:szCs w:val="24"/>
          <w:lang w:val="sk-SK"/>
        </w:rPr>
      </w:pPr>
      <w:r w:rsidRPr="00C043A8">
        <w:rPr>
          <w:rFonts w:ascii="Times New Roman" w:hAnsi="Times New Roman"/>
          <w:sz w:val="24"/>
          <w:szCs w:val="24"/>
          <w:lang w:val="sk-SK"/>
        </w:rPr>
        <w:t>RO pre ROP s cieľom čiastočne znížiť deficit finančných prostriedkov a získať voľné zdroje na krytie vzniknutých pohľadávok v súčasnosti pripravuje návrh štvrtej revízie ROP. Bližšie informácie o štvrtej revízii ROP budú predmetom VS o vykonávaní ROP za rok 2013.</w:t>
      </w:r>
    </w:p>
    <w:p w:rsidR="00FF7721" w:rsidRPr="00C043A8" w:rsidP="00417B3A">
      <w:pPr>
        <w:bidi w:val="0"/>
        <w:spacing w:after="60" w:line="320" w:lineRule="exact"/>
        <w:ind w:firstLine="708"/>
        <w:jc w:val="both"/>
        <w:rPr>
          <w:rFonts w:ascii="Times New Roman" w:hAnsi="Times New Roman"/>
          <w:sz w:val="24"/>
          <w:szCs w:val="24"/>
          <w:lang w:val="sk-SK"/>
        </w:rPr>
      </w:pPr>
      <w:r w:rsidRPr="00C043A8">
        <w:rPr>
          <w:rFonts w:ascii="Times New Roman" w:hAnsi="Times New Roman"/>
          <w:sz w:val="24"/>
          <w:szCs w:val="24"/>
          <w:lang w:val="sk-SK"/>
        </w:rPr>
        <w:t xml:space="preserve">K 31.12.2012 bolo v rámci prioritnej osi 1 ROP zazmluvnených 785 projektov, ktorých prehľad z hľadiska typu zariadenia  je uvedený v grafe č. 2 a prehľad podľa jednotlivých krajov v grafe č. 3. </w:t>
      </w:r>
    </w:p>
    <w:p w:rsidR="00FF7721" w:rsidRPr="00C043A8" w:rsidP="00781DE6">
      <w:pPr>
        <w:bidi w:val="0"/>
        <w:spacing w:after="60" w:line="320" w:lineRule="exact"/>
        <w:jc w:val="both"/>
        <w:rPr>
          <w:rFonts w:ascii="Times New Roman" w:hAnsi="Times New Roman"/>
          <w:sz w:val="24"/>
          <w:szCs w:val="24"/>
          <w:lang w:val="sk-SK"/>
        </w:rPr>
      </w:pPr>
    </w:p>
    <w:p w:rsidR="00FF7721" w:rsidRPr="00C043A8" w:rsidP="00781DE6">
      <w:pPr>
        <w:bidi w:val="0"/>
        <w:spacing w:after="60" w:line="320" w:lineRule="exact"/>
        <w:jc w:val="both"/>
        <w:rPr>
          <w:rFonts w:ascii="Times New Roman" w:hAnsi="Times New Roman"/>
          <w:sz w:val="24"/>
          <w:szCs w:val="24"/>
          <w:lang w:val="sk-SK"/>
        </w:rPr>
      </w:pPr>
      <w:r w:rsidRPr="00C043A8">
        <w:rPr>
          <w:rFonts w:ascii="Times New Roman" w:hAnsi="Times New Roman"/>
          <w:b/>
          <w:sz w:val="24"/>
          <w:szCs w:val="24"/>
          <w:lang w:val="sk-SK"/>
        </w:rPr>
        <w:t>Rozdelenie podpory podľa typu podporených zariadení v rámci opatrenia  1.1 ROP k 31.12.2012</w:t>
      </w:r>
      <w:r w:rsidRPr="00C043A8" w:rsidR="00781DE6">
        <w:rPr>
          <w:rFonts w:ascii="Times New Roman" w:hAnsi="Times New Roman"/>
          <w:sz w:val="24"/>
          <w:szCs w:val="24"/>
          <w:lang w:val="sk-SK"/>
        </w:rPr>
        <w:t xml:space="preserve"> </w:t>
        <w:tab/>
        <w:tab/>
        <w:tab/>
        <w:tab/>
        <w:tab/>
        <w:tab/>
        <w:tab/>
        <w:tab/>
        <w:t xml:space="preserve">Graf č. 2:  </w:t>
      </w:r>
    </w:p>
    <w:p w:rsidR="00FF7721" w:rsidRPr="00C043A8" w:rsidP="00FF7721">
      <w:pPr>
        <w:bidi w:val="0"/>
        <w:spacing w:after="120"/>
        <w:jc w:val="both"/>
        <w:rPr>
          <w:rFonts w:ascii="Times New Roman" w:hAnsi="Times New Roman"/>
          <w:sz w:val="24"/>
          <w:szCs w:val="24"/>
          <w:lang w:val="sk-SK"/>
        </w:rPr>
      </w:pPr>
      <w:r>
        <w:rPr>
          <w:rFonts w:ascii="Times New Roman" w:hAnsi="Times New Roman" w:cs="Times New Roman"/>
          <w:noProof/>
          <w:rtl w:val="0"/>
          <w:cs w:val="0"/>
          <w:lang w:val="sk-SK"/>
        </w:rPr>
        <w:object>
          <v:shape id="Graf 1" o:spid="_x0000_i1027" type="#_x0000_t75" style="width:344.2pt;height:188.75pt;visibility:visible" o:oleicon="f" o:ole="" stroked="f">
            <v:imagedata r:id="rId8" o:title="" cropbottom="-35f"/>
            <o:lock v:ext="edit" aspectratio="f"/>
          </v:shape>
          <o:OLEObject Type="Embed" ProgID="Excel.Chart.8" ShapeID="Graf 1" DrawAspect="Content" ObjectID="_2" r:id="rId9"/>
        </w:object>
      </w:r>
    </w:p>
    <w:p w:rsidR="00FF7721" w:rsidRPr="00C043A8" w:rsidP="00417B3A">
      <w:pPr>
        <w:bidi w:val="0"/>
        <w:rPr>
          <w:rFonts w:ascii="Times New Roman" w:hAnsi="Times New Roman"/>
          <w:lang w:val="sk-SK"/>
        </w:rPr>
      </w:pPr>
      <w:r w:rsidRPr="00C043A8" w:rsidR="00417B3A">
        <w:rPr>
          <w:rFonts w:ascii="Times New Roman" w:hAnsi="Times New Roman"/>
          <w:lang w:val="sk-SK"/>
        </w:rPr>
        <w:t xml:space="preserve">Prameň: </w:t>
      </w:r>
      <w:r w:rsidRPr="00C043A8">
        <w:rPr>
          <w:rFonts w:ascii="Times New Roman" w:hAnsi="Times New Roman"/>
          <w:lang w:val="sk-SK"/>
        </w:rPr>
        <w:t>RO pre ROP, 2013</w:t>
      </w:r>
    </w:p>
    <w:p w:rsidR="00FF7721" w:rsidRPr="00C043A8" w:rsidP="00FF7721">
      <w:pPr>
        <w:bidi w:val="0"/>
        <w:jc w:val="both"/>
        <w:rPr>
          <w:rFonts w:ascii="Times New Roman" w:hAnsi="Times New Roman"/>
          <w:lang w:val="sk-SK"/>
        </w:rPr>
      </w:pPr>
      <w:r w:rsidRPr="00C043A8">
        <w:rPr>
          <w:rFonts w:ascii="Times New Roman" w:hAnsi="Times New Roman"/>
          <w:lang w:val="sk-SK"/>
        </w:rPr>
        <w:t xml:space="preserve">Pozn.: do kategórie  základných škôl sú zahrnuté základné školy, špeciálne základné školy, základné umelecké školy a základné školy s materskými školami (pokiaľ pri ZŠ s MŠ prevažuje prioritná téma 77- infraštruktúra v starostlivosti o deti je zariadenie zaradené ako MŠ ). </w:t>
      </w:r>
    </w:p>
    <w:p w:rsidR="00417B3A" w:rsidRPr="00C043A8" w:rsidP="00417B3A">
      <w:pPr>
        <w:bidi w:val="0"/>
        <w:rPr>
          <w:rFonts w:ascii="Times New Roman" w:hAnsi="Times New Roman"/>
          <w:lang w:val="sk-SK"/>
        </w:rPr>
      </w:pPr>
      <w:r w:rsidRPr="00C043A8">
        <w:rPr>
          <w:rFonts w:ascii="Times New Roman" w:hAnsi="Times New Roman"/>
          <w:lang w:val="sk-SK"/>
        </w:rPr>
        <w:t>Vypracoval:</w:t>
      </w:r>
    </w:p>
    <w:p w:rsidR="00FF7721" w:rsidRPr="00C043A8" w:rsidP="00FF7721">
      <w:pPr>
        <w:bidi w:val="0"/>
        <w:jc w:val="both"/>
        <w:rPr>
          <w:rFonts w:ascii="Times New Roman" w:hAnsi="Times New Roman"/>
          <w:lang w:val="sk-SK"/>
        </w:rPr>
      </w:pPr>
    </w:p>
    <w:p w:rsidR="00FF7721" w:rsidRPr="00C043A8" w:rsidP="00781DE6">
      <w:pPr>
        <w:bidi w:val="0"/>
        <w:spacing w:after="60" w:line="320" w:lineRule="exact"/>
        <w:jc w:val="both"/>
        <w:rPr>
          <w:rFonts w:ascii="Times New Roman" w:hAnsi="Times New Roman"/>
          <w:b/>
          <w:sz w:val="24"/>
          <w:szCs w:val="24"/>
          <w:lang w:val="sk-SK"/>
        </w:rPr>
      </w:pPr>
      <w:r w:rsidRPr="00C043A8">
        <w:rPr>
          <w:rFonts w:ascii="Times New Roman" w:hAnsi="Times New Roman"/>
          <w:b/>
          <w:sz w:val="24"/>
          <w:szCs w:val="24"/>
          <w:lang w:val="sk-SK"/>
        </w:rPr>
        <w:t>Porovnanie počtu zariadení podporených v rámci opatrenia 1.1 ROP a celkového počtu škôl v rámci SR podľa jednotlivých krajov s výnimkou Bratislavského kraja</w:t>
      </w:r>
    </w:p>
    <w:p w:rsidR="00FF7721" w:rsidRPr="00C043A8" w:rsidP="000C5E86">
      <w:pPr>
        <w:bidi w:val="0"/>
        <w:spacing w:after="60" w:line="320" w:lineRule="exact"/>
        <w:ind w:left="6372" w:hanging="418"/>
        <w:jc w:val="both"/>
        <w:rPr>
          <w:rFonts w:ascii="Times New Roman" w:hAnsi="Times New Roman"/>
          <w:sz w:val="24"/>
          <w:szCs w:val="24"/>
          <w:lang w:val="sk-SK"/>
        </w:rPr>
      </w:pPr>
      <w:r w:rsidRPr="00C043A8" w:rsidR="00781DE6">
        <w:rPr>
          <w:rFonts w:ascii="Times New Roman" w:hAnsi="Times New Roman"/>
          <w:sz w:val="24"/>
          <w:szCs w:val="24"/>
          <w:lang w:val="sk-SK"/>
        </w:rPr>
        <w:t xml:space="preserve">Graf č. 3:  </w:t>
      </w:r>
    </w:p>
    <w:p w:rsidR="00FF7721" w:rsidRPr="00C043A8" w:rsidP="00FF7721">
      <w:pPr>
        <w:bidi w:val="0"/>
        <w:jc w:val="both"/>
        <w:rPr>
          <w:rFonts w:ascii="Arial" w:hAnsi="Arial" w:cs="Arial"/>
          <w:lang w:val="sk-SK"/>
        </w:rPr>
      </w:pPr>
      <w:r>
        <w:rPr>
          <w:rFonts w:ascii="Times New Roman" w:hAnsi="Times New Roman" w:cs="Times New Roman"/>
          <w:noProof/>
          <w:rtl w:val="0"/>
          <w:cs w:val="0"/>
          <w:lang w:val="sk-SK"/>
        </w:rPr>
        <w:object>
          <v:shape id="Graf 2" o:spid="_x0000_i1028" type="#_x0000_t75" style="width:351.85pt;height:185pt;visibility:visible" o:oleicon="f" o:ole="" stroked="f">
            <v:imagedata r:id="rId10" o:title="" cropbottom="-71f"/>
            <o:lock v:ext="edit" aspectratio="f"/>
          </v:shape>
          <o:OLEObject Type="Embed" ProgID="Excel.Chart.8" ShapeID="Graf 2" DrawAspect="Content" ObjectID="_3" r:id="rId11"/>
        </w:object>
      </w:r>
    </w:p>
    <w:p w:rsidR="000C5E86" w:rsidP="00417B3A">
      <w:pPr>
        <w:bidi w:val="0"/>
        <w:rPr>
          <w:rFonts w:ascii="Times New Roman" w:hAnsi="Times New Roman"/>
          <w:lang w:val="sk-SK"/>
        </w:rPr>
      </w:pPr>
    </w:p>
    <w:p w:rsidR="000C5E86" w:rsidP="00417B3A">
      <w:pPr>
        <w:bidi w:val="0"/>
        <w:rPr>
          <w:rFonts w:ascii="Times New Roman" w:hAnsi="Times New Roman"/>
          <w:lang w:val="sk-SK"/>
        </w:rPr>
      </w:pPr>
    </w:p>
    <w:p w:rsidR="00FF7721" w:rsidRPr="00C043A8" w:rsidP="00417B3A">
      <w:pPr>
        <w:bidi w:val="0"/>
        <w:rPr>
          <w:rFonts w:ascii="Times New Roman" w:hAnsi="Times New Roman"/>
          <w:lang w:val="sk-SK"/>
        </w:rPr>
      </w:pPr>
      <w:r w:rsidRPr="00C043A8" w:rsidR="00417B3A">
        <w:rPr>
          <w:rFonts w:ascii="Times New Roman" w:hAnsi="Times New Roman"/>
          <w:lang w:val="sk-SK"/>
        </w:rPr>
        <w:t>Prameň:</w:t>
      </w:r>
      <w:r w:rsidR="005D7DD4">
        <w:rPr>
          <w:rFonts w:ascii="Times New Roman" w:hAnsi="Times New Roman"/>
          <w:lang w:val="sk-SK"/>
        </w:rPr>
        <w:t xml:space="preserve"> </w:t>
      </w:r>
      <w:r w:rsidRPr="00C043A8">
        <w:rPr>
          <w:rFonts w:ascii="Times New Roman" w:hAnsi="Times New Roman"/>
          <w:lang w:val="sk-SK"/>
        </w:rPr>
        <w:t>RO pre ROP, 2013 a UIPŠ 2012/2013</w:t>
      </w:r>
    </w:p>
    <w:p w:rsidR="00FF7721" w:rsidRPr="00C043A8" w:rsidP="00FF7721">
      <w:pPr>
        <w:bidi w:val="0"/>
        <w:jc w:val="both"/>
        <w:rPr>
          <w:rFonts w:ascii="Times New Roman" w:hAnsi="Times New Roman"/>
          <w:sz w:val="24"/>
          <w:szCs w:val="24"/>
          <w:lang w:val="sk-SK"/>
        </w:rPr>
      </w:pPr>
    </w:p>
    <w:p w:rsidR="00FF7721" w:rsidRPr="00C043A8" w:rsidP="00FF7721">
      <w:pPr>
        <w:bidi w:val="0"/>
        <w:jc w:val="both"/>
        <w:rPr>
          <w:rFonts w:ascii="Times New Roman" w:hAnsi="Times New Roman"/>
          <w:sz w:val="18"/>
          <w:szCs w:val="18"/>
          <w:lang w:val="sk-SK"/>
        </w:rPr>
      </w:pPr>
    </w:p>
    <w:p w:rsidR="00FF7721" w:rsidRPr="00C043A8" w:rsidP="00FF7721">
      <w:pPr>
        <w:bidi w:val="0"/>
        <w:rPr>
          <w:rFonts w:ascii="Times New Roman" w:hAnsi="Times New Roman"/>
          <w:b/>
          <w:sz w:val="24"/>
          <w:szCs w:val="24"/>
          <w:lang w:val="sk-SK"/>
        </w:rPr>
      </w:pPr>
      <w:r w:rsidRPr="00C043A8">
        <w:rPr>
          <w:rFonts w:ascii="Times New Roman" w:hAnsi="Times New Roman"/>
          <w:b/>
          <w:sz w:val="24"/>
          <w:szCs w:val="24"/>
          <w:lang w:val="sk-SK"/>
        </w:rPr>
        <w:t>Rozdelenie riadne ukončených projektov podľa typu podporených zariadení v rámci opatrenia 1.1 ROP k 31.12.2012</w:t>
      </w:r>
    </w:p>
    <w:p w:rsidR="00FF7721" w:rsidRPr="00C043A8" w:rsidP="00781DE6">
      <w:pPr>
        <w:bidi w:val="0"/>
        <w:ind w:left="5664" w:firstLine="708"/>
        <w:rPr>
          <w:rFonts w:ascii="Times New Roman" w:hAnsi="Times New Roman"/>
          <w:sz w:val="24"/>
          <w:szCs w:val="24"/>
          <w:lang w:val="sk-SK"/>
        </w:rPr>
      </w:pPr>
      <w:r w:rsidRPr="00C043A8" w:rsidR="00781DE6">
        <w:rPr>
          <w:rFonts w:ascii="Times New Roman" w:hAnsi="Times New Roman"/>
          <w:sz w:val="24"/>
          <w:szCs w:val="24"/>
          <w:lang w:val="sk-SK"/>
        </w:rPr>
        <w:t>Graf č. 4:</w:t>
      </w:r>
    </w:p>
    <w:p w:rsidR="00FF7721" w:rsidRPr="00C043A8" w:rsidP="00FF7721">
      <w:pPr>
        <w:bidi w:val="0"/>
        <w:rPr>
          <w:rFonts w:ascii="Arial Narrow" w:hAnsi="Arial Narrow"/>
          <w:sz w:val="18"/>
          <w:szCs w:val="18"/>
          <w:lang w:val="sk-SK"/>
        </w:rPr>
      </w:pPr>
      <w:r>
        <w:rPr>
          <w:rFonts w:ascii="Times New Roman" w:hAnsi="Times New Roman" w:cs="Times New Roman"/>
          <w:noProof/>
          <w:rtl w:val="0"/>
          <w:cs w:val="0"/>
          <w:lang w:val="sk-SK"/>
        </w:rPr>
        <w:object>
          <v:shape id="Graf 3" o:spid="_x0000_i1029" type="#_x0000_t75" style="width:361.45pt;height:216.5pt;visibility:visible" o:oleicon="f" o:ole="" stroked="f">
            <v:imagedata r:id="rId12" o:title=""/>
            <o:lock v:ext="edit" aspectratio="f"/>
          </v:shape>
          <o:OLEObject Type="Embed" ProgID="Excel.Chart.8" ShapeID="Graf 3" DrawAspect="Content" ObjectID="_4" r:id="rId13"/>
        </w:object>
      </w:r>
    </w:p>
    <w:p w:rsidR="00FF7721" w:rsidRPr="00C043A8" w:rsidP="00592E94">
      <w:pPr>
        <w:autoSpaceDE w:val="0"/>
        <w:autoSpaceDN w:val="0"/>
        <w:bidi w:val="0"/>
        <w:adjustRightInd w:val="0"/>
        <w:spacing w:after="120"/>
        <w:jc w:val="both"/>
        <w:rPr>
          <w:rFonts w:ascii="Times New Roman" w:hAnsi="Times New Roman"/>
          <w:lang w:val="sk-SK"/>
        </w:rPr>
      </w:pPr>
      <w:r w:rsidRPr="00C043A8" w:rsidR="00417B3A">
        <w:rPr>
          <w:rFonts w:ascii="Times New Roman" w:hAnsi="Times New Roman"/>
          <w:lang w:val="sk-SK"/>
        </w:rPr>
        <w:t xml:space="preserve">Prameň: </w:t>
      </w:r>
      <w:r w:rsidRPr="00C043A8">
        <w:rPr>
          <w:rFonts w:ascii="Times New Roman" w:hAnsi="Times New Roman"/>
          <w:lang w:val="sk-SK"/>
        </w:rPr>
        <w:t>RO pre ROP, 2013</w:t>
      </w:r>
    </w:p>
    <w:p w:rsidR="00FF7721" w:rsidRPr="00C043A8" w:rsidP="00592E94">
      <w:pPr>
        <w:bidi w:val="0"/>
        <w:jc w:val="both"/>
        <w:rPr>
          <w:rFonts w:ascii="Times New Roman" w:hAnsi="Times New Roman"/>
          <w:lang w:val="sk-SK"/>
        </w:rPr>
      </w:pPr>
      <w:r w:rsidRPr="00C043A8">
        <w:rPr>
          <w:rFonts w:ascii="Times New Roman" w:hAnsi="Times New Roman"/>
          <w:lang w:val="sk-SK"/>
        </w:rPr>
        <w:t xml:space="preserve">Pozn.: do kategórie  základných škôl sú zahrnuté základné školy, špeciálne základné školy, základné umelecké školy a základné školy s materskými školami (pokiaľ pri ZŠ s MŠ prevažuje prioritná téma 77- infraštruktúra v starostlivosti o deti je zariadenie zaradené ako MŠ ). </w:t>
      </w:r>
    </w:p>
    <w:p w:rsidR="00417B3A" w:rsidRPr="00C043A8" w:rsidP="00417B3A">
      <w:pPr>
        <w:bidi w:val="0"/>
        <w:rPr>
          <w:rFonts w:ascii="Times New Roman" w:hAnsi="Times New Roman"/>
          <w:lang w:val="sk-SK"/>
        </w:rPr>
      </w:pPr>
      <w:r w:rsidRPr="00C043A8">
        <w:rPr>
          <w:rFonts w:ascii="Times New Roman" w:hAnsi="Times New Roman"/>
          <w:lang w:val="sk-SK"/>
        </w:rPr>
        <w:t>Vypracoval:</w:t>
      </w:r>
    </w:p>
    <w:p w:rsidR="00FF7721" w:rsidRPr="00C043A8" w:rsidP="00FF7721">
      <w:pPr>
        <w:bidi w:val="0"/>
        <w:rPr>
          <w:rFonts w:ascii="Times New Roman" w:hAnsi="Times New Roman"/>
          <w:sz w:val="24"/>
          <w:szCs w:val="24"/>
          <w:lang w:val="sk-SK"/>
        </w:rPr>
      </w:pPr>
    </w:p>
    <w:p w:rsidR="00FF7721" w:rsidRPr="00C043A8" w:rsidP="00417B3A">
      <w:pPr>
        <w:bidi w:val="0"/>
        <w:spacing w:after="60" w:line="320" w:lineRule="exact"/>
        <w:ind w:firstLine="709"/>
        <w:jc w:val="both"/>
        <w:rPr>
          <w:rFonts w:ascii="Times New Roman" w:hAnsi="Times New Roman"/>
          <w:sz w:val="24"/>
          <w:szCs w:val="24"/>
          <w:lang w:val="sk-SK"/>
        </w:rPr>
      </w:pPr>
      <w:r w:rsidRPr="00C043A8">
        <w:rPr>
          <w:rFonts w:ascii="Times New Roman" w:hAnsi="Times New Roman"/>
          <w:sz w:val="24"/>
          <w:szCs w:val="24"/>
          <w:lang w:val="sk-SK"/>
        </w:rPr>
        <w:t xml:space="preserve">V roku 2012 malo opatrenie 1.1 jednoznačne najvyšší podiel na celkovom počte riadne ukončených projektov, kde  riadne ukončených projektov bolo 610, z toho 56 základných, 56 materských a 48 stredných škôl. </w:t>
      </w:r>
    </w:p>
    <w:p w:rsidR="00FF7721" w:rsidRPr="00C043A8" w:rsidP="00417B3A">
      <w:pPr>
        <w:bidi w:val="0"/>
        <w:spacing w:after="60" w:line="320" w:lineRule="exact"/>
        <w:ind w:firstLine="709"/>
        <w:jc w:val="both"/>
        <w:rPr>
          <w:rFonts w:ascii="Times New Roman" w:hAnsi="Times New Roman"/>
          <w:sz w:val="24"/>
          <w:szCs w:val="24"/>
          <w:lang w:val="sk-SK"/>
        </w:rPr>
      </w:pPr>
      <w:r w:rsidRPr="00C043A8">
        <w:rPr>
          <w:rFonts w:ascii="Times New Roman" w:hAnsi="Times New Roman"/>
          <w:sz w:val="24"/>
          <w:szCs w:val="24"/>
          <w:lang w:val="sk-SK"/>
        </w:rPr>
        <w:t xml:space="preserve">Mimoriadne ukončené projekty zahŕňajú projekty, kde došlo k odstúpeniu od zmluvy o poskytnutí NFP (13 projektov), prevažne z dôvodu opakujúcich sa nedostatkov vo verejnom obstarávaní, resp. nedoručenia dokumentácie z procesu verejného obstarávania, ako aj projekty, kde došlo k mimoriadnemu ukončeniu ešte pred podpisom zmluvy o poskytnutí NFP (11 projektov). Dôvodom nepristúpenia k podpisu Zmluvy o NFP bolo prevažne nesplnenie podmienok poskytnutia pomoci, či zlá finančný situácia na strane žiadateľa. </w:t>
      </w:r>
    </w:p>
    <w:p w:rsidR="00FF7721" w:rsidRPr="00C043A8" w:rsidP="00417B3A">
      <w:pPr>
        <w:bidi w:val="0"/>
        <w:spacing w:after="60" w:line="320" w:lineRule="exact"/>
        <w:ind w:firstLine="709"/>
        <w:jc w:val="both"/>
        <w:rPr>
          <w:rFonts w:ascii="Times New Roman" w:hAnsi="Times New Roman"/>
          <w:sz w:val="24"/>
          <w:szCs w:val="24"/>
          <w:lang w:val="sk-SK"/>
        </w:rPr>
      </w:pPr>
      <w:r w:rsidRPr="00C043A8">
        <w:rPr>
          <w:rFonts w:ascii="Times New Roman" w:hAnsi="Times New Roman"/>
          <w:sz w:val="24"/>
          <w:szCs w:val="24"/>
          <w:lang w:val="sk-SK"/>
        </w:rPr>
        <w:t>Implementácia prioritnej osi 2 ROP – Infraštruktúra sociálnych služieb, sociálnoprávnej ochrany a sociálnej kurately začala v roku 2009. V roku 2012 boli vyhlásené 2 výzvy na predkladanie žiadostí o nenávratný finančný príspevok. Výzva s kódom ROP-2.1b-2012/01  má oprávnené aktivity zamerané na budovanie, rekonštrukciu, modernizáciu a vybavenie komunitných centier. Výzva s kódom ROP</w:t>
      </w:r>
      <w:r w:rsidRPr="00C043A8">
        <w:rPr>
          <w:rFonts w:ascii="Times New Roman" w:hAnsi="Times New Roman"/>
          <w:sz w:val="24"/>
          <w:szCs w:val="24"/>
          <w:lang w:val="sk-SK"/>
        </w:rPr>
        <w:noBreakHyphen/>
        <w:t>2.1a</w:t>
      </w:r>
      <w:r w:rsidRPr="00C043A8">
        <w:rPr>
          <w:rFonts w:ascii="Times New Roman" w:hAnsi="Times New Roman"/>
          <w:sz w:val="24"/>
          <w:szCs w:val="24"/>
          <w:lang w:val="sk-SK"/>
        </w:rPr>
        <w:noBreakHyphen/>
        <w:t xml:space="preserve">2012/01 je zameraná na podporu pilotného prístupu deinštitucionalizácie existujúcich zariadení sociálnych služieb, sociálnoprávnej ochrany detí a sociálnej kurately. </w:t>
      </w:r>
    </w:p>
    <w:p w:rsidR="00F97257" w:rsidRPr="00C043A8" w:rsidP="00417B3A">
      <w:pPr>
        <w:bidi w:val="0"/>
        <w:spacing w:after="60" w:line="320" w:lineRule="exact"/>
        <w:ind w:firstLine="709"/>
        <w:jc w:val="both"/>
        <w:rPr>
          <w:rFonts w:ascii="Times New Roman" w:hAnsi="Times New Roman"/>
          <w:sz w:val="24"/>
          <w:szCs w:val="24"/>
          <w:lang w:val="sk-SK"/>
        </w:rPr>
      </w:pPr>
      <w:r w:rsidRPr="00C043A8" w:rsidR="00FF7721">
        <w:rPr>
          <w:rFonts w:ascii="Times New Roman" w:hAnsi="Times New Roman"/>
          <w:sz w:val="24"/>
          <w:szCs w:val="24"/>
          <w:lang w:val="sk-SK"/>
        </w:rPr>
        <w:t xml:space="preserve">V porovnaní s ostanými prioritnými osami ROP možno prioritnú os 2 ROP považovať za najviac vnútorne diferencovanú. </w:t>
      </w:r>
      <w:r w:rsidRPr="00C043A8">
        <w:rPr>
          <w:rFonts w:ascii="Times New Roman" w:hAnsi="Times New Roman"/>
          <w:sz w:val="24"/>
          <w:szCs w:val="24"/>
          <w:lang w:val="sk-SK"/>
        </w:rPr>
        <w:t xml:space="preserve">V roku 2012 boli na základe výzvy ROP-2.1b-2012/01 vyhlásenej dňa 20.02.2012 prijímané žiadosti o NFP pre oblasť podpory komunitných centier a to s dátumom ukončenia prijímania žiadostí o NFP do 28.09.2012. Z dôvodu zabezpečenia dostatočného časového priestoru na vypracovanie žiadostí o NFP zo strany žiadateľov došlo zo strany RO pre ROP k zmene formálnych náležitostí výzvy a termín ukončenia prijímania žiadosti o NFP bol predĺžený do 14.12.2012. Po skončení prijímania projektov sa spustila príprava hodnotiaceho procesu s ohľadom na zistenia </w:t>
      </w:r>
      <w:r w:rsidRPr="00C043A8">
        <w:rPr>
          <w:rFonts w:ascii="Times New Roman" w:eastAsia="EUAlbertina-Regular-Identity-H" w:hAnsi="Times New Roman" w:hint="default"/>
          <w:sz w:val="24"/>
          <w:szCs w:val="24"/>
          <w:lang w:val="sk-SK"/>
        </w:rPr>
        <w:t>certifikač</w:t>
      </w:r>
      <w:r w:rsidRPr="00C043A8">
        <w:rPr>
          <w:rFonts w:ascii="Times New Roman" w:eastAsia="EUAlbertina-Regular-Identity-H" w:hAnsi="Times New Roman" w:hint="default"/>
          <w:sz w:val="24"/>
          <w:szCs w:val="24"/>
          <w:lang w:val="sk-SK"/>
        </w:rPr>
        <w:t>né</w:t>
      </w:r>
      <w:r w:rsidRPr="00C043A8">
        <w:rPr>
          <w:rFonts w:ascii="Times New Roman" w:eastAsia="EUAlbertina-Regular-Identity-H" w:hAnsi="Times New Roman" w:hint="default"/>
          <w:sz w:val="24"/>
          <w:szCs w:val="24"/>
          <w:lang w:val="sk-SK"/>
        </w:rPr>
        <w:t>ho overovania</w:t>
      </w:r>
      <w:r w:rsidRPr="00C043A8">
        <w:rPr>
          <w:rFonts w:ascii="Times New Roman" w:eastAsia="EUAlbertina-Regular-Identity-H" w:hAnsi="Times New Roman" w:hint="default"/>
          <w:sz w:val="24"/>
          <w:szCs w:val="24"/>
          <w:lang w:val="sk-SK"/>
        </w:rPr>
        <w:t xml:space="preserve"> z </w:t>
      </w:r>
      <w:r w:rsidRPr="00C043A8">
        <w:rPr>
          <w:rFonts w:ascii="Times New Roman" w:eastAsia="EUAlbertina-Regular-Identity-H" w:hAnsi="Times New Roman" w:hint="default"/>
          <w:sz w:val="24"/>
          <w:szCs w:val="24"/>
          <w:lang w:val="sk-SK"/>
        </w:rPr>
        <w:t>predchá</w:t>
      </w:r>
      <w:r w:rsidRPr="00C043A8">
        <w:rPr>
          <w:rFonts w:ascii="Times New Roman" w:eastAsia="EUAlbertina-Regular-Identity-H" w:hAnsi="Times New Roman" w:hint="default"/>
          <w:sz w:val="24"/>
          <w:szCs w:val="24"/>
          <w:lang w:val="sk-SK"/>
        </w:rPr>
        <w:t>dzajú</w:t>
      </w:r>
      <w:r w:rsidRPr="00C043A8">
        <w:rPr>
          <w:rFonts w:ascii="Times New Roman" w:eastAsia="EUAlbertina-Regular-Identity-H" w:hAnsi="Times New Roman" w:hint="default"/>
          <w:sz w:val="24"/>
          <w:szCs w:val="24"/>
          <w:lang w:val="sk-SK"/>
        </w:rPr>
        <w:t>cich hodnotiacich procesov.</w:t>
      </w:r>
    </w:p>
    <w:p w:rsidR="00FF7721" w:rsidRPr="00C043A8" w:rsidP="00417B3A">
      <w:pPr>
        <w:bidi w:val="0"/>
        <w:spacing w:after="60" w:line="320" w:lineRule="exact"/>
        <w:ind w:firstLine="709"/>
        <w:jc w:val="both"/>
        <w:rPr>
          <w:rFonts w:ascii="Times New Roman" w:hAnsi="Times New Roman"/>
          <w:sz w:val="24"/>
          <w:szCs w:val="24"/>
          <w:lang w:val="sk-SK"/>
        </w:rPr>
      </w:pPr>
      <w:r w:rsidRPr="00C043A8" w:rsidR="00F97257">
        <w:rPr>
          <w:rFonts w:ascii="Times New Roman" w:hAnsi="Times New Roman"/>
          <w:sz w:val="24"/>
          <w:szCs w:val="24"/>
          <w:lang w:val="sk-SK"/>
        </w:rPr>
        <w:t>Na základe revízie ROP z roku 2012 bola upravená - znížená celková alokácia pre prioritnú os 2 na hodnotu 239 147 040€ došlo k úprave výšky finančných prostriedkov vyčlenených pre prioritnú os 2 ROP v prospech prioritnej osi 1 ROP (celková alokácia z ERDF prioritnej osi 2 ROP sa znížila z 207,2 mil. </w:t>
      </w:r>
      <w:r w:rsidR="00AB6283">
        <w:rPr>
          <w:rFonts w:ascii="Times New Roman" w:hAnsi="Times New Roman"/>
          <w:sz w:val="24"/>
          <w:szCs w:val="24"/>
          <w:lang w:val="sk-SK"/>
        </w:rPr>
        <w:t>€</w:t>
      </w:r>
      <w:r w:rsidRPr="00C043A8" w:rsidR="00F97257">
        <w:rPr>
          <w:rFonts w:ascii="Times New Roman" w:hAnsi="Times New Roman"/>
          <w:sz w:val="24"/>
          <w:szCs w:val="24"/>
          <w:lang w:val="sk-SK"/>
        </w:rPr>
        <w:t xml:space="preserve"> na 203,3 mil. </w:t>
      </w:r>
      <w:r w:rsidR="00AB6283">
        <w:rPr>
          <w:rFonts w:ascii="Times New Roman" w:hAnsi="Times New Roman"/>
          <w:sz w:val="24"/>
          <w:szCs w:val="24"/>
          <w:lang w:val="sk-SK"/>
        </w:rPr>
        <w:t>€</w:t>
      </w:r>
      <w:r w:rsidRPr="00C043A8" w:rsidR="00F97257">
        <w:rPr>
          <w:rFonts w:ascii="Times New Roman" w:hAnsi="Times New Roman"/>
          <w:sz w:val="24"/>
          <w:szCs w:val="24"/>
          <w:lang w:val="sk-SK"/>
        </w:rPr>
        <w:t>).</w:t>
      </w:r>
    </w:p>
    <w:p w:rsidR="00592E94" w:rsidRPr="00C043A8" w:rsidP="00F97257">
      <w:pPr>
        <w:bidi w:val="0"/>
        <w:spacing w:after="120"/>
        <w:jc w:val="both"/>
        <w:rPr>
          <w:rFonts w:ascii="Times New Roman" w:hAnsi="Times New Roman"/>
          <w:sz w:val="24"/>
          <w:szCs w:val="24"/>
          <w:lang w:val="sk-SK"/>
        </w:rPr>
      </w:pPr>
    </w:p>
    <w:p w:rsidR="00592E94" w:rsidRPr="00C043A8" w:rsidP="00592E94">
      <w:pPr>
        <w:bidi w:val="0"/>
        <w:jc w:val="both"/>
        <w:rPr>
          <w:rFonts w:ascii="Times New Roman" w:hAnsi="Times New Roman"/>
          <w:b/>
          <w:sz w:val="24"/>
          <w:szCs w:val="24"/>
          <w:lang w:val="sk-SK"/>
        </w:rPr>
      </w:pPr>
      <w:r w:rsidRPr="00C043A8" w:rsidR="00097648">
        <w:rPr>
          <w:rFonts w:ascii="Times New Roman" w:hAnsi="Times New Roman"/>
          <w:b/>
          <w:sz w:val="24"/>
          <w:szCs w:val="24"/>
          <w:lang w:val="sk-SK"/>
        </w:rPr>
        <w:t>Počet podporených projektov podľa typu zariadenia k 31.12.2012</w:t>
      </w:r>
      <w:r w:rsidRPr="00C043A8">
        <w:rPr>
          <w:rFonts w:ascii="Times New Roman" w:hAnsi="Times New Roman"/>
          <w:b/>
          <w:sz w:val="24"/>
          <w:szCs w:val="24"/>
          <w:lang w:val="sk-SK"/>
        </w:rPr>
        <w:t xml:space="preserve"> </w:t>
      </w:r>
    </w:p>
    <w:p w:rsidR="00097648" w:rsidRPr="00C043A8" w:rsidP="00592E94">
      <w:pPr>
        <w:bidi w:val="0"/>
        <w:ind w:left="4956" w:firstLine="708"/>
        <w:jc w:val="both"/>
        <w:rPr>
          <w:rFonts w:ascii="Times New Roman" w:hAnsi="Times New Roman"/>
          <w:sz w:val="24"/>
          <w:szCs w:val="24"/>
          <w:lang w:val="sk-SK"/>
        </w:rPr>
      </w:pPr>
      <w:r w:rsidR="000C5E86">
        <w:rPr>
          <w:rFonts w:ascii="Times New Roman" w:hAnsi="Times New Roman"/>
          <w:sz w:val="24"/>
          <w:szCs w:val="24"/>
          <w:lang w:val="sk-SK"/>
        </w:rPr>
        <w:t xml:space="preserve">    </w:t>
      </w:r>
      <w:r w:rsidRPr="00C043A8" w:rsidR="00592E94">
        <w:rPr>
          <w:rFonts w:ascii="Times New Roman" w:hAnsi="Times New Roman"/>
          <w:sz w:val="24"/>
          <w:szCs w:val="24"/>
          <w:lang w:val="sk-SK"/>
        </w:rPr>
        <w:t xml:space="preserve">Graf č. </w:t>
      </w:r>
      <w:r w:rsidR="00C043A8">
        <w:rPr>
          <w:rFonts w:ascii="Times New Roman" w:hAnsi="Times New Roman"/>
          <w:sz w:val="24"/>
          <w:szCs w:val="24"/>
          <w:lang w:val="sk-SK"/>
        </w:rPr>
        <w:t>5</w:t>
      </w:r>
    </w:p>
    <w:p w:rsidR="00097648" w:rsidRPr="00C043A8" w:rsidP="00097648">
      <w:pPr>
        <w:autoSpaceDE w:val="0"/>
        <w:autoSpaceDN w:val="0"/>
        <w:bidi w:val="0"/>
        <w:adjustRightInd w:val="0"/>
        <w:jc w:val="both"/>
        <w:rPr>
          <w:rFonts w:ascii="Arial Narrow" w:hAnsi="Arial Narrow" w:cs="Arial"/>
          <w:lang w:val="sk-SK"/>
        </w:rPr>
      </w:pPr>
      <w:r>
        <w:rPr>
          <w:rFonts w:ascii="Times New Roman" w:hAnsi="Times New Roman" w:cs="Times New Roman"/>
          <w:noProof/>
          <w:rtl w:val="0"/>
          <w:cs w:val="0"/>
          <w:lang w:val="sk-SK"/>
        </w:rPr>
        <w:object>
          <v:shape id="Graf 8" o:spid="_x0000_i1030" type="#_x0000_t75" style="width:344.2pt;height:135.45pt;visibility:visible" o:oleicon="f" o:ole="" stroked="f">
            <v:imagedata r:id="rId14" o:title="" cropbottom="-48f"/>
            <o:lock v:ext="edit" aspectratio="f"/>
          </v:shape>
          <o:OLEObject Type="Embed" ProgID="Excel.Chart.8" ShapeID="Graf 8" DrawAspect="Content" ObjectID="_5" r:id="rId15"/>
        </w:object>
      </w:r>
    </w:p>
    <w:p w:rsidR="000C5E86" w:rsidP="00417B3A">
      <w:pPr>
        <w:bidi w:val="0"/>
        <w:rPr>
          <w:rFonts w:ascii="Times New Roman" w:hAnsi="Times New Roman"/>
          <w:lang w:val="sk-SK"/>
        </w:rPr>
      </w:pPr>
    </w:p>
    <w:p w:rsidR="00097648" w:rsidRPr="00C043A8" w:rsidP="00417B3A">
      <w:pPr>
        <w:bidi w:val="0"/>
        <w:rPr>
          <w:rFonts w:ascii="Times New Roman" w:hAnsi="Times New Roman"/>
          <w:lang w:val="sk-SK"/>
        </w:rPr>
      </w:pPr>
      <w:r w:rsidRPr="00C043A8" w:rsidR="00417B3A">
        <w:rPr>
          <w:rFonts w:ascii="Times New Roman" w:hAnsi="Times New Roman"/>
          <w:lang w:val="sk-SK"/>
        </w:rPr>
        <w:t xml:space="preserve">Prameň: </w:t>
      </w:r>
      <w:r w:rsidRPr="00C043A8">
        <w:rPr>
          <w:rFonts w:ascii="Times New Roman" w:hAnsi="Times New Roman"/>
          <w:lang w:val="sk-SK"/>
        </w:rPr>
        <w:t>RO pre ROP, 2013</w:t>
      </w:r>
    </w:p>
    <w:p w:rsidR="00417B3A" w:rsidRPr="00C043A8" w:rsidP="00592E94">
      <w:pPr>
        <w:autoSpaceDE w:val="0"/>
        <w:autoSpaceDN w:val="0"/>
        <w:bidi w:val="0"/>
        <w:adjustRightInd w:val="0"/>
        <w:jc w:val="both"/>
        <w:rPr>
          <w:rFonts w:ascii="Times New Roman" w:hAnsi="Times New Roman"/>
          <w:lang w:val="sk-SK"/>
        </w:rPr>
      </w:pPr>
    </w:p>
    <w:p w:rsidR="00417B3A" w:rsidRPr="00C043A8" w:rsidP="00592E94">
      <w:pPr>
        <w:autoSpaceDE w:val="0"/>
        <w:autoSpaceDN w:val="0"/>
        <w:bidi w:val="0"/>
        <w:adjustRightInd w:val="0"/>
        <w:jc w:val="both"/>
        <w:rPr>
          <w:rFonts w:ascii="Times New Roman" w:hAnsi="Times New Roman"/>
          <w:lang w:val="sk-SK"/>
        </w:rPr>
      </w:pPr>
    </w:p>
    <w:p w:rsidR="00097648" w:rsidRPr="00C043A8" w:rsidP="00592E94">
      <w:pPr>
        <w:bidi w:val="0"/>
        <w:spacing w:after="60" w:line="320" w:lineRule="exact"/>
        <w:ind w:firstLine="708"/>
        <w:jc w:val="both"/>
        <w:rPr>
          <w:rFonts w:ascii="Times New Roman" w:hAnsi="Times New Roman"/>
          <w:sz w:val="24"/>
          <w:szCs w:val="24"/>
          <w:lang w:val="sk-SK"/>
        </w:rPr>
      </w:pPr>
      <w:r w:rsidRPr="00C043A8">
        <w:rPr>
          <w:rFonts w:ascii="Times New Roman" w:hAnsi="Times New Roman"/>
          <w:sz w:val="24"/>
          <w:szCs w:val="24"/>
          <w:lang w:val="sk-SK"/>
        </w:rPr>
        <w:t>Ako vyplýva z grafického prehľadu, iba 7,3 % zariadení podporených v rámci ROP sú zariadenia určené pre detských klientov.</w:t>
      </w:r>
    </w:p>
    <w:p w:rsidR="00592E94" w:rsidRPr="00C043A8" w:rsidP="00592E94">
      <w:pPr>
        <w:bidi w:val="0"/>
        <w:spacing w:after="60" w:line="320" w:lineRule="exact"/>
        <w:jc w:val="both"/>
        <w:rPr>
          <w:rFonts w:ascii="Times New Roman" w:hAnsi="Times New Roman"/>
          <w:sz w:val="24"/>
          <w:szCs w:val="24"/>
          <w:lang w:val="sk-SK"/>
        </w:rPr>
      </w:pPr>
    </w:p>
    <w:p w:rsidR="00097648" w:rsidRPr="00C043A8" w:rsidP="00592E94">
      <w:pPr>
        <w:bidi w:val="0"/>
        <w:spacing w:after="120"/>
        <w:jc w:val="both"/>
        <w:rPr>
          <w:rFonts w:ascii="Times New Roman" w:hAnsi="Times New Roman"/>
          <w:sz w:val="24"/>
          <w:szCs w:val="24"/>
          <w:lang w:val="sk-SK"/>
        </w:rPr>
      </w:pPr>
      <w:r w:rsidRPr="00C043A8">
        <w:rPr>
          <w:rFonts w:ascii="Times New Roman" w:hAnsi="Times New Roman"/>
          <w:b/>
          <w:sz w:val="24"/>
          <w:szCs w:val="24"/>
          <w:lang w:val="sk-SK"/>
        </w:rPr>
        <w:t>Percentuálne rozdelenie typov zariadení k 31.12.2013 poskytuje nasledujúce grafické zobrazenie:</w:t>
      </w:r>
      <w:r w:rsidRPr="00C043A8" w:rsidR="00592E94">
        <w:rPr>
          <w:rFonts w:ascii="Times New Roman" w:hAnsi="Times New Roman"/>
          <w:b/>
          <w:sz w:val="24"/>
          <w:szCs w:val="24"/>
          <w:lang w:val="sk-SK"/>
        </w:rPr>
        <w:tab/>
        <w:tab/>
        <w:tab/>
        <w:tab/>
        <w:tab/>
        <w:tab/>
        <w:tab/>
      </w:r>
      <w:r w:rsidRPr="00C043A8" w:rsidR="00592E94">
        <w:rPr>
          <w:rFonts w:ascii="Times New Roman" w:hAnsi="Times New Roman"/>
          <w:sz w:val="24"/>
          <w:szCs w:val="24"/>
          <w:lang w:val="sk-SK"/>
        </w:rPr>
        <w:t>Graf č.</w:t>
      </w:r>
      <w:r w:rsidR="00C043A8">
        <w:rPr>
          <w:rFonts w:ascii="Times New Roman" w:hAnsi="Times New Roman"/>
          <w:sz w:val="24"/>
          <w:szCs w:val="24"/>
          <w:lang w:val="sk-SK"/>
        </w:rPr>
        <w:t xml:space="preserve"> 6</w:t>
      </w:r>
    </w:p>
    <w:p w:rsidR="00097648" w:rsidRPr="00C043A8" w:rsidP="00097648">
      <w:pPr>
        <w:bidi w:val="0"/>
        <w:spacing w:after="120"/>
        <w:jc w:val="both"/>
        <w:rPr>
          <w:rFonts w:ascii="Arial" w:hAnsi="Arial" w:cs="Arial"/>
          <w:lang w:val="sk-SK"/>
        </w:rPr>
      </w:pPr>
      <w:r>
        <w:rPr>
          <w:rFonts w:ascii="Arial" w:hAnsi="Arial" w:cs="Arial"/>
          <w:noProof/>
          <w:rtl w:val="0"/>
          <w:cs w:val="0"/>
          <w:lang w:val="sk-SK"/>
        </w:rPr>
        <w:object>
          <v:shape id="Graf 7" o:spid="_x0000_i1031" type="#_x0000_t75" style="width:326.9pt;height:211.25pt;visibility:visible" o:oleicon="f" o:ole="" stroked="f">
            <v:imagedata r:id="rId16" o:title="" cropbottom="-16f"/>
            <o:lock v:ext="edit" aspectratio="f"/>
          </v:shape>
          <o:OLEObject Type="Embed" ProgID="Excel.Chart.8" ShapeID="Graf 7" DrawAspect="Content" ObjectID="_6" r:id="rId17"/>
        </w:object>
      </w:r>
    </w:p>
    <w:p w:rsidR="00592E94" w:rsidRPr="00C043A8" w:rsidP="00592E94">
      <w:pPr>
        <w:bidi w:val="0"/>
        <w:spacing w:after="60" w:line="320" w:lineRule="exact"/>
        <w:jc w:val="both"/>
        <w:rPr>
          <w:rFonts w:ascii="Times New Roman" w:hAnsi="Times New Roman"/>
          <w:sz w:val="24"/>
          <w:szCs w:val="24"/>
          <w:lang w:val="sk-SK"/>
        </w:rPr>
      </w:pPr>
    </w:p>
    <w:p w:rsidR="00127D83" w:rsidRPr="00C043A8" w:rsidP="00592E94">
      <w:pPr>
        <w:bidi w:val="0"/>
        <w:spacing w:after="60" w:line="320" w:lineRule="exact"/>
        <w:ind w:firstLine="708"/>
        <w:jc w:val="both"/>
        <w:rPr>
          <w:rFonts w:ascii="Times New Roman" w:hAnsi="Times New Roman"/>
          <w:sz w:val="24"/>
          <w:szCs w:val="24"/>
          <w:lang w:val="sk-SK"/>
        </w:rPr>
      </w:pPr>
      <w:r w:rsidRPr="00C043A8">
        <w:rPr>
          <w:rFonts w:ascii="Times New Roman" w:hAnsi="Times New Roman"/>
          <w:sz w:val="24"/>
          <w:szCs w:val="24"/>
          <w:lang w:val="sk-SK"/>
        </w:rPr>
        <w:t xml:space="preserve">V roku 2012 bolo v rámci prioritnej osi 2 ROP riadne ukončených 21 projektov. Táto skutočnosť je spôsobená pomalšou a náročnejšou implementáciou projektov tak v existujúcich zariadeniach ako aj pri novovznikajúcich zariadeniach. </w:t>
      </w:r>
    </w:p>
    <w:p w:rsidR="00127D83" w:rsidRPr="00C043A8" w:rsidP="00592E94">
      <w:pPr>
        <w:bidi w:val="0"/>
        <w:spacing w:after="60" w:line="320" w:lineRule="exact"/>
        <w:ind w:firstLine="708"/>
        <w:jc w:val="both"/>
        <w:rPr>
          <w:rFonts w:ascii="Times New Roman" w:hAnsi="Times New Roman"/>
          <w:sz w:val="24"/>
          <w:szCs w:val="24"/>
          <w:lang w:val="sk-SK"/>
        </w:rPr>
      </w:pPr>
      <w:r w:rsidRPr="00C043A8">
        <w:rPr>
          <w:rFonts w:ascii="Times New Roman" w:hAnsi="Times New Roman"/>
          <w:sz w:val="24"/>
          <w:szCs w:val="24"/>
          <w:lang w:val="sk-SK"/>
        </w:rPr>
        <w:t xml:space="preserve">V rámci opatrenia 3.1 Posilnenie kutlúrneho potencionálu regiónov bolo prerozdelených už približne 50% disponibilnej alokácie na toto opatrenie, schválených bolo menej ako 20% z pôvodne očakávaného počtu podporených projektov. Tento nepomer poukazuje na problémy s napĺňaním pôvodne stanovenej stratégie v oblasti posilnenia kultúrneho potenciálu regiónov. </w:t>
      </w:r>
    </w:p>
    <w:p w:rsidR="00592E94" w:rsidRPr="00C043A8" w:rsidP="00592E94">
      <w:pPr>
        <w:bidi w:val="0"/>
        <w:jc w:val="both"/>
        <w:rPr>
          <w:rFonts w:ascii="Times New Roman" w:hAnsi="Times New Roman"/>
          <w:sz w:val="24"/>
          <w:szCs w:val="24"/>
          <w:lang w:val="sk-SK"/>
        </w:rPr>
      </w:pPr>
    </w:p>
    <w:p w:rsidR="00C043A8" w:rsidP="00592E94">
      <w:pPr>
        <w:bidi w:val="0"/>
        <w:jc w:val="both"/>
        <w:rPr>
          <w:rFonts w:ascii="Times New Roman" w:hAnsi="Times New Roman"/>
          <w:sz w:val="24"/>
          <w:szCs w:val="24"/>
          <w:lang w:val="sk-SK"/>
        </w:rPr>
      </w:pPr>
      <w:r w:rsidRPr="00C043A8" w:rsidR="00127D83">
        <w:rPr>
          <w:rFonts w:ascii="Times New Roman" w:hAnsi="Times New Roman"/>
          <w:b/>
          <w:sz w:val="24"/>
          <w:szCs w:val="24"/>
          <w:lang w:val="sk-SK"/>
        </w:rPr>
        <w:t>Počet projektov v realizácii podľa typu zariadenia k 31.12.2012</w:t>
      </w:r>
      <w:r w:rsidRPr="00C043A8" w:rsidR="00592E94">
        <w:rPr>
          <w:rFonts w:ascii="Times New Roman" w:hAnsi="Times New Roman"/>
          <w:sz w:val="24"/>
          <w:szCs w:val="24"/>
          <w:lang w:val="sk-SK"/>
        </w:rPr>
        <w:t xml:space="preserve">   </w:t>
        <w:tab/>
      </w:r>
    </w:p>
    <w:p w:rsidR="00127D83" w:rsidRPr="00C043A8" w:rsidP="00592E94">
      <w:pPr>
        <w:bidi w:val="0"/>
        <w:jc w:val="both"/>
        <w:rPr>
          <w:rFonts w:ascii="Times New Roman" w:hAnsi="Times New Roman"/>
          <w:sz w:val="24"/>
          <w:szCs w:val="24"/>
          <w:lang w:val="sk-SK"/>
        </w:rPr>
      </w:pPr>
      <w:r w:rsidR="00C043A8">
        <w:rPr>
          <w:rFonts w:ascii="Times New Roman" w:hAnsi="Times New Roman"/>
          <w:sz w:val="24"/>
          <w:szCs w:val="24"/>
          <w:lang w:val="sk-SK"/>
        </w:rPr>
        <w:tab/>
        <w:tab/>
        <w:tab/>
        <w:tab/>
        <w:tab/>
        <w:tab/>
        <w:tab/>
        <w:tab/>
      </w:r>
      <w:r w:rsidRPr="00C043A8" w:rsidR="00592E94">
        <w:rPr>
          <w:rFonts w:ascii="Times New Roman" w:hAnsi="Times New Roman"/>
          <w:sz w:val="24"/>
          <w:szCs w:val="24"/>
          <w:lang w:val="sk-SK"/>
        </w:rPr>
        <w:t xml:space="preserve">Graf č. </w:t>
      </w:r>
      <w:r w:rsidR="00C043A8">
        <w:rPr>
          <w:rFonts w:ascii="Times New Roman" w:hAnsi="Times New Roman"/>
          <w:sz w:val="24"/>
          <w:szCs w:val="24"/>
          <w:lang w:val="sk-SK"/>
        </w:rPr>
        <w:t>7</w:t>
      </w:r>
    </w:p>
    <w:p w:rsidR="00127D83" w:rsidRPr="00C043A8" w:rsidP="00127D83">
      <w:pPr>
        <w:bidi w:val="0"/>
        <w:jc w:val="both"/>
        <w:rPr>
          <w:rFonts w:ascii="Arial" w:hAnsi="Arial" w:cs="Arial"/>
          <w:lang w:val="sk-SK"/>
        </w:rPr>
      </w:pPr>
      <w:r>
        <w:rPr>
          <w:rFonts w:ascii="Times New Roman" w:hAnsi="Times New Roman" w:cs="Times New Roman"/>
          <w:noProof/>
          <w:rtl w:val="0"/>
          <w:cs w:val="0"/>
          <w:lang w:val="sk-SK"/>
        </w:rPr>
        <w:object>
          <v:shape id="Graf 9" o:spid="_x0000_i1032" type="#_x0000_t75" style="width:342.75pt;height:137pt;visibility:visible" o:oleicon="f" o:ole="" stroked="f">
            <v:imagedata r:id="rId18" o:title="" cropbottom="-96f"/>
            <o:lock v:ext="edit" aspectratio="f"/>
          </v:shape>
          <o:OLEObject Type="Embed" ProgID="Excel.Chart.8" ShapeID="Graf 9" DrawAspect="Content" ObjectID="_7" r:id="rId19"/>
        </w:object>
      </w:r>
    </w:p>
    <w:p w:rsidR="00C043A8" w:rsidP="00417B3A">
      <w:pPr>
        <w:bidi w:val="0"/>
        <w:rPr>
          <w:rFonts w:ascii="Times New Roman" w:hAnsi="Times New Roman"/>
          <w:lang w:val="sk-SK"/>
        </w:rPr>
      </w:pPr>
    </w:p>
    <w:p w:rsidR="00127D83" w:rsidRPr="00C043A8" w:rsidP="00AB6283">
      <w:pPr>
        <w:bidi w:val="0"/>
        <w:rPr>
          <w:rFonts w:ascii="Times New Roman" w:hAnsi="Times New Roman"/>
          <w:lang w:val="sk-SK"/>
        </w:rPr>
      </w:pPr>
      <w:r w:rsidRPr="00C043A8" w:rsidR="00417B3A">
        <w:rPr>
          <w:rFonts w:ascii="Times New Roman" w:hAnsi="Times New Roman"/>
          <w:lang w:val="sk-SK"/>
        </w:rPr>
        <w:t xml:space="preserve">Prameň: </w:t>
      </w:r>
      <w:r w:rsidRPr="00C043A8">
        <w:rPr>
          <w:rFonts w:ascii="Times New Roman" w:hAnsi="Times New Roman"/>
          <w:lang w:val="sk-SK"/>
        </w:rPr>
        <w:t>RO pre ROP, 2012</w:t>
      </w:r>
    </w:p>
    <w:p w:rsidR="00127D83" w:rsidRPr="00C043A8" w:rsidP="00AB6283">
      <w:pPr>
        <w:bidi w:val="0"/>
        <w:jc w:val="both"/>
        <w:rPr>
          <w:rFonts w:ascii="Times New Roman" w:hAnsi="Times New Roman"/>
          <w:lang w:val="sk-SK"/>
        </w:rPr>
      </w:pPr>
      <w:r w:rsidRPr="00C043A8">
        <w:rPr>
          <w:rFonts w:ascii="Times New Roman" w:hAnsi="Times New Roman"/>
          <w:lang w:val="sk-SK"/>
        </w:rPr>
        <w:t>Pozn.: NKP – národná kultúrna pamiatka</w:t>
      </w:r>
    </w:p>
    <w:p w:rsidR="000C5E86" w:rsidP="00C638DA">
      <w:pPr>
        <w:bidi w:val="0"/>
        <w:spacing w:after="144" w:afterLines="60" w:line="320" w:lineRule="exact"/>
        <w:ind w:firstLine="708"/>
        <w:jc w:val="both"/>
        <w:rPr>
          <w:rFonts w:ascii="Times New Roman" w:hAnsi="Times New Roman"/>
          <w:sz w:val="24"/>
          <w:szCs w:val="24"/>
          <w:lang w:val="sk-SK"/>
        </w:rPr>
      </w:pPr>
    </w:p>
    <w:p w:rsidR="00113CAC" w:rsidRPr="00C043A8" w:rsidP="00C638DA">
      <w:pPr>
        <w:bidi w:val="0"/>
        <w:spacing w:after="144" w:afterLines="60" w:line="320" w:lineRule="exact"/>
        <w:ind w:firstLine="708"/>
        <w:jc w:val="both"/>
        <w:rPr>
          <w:rFonts w:ascii="Times New Roman" w:hAnsi="Times New Roman"/>
          <w:sz w:val="24"/>
          <w:szCs w:val="24"/>
          <w:lang w:val="sk-SK"/>
        </w:rPr>
      </w:pPr>
      <w:r w:rsidRPr="00C043A8">
        <w:rPr>
          <w:rFonts w:ascii="Times New Roman" w:hAnsi="Times New Roman"/>
          <w:sz w:val="24"/>
          <w:szCs w:val="24"/>
          <w:lang w:val="sk-SK"/>
        </w:rPr>
        <w:t xml:space="preserve">Počas roku 2012 prebiehali najmä procesy kontrahovania a implementácie schválených projektov. Prijímatelia, teda vlastníci nehnuteľností v tomto opatrení sú kvôli finančnej náročnosti realizácie projektov hlavne samosprávne kraje, t.j. 16 implementovaných projektov a 8 projektov je implementovaných ústrednými orgánmi štátnej správy. V roku 2012 z celkového počtu 54 schválených projektov bolo v realizácii po úspešne ukončenom procese verejného obstarávania 34 projektov, 2 projekty boli mimoriadne ukončené. V stave neukončeného procesu verejného obstarávania evidujeme ešte 15 projektov a 3 projekty sa nachádzajú v stave prípravy dodatkov zohľadňujúcich proces ukončeného  verejného obstarávania.   V opatrení 3.1. bolo  k 31.12.2012 ukončených 6 projektov a 45 projektov bolo v stave realizácie. Najvyšší počet realizovaných projektov je v Prešovskom samosprávnom kraji, t.j. 12 projektov v najvyššej hodnote podľa krajov (16,6 mil. </w:t>
      </w:r>
      <w:r w:rsidR="00AB6283">
        <w:rPr>
          <w:rFonts w:ascii="Times New Roman" w:hAnsi="Times New Roman"/>
          <w:sz w:val="24"/>
          <w:szCs w:val="24"/>
          <w:lang w:val="sk-SK"/>
        </w:rPr>
        <w:t>€</w:t>
      </w:r>
      <w:r w:rsidRPr="00C043A8">
        <w:rPr>
          <w:rFonts w:ascii="Times New Roman" w:hAnsi="Times New Roman"/>
          <w:sz w:val="24"/>
          <w:szCs w:val="24"/>
          <w:lang w:val="sk-SK"/>
        </w:rPr>
        <w:t xml:space="preserve">). </w:t>
      </w:r>
    </w:p>
    <w:p w:rsidR="000F4CD4" w:rsidRPr="00C043A8" w:rsidP="00C638DA">
      <w:pPr>
        <w:bidi w:val="0"/>
        <w:spacing w:after="144" w:afterLines="60" w:line="320" w:lineRule="exact"/>
        <w:ind w:firstLine="708"/>
        <w:jc w:val="both"/>
        <w:rPr>
          <w:rFonts w:ascii="Times New Roman" w:hAnsi="Times New Roman"/>
          <w:sz w:val="24"/>
          <w:szCs w:val="24"/>
          <w:lang w:val="sk-SK"/>
        </w:rPr>
      </w:pPr>
      <w:r w:rsidRPr="00C043A8" w:rsidR="00113CAC">
        <w:rPr>
          <w:rFonts w:ascii="Times New Roman" w:hAnsi="Times New Roman"/>
          <w:sz w:val="24"/>
          <w:szCs w:val="24"/>
          <w:lang w:val="sk-SK"/>
        </w:rPr>
        <w:t>V opatrení 3.2 Podpora a rozvoj infraštruktúry cestovného ruchu</w:t>
      </w:r>
      <w:r w:rsidRPr="00C043A8">
        <w:rPr>
          <w:rFonts w:ascii="Times New Roman" w:hAnsi="Times New Roman"/>
          <w:sz w:val="24"/>
          <w:szCs w:val="24"/>
          <w:lang w:val="sk-SK"/>
        </w:rPr>
        <w:t xml:space="preserve"> najvyšší záujem o poskytnutie nenávratného finančného príspevku na projekty zamerané na cestovný ruch v rámci tohto opatrenia prejavili žiadatelia z Prešovského samosprávneho kraja. Predložené ŽoNFP z tohto kraja tvorili až 27,05 % zo všetkých ŽoNFP predložených v rámci opatrenia 3.2 ROP. Najmenší záujem RO pre ROP zaznamenal v rámci Trnavského samosprávneho kraja, kde boli predložené len 4 ŽoNFP, čo predstavuje 3,28 % z predložených žiadostí v rámci opatrenia 3.2. Dôvodom môžu byť hlavne socioekonomické rozdiely medzi jednotlivými oblasťami Slovenska a obtiažnejšie možnosti získavania prostriedkov na aktivity v oblastiach ako je cestovný ruch vo východnej časti Slovenska. V ostatných krajoch bol záujem pomerne vyrovnaný, v rozmedzí približne 10-19 %.</w:t>
      </w:r>
    </w:p>
    <w:p w:rsidR="0016395B" w:rsidRPr="00C043A8" w:rsidP="00C638DA">
      <w:pPr>
        <w:bidi w:val="0"/>
        <w:spacing w:after="144" w:afterLines="60" w:line="320" w:lineRule="exact"/>
        <w:jc w:val="both"/>
        <w:rPr>
          <w:rFonts w:ascii="Times New Roman" w:hAnsi="Times New Roman"/>
          <w:sz w:val="24"/>
          <w:szCs w:val="24"/>
          <w:lang w:val="sk-SK"/>
        </w:rPr>
      </w:pPr>
      <w:r w:rsidRPr="00C043A8">
        <w:rPr>
          <w:rFonts w:ascii="Times New Roman" w:hAnsi="Times New Roman"/>
          <w:b/>
          <w:sz w:val="24"/>
          <w:szCs w:val="24"/>
          <w:lang w:val="sk-SK"/>
        </w:rPr>
        <w:t>Prehľad výziev a písomných vyzvaní od 1.1.2012 do 31.12.2012</w:t>
      </w:r>
      <w:r w:rsidRPr="00C043A8" w:rsidR="00592E94">
        <w:rPr>
          <w:rFonts w:ascii="Times New Roman" w:hAnsi="Times New Roman"/>
          <w:sz w:val="24"/>
          <w:szCs w:val="24"/>
          <w:lang w:val="sk-SK"/>
        </w:rPr>
        <w:t xml:space="preserve">                </w:t>
      </w:r>
    </w:p>
    <w:tbl>
      <w:tblPr>
        <w:tblStyle w:val="TableNormal"/>
        <w:tblW w:w="9156" w:type="dxa"/>
        <w:tblInd w:w="55" w:type="dxa"/>
        <w:tblCellMar>
          <w:left w:w="0" w:type="dxa"/>
          <w:right w:w="0" w:type="dxa"/>
        </w:tblCellMar>
        <w:tblLook w:val="04A0"/>
      </w:tblPr>
      <w:tblGrid>
        <w:gridCol w:w="1615"/>
        <w:gridCol w:w="1944"/>
        <w:gridCol w:w="1677"/>
        <w:gridCol w:w="2101"/>
        <w:gridCol w:w="1819"/>
      </w:tblGrid>
      <w:tr>
        <w:tblPrEx>
          <w:tblW w:w="9156" w:type="dxa"/>
          <w:tblInd w:w="55" w:type="dxa"/>
          <w:tblCellMar>
            <w:left w:w="0" w:type="dxa"/>
            <w:right w:w="0" w:type="dxa"/>
          </w:tblCellMar>
          <w:tblLook w:val="04A0"/>
        </w:tblPrEx>
        <w:trPr>
          <w:trHeight w:val="720"/>
        </w:trPr>
        <w:tc>
          <w:tcPr>
            <w:tcW w:w="1615" w:type="dxa"/>
            <w:vMerge w:val="restart"/>
            <w:tcBorders>
              <w:top w:val="single" w:sz="8" w:space="0" w:color="auto"/>
              <w:left w:val="single" w:sz="8" w:space="0" w:color="auto"/>
              <w:bottom w:val="single" w:sz="8" w:space="0" w:color="auto"/>
              <w:right w:val="single" w:sz="8" w:space="0" w:color="auto"/>
            </w:tcBorders>
            <w:shd w:val="clear" w:color="auto" w:fill="FFCC99"/>
            <w:tcMar>
              <w:top w:w="0" w:type="dxa"/>
              <w:left w:w="70" w:type="dxa"/>
              <w:bottom w:w="0" w:type="dxa"/>
              <w:right w:w="70" w:type="dxa"/>
            </w:tcMar>
            <w:textDirection w:val="lrTb"/>
            <w:vAlign w:val="center"/>
            <w:hideMark/>
          </w:tcPr>
          <w:p w:rsidR="0016395B" w:rsidRPr="00C043A8" w:rsidP="00316924">
            <w:pPr>
              <w:bidi w:val="0"/>
              <w:jc w:val="center"/>
              <w:rPr>
                <w:rFonts w:ascii="Times New Roman" w:hAnsi="Times New Roman"/>
                <w:b/>
                <w:bCs/>
                <w:sz w:val="22"/>
                <w:szCs w:val="22"/>
                <w:lang w:val="sk-SK"/>
              </w:rPr>
            </w:pPr>
            <w:r w:rsidRPr="00C043A8">
              <w:rPr>
                <w:rFonts w:ascii="Times New Roman" w:hAnsi="Times New Roman"/>
                <w:b/>
                <w:bCs/>
                <w:sz w:val="22"/>
                <w:szCs w:val="22"/>
                <w:lang w:val="sk-SK"/>
              </w:rPr>
              <w:t>Prioritná os</w:t>
            </w:r>
          </w:p>
        </w:tc>
        <w:tc>
          <w:tcPr>
            <w:tcW w:w="1944" w:type="dxa"/>
            <w:vMerge w:val="restart"/>
            <w:tcBorders>
              <w:top w:val="single" w:sz="8" w:space="0" w:color="auto"/>
              <w:left w:val="nil"/>
              <w:bottom w:val="single" w:sz="8" w:space="0" w:color="auto"/>
              <w:right w:val="single" w:sz="8" w:space="0" w:color="auto"/>
            </w:tcBorders>
            <w:shd w:val="clear" w:color="auto" w:fill="FFCC99"/>
            <w:tcMar>
              <w:top w:w="0" w:type="dxa"/>
              <w:left w:w="70" w:type="dxa"/>
              <w:bottom w:w="0" w:type="dxa"/>
              <w:right w:w="70" w:type="dxa"/>
            </w:tcMar>
            <w:textDirection w:val="lrTb"/>
            <w:vAlign w:val="center"/>
            <w:hideMark/>
          </w:tcPr>
          <w:p w:rsidR="0016395B" w:rsidRPr="00C043A8" w:rsidP="00316924">
            <w:pPr>
              <w:bidi w:val="0"/>
              <w:jc w:val="center"/>
              <w:rPr>
                <w:rFonts w:ascii="Times New Roman" w:hAnsi="Times New Roman"/>
                <w:b/>
                <w:bCs/>
                <w:sz w:val="22"/>
                <w:szCs w:val="22"/>
                <w:lang w:val="sk-SK"/>
              </w:rPr>
            </w:pPr>
            <w:r w:rsidRPr="00C043A8">
              <w:rPr>
                <w:rFonts w:ascii="Times New Roman" w:hAnsi="Times New Roman"/>
                <w:b/>
                <w:bCs/>
                <w:sz w:val="22"/>
                <w:szCs w:val="22"/>
                <w:lang w:val="sk-SK"/>
              </w:rPr>
              <w:t>Počet výziev/písomných vyzvaní</w:t>
            </w:r>
          </w:p>
        </w:tc>
        <w:tc>
          <w:tcPr>
            <w:tcW w:w="5597" w:type="dxa"/>
            <w:gridSpan w:val="3"/>
            <w:tcBorders>
              <w:top w:val="single" w:sz="8" w:space="0" w:color="auto"/>
              <w:left w:val="nil"/>
              <w:bottom w:val="single" w:sz="8" w:space="0" w:color="auto"/>
              <w:right w:val="single" w:sz="8" w:space="0" w:color="auto"/>
            </w:tcBorders>
            <w:shd w:val="clear" w:color="auto" w:fill="FFCC99"/>
            <w:tcMar>
              <w:top w:w="0" w:type="dxa"/>
              <w:left w:w="70" w:type="dxa"/>
              <w:bottom w:w="0" w:type="dxa"/>
              <w:right w:w="70" w:type="dxa"/>
            </w:tcMar>
            <w:textDirection w:val="lrTb"/>
            <w:vAlign w:val="center"/>
            <w:hideMark/>
          </w:tcPr>
          <w:p w:rsidR="0016395B" w:rsidRPr="00C043A8" w:rsidP="00316924">
            <w:pPr>
              <w:bidi w:val="0"/>
              <w:jc w:val="center"/>
              <w:rPr>
                <w:rFonts w:ascii="Times New Roman" w:hAnsi="Times New Roman"/>
                <w:b/>
                <w:bCs/>
                <w:sz w:val="22"/>
                <w:szCs w:val="22"/>
                <w:lang w:val="sk-SK"/>
              </w:rPr>
            </w:pPr>
            <w:r w:rsidRPr="00C043A8">
              <w:rPr>
                <w:rFonts w:ascii="Times New Roman" w:hAnsi="Times New Roman"/>
                <w:b/>
                <w:bCs/>
                <w:sz w:val="22"/>
                <w:szCs w:val="22"/>
                <w:lang w:val="sk-SK"/>
              </w:rPr>
              <w:t>Alokácia FP na výzvu/písomné vyzvanie (NFP) v €</w:t>
            </w:r>
          </w:p>
        </w:tc>
      </w:tr>
      <w:tr>
        <w:tblPrEx>
          <w:tblW w:w="9156" w:type="dxa"/>
          <w:tblInd w:w="55" w:type="dxa"/>
          <w:tblCellMar>
            <w:left w:w="0" w:type="dxa"/>
            <w:right w:w="0" w:type="dxa"/>
          </w:tblCellMar>
          <w:tblLook w:val="04A0"/>
        </w:tblPrEx>
        <w:trPr>
          <w:trHeight w:val="255"/>
        </w:trPr>
        <w:tc>
          <w:tcPr>
            <w:tcW w:w="0" w:type="auto"/>
            <w:vMerge/>
            <w:tcBorders>
              <w:top w:val="single" w:sz="8" w:space="0" w:color="auto"/>
              <w:left w:val="single" w:sz="8" w:space="0" w:color="auto"/>
              <w:bottom w:val="single" w:sz="8" w:space="0" w:color="auto"/>
              <w:right w:val="single" w:sz="8" w:space="0" w:color="auto"/>
            </w:tcBorders>
            <w:textDirection w:val="lrTb"/>
            <w:vAlign w:val="center"/>
            <w:hideMark/>
          </w:tcPr>
          <w:p w:rsidR="0016395B" w:rsidRPr="00C043A8" w:rsidP="00316924">
            <w:pPr>
              <w:bidi w:val="0"/>
              <w:rPr>
                <w:rFonts w:ascii="Times New Roman" w:hAnsi="Times New Roman"/>
                <w:b/>
                <w:bCs/>
                <w:sz w:val="22"/>
                <w:szCs w:val="22"/>
                <w:lang w:val="sk-SK"/>
              </w:rPr>
            </w:pPr>
          </w:p>
        </w:tc>
        <w:tc>
          <w:tcPr>
            <w:tcW w:w="1944" w:type="dxa"/>
            <w:vMerge/>
            <w:tcBorders>
              <w:top w:val="single" w:sz="8" w:space="0" w:color="auto"/>
              <w:left w:val="nil"/>
              <w:bottom w:val="single" w:sz="8" w:space="0" w:color="auto"/>
              <w:right w:val="single" w:sz="8" w:space="0" w:color="auto"/>
            </w:tcBorders>
            <w:textDirection w:val="lrTb"/>
            <w:vAlign w:val="center"/>
            <w:hideMark/>
          </w:tcPr>
          <w:p w:rsidR="0016395B" w:rsidRPr="00C043A8" w:rsidP="00316924">
            <w:pPr>
              <w:bidi w:val="0"/>
              <w:rPr>
                <w:rFonts w:ascii="Times New Roman" w:hAnsi="Times New Roman"/>
                <w:b/>
                <w:bCs/>
                <w:sz w:val="22"/>
                <w:szCs w:val="22"/>
                <w:lang w:val="sk-SK"/>
              </w:rPr>
            </w:pPr>
          </w:p>
        </w:tc>
        <w:tc>
          <w:tcPr>
            <w:tcW w:w="1677" w:type="dxa"/>
            <w:vMerge w:val="restart"/>
            <w:tcBorders>
              <w:top w:val="nil"/>
              <w:left w:val="nil"/>
              <w:bottom w:val="single" w:sz="8" w:space="0" w:color="auto"/>
              <w:right w:val="single" w:sz="8" w:space="0" w:color="auto"/>
            </w:tcBorders>
            <w:shd w:val="clear" w:color="auto" w:fill="FFCC99"/>
            <w:noWrap/>
            <w:tcMar>
              <w:top w:w="0" w:type="dxa"/>
              <w:left w:w="70" w:type="dxa"/>
              <w:bottom w:w="0" w:type="dxa"/>
              <w:right w:w="70" w:type="dxa"/>
            </w:tcMar>
            <w:textDirection w:val="lrTb"/>
            <w:vAlign w:val="center"/>
            <w:hideMark/>
          </w:tcPr>
          <w:p w:rsidR="0016395B" w:rsidRPr="00C043A8" w:rsidP="00316924">
            <w:pPr>
              <w:bidi w:val="0"/>
              <w:jc w:val="center"/>
              <w:rPr>
                <w:rFonts w:ascii="Times New Roman" w:hAnsi="Times New Roman"/>
                <w:b/>
                <w:bCs/>
                <w:sz w:val="22"/>
                <w:szCs w:val="22"/>
                <w:lang w:val="sk-SK"/>
              </w:rPr>
            </w:pPr>
            <w:r w:rsidRPr="00C043A8">
              <w:rPr>
                <w:rFonts w:ascii="Times New Roman" w:hAnsi="Times New Roman"/>
                <w:b/>
                <w:bCs/>
                <w:sz w:val="22"/>
                <w:szCs w:val="22"/>
                <w:lang w:val="sk-SK"/>
              </w:rPr>
              <w:t>Spolu</w:t>
            </w:r>
          </w:p>
        </w:tc>
        <w:tc>
          <w:tcPr>
            <w:tcW w:w="3920" w:type="dxa"/>
            <w:gridSpan w:val="2"/>
            <w:tcBorders>
              <w:top w:val="nil"/>
              <w:left w:val="nil"/>
              <w:bottom w:val="single" w:sz="8" w:space="0" w:color="auto"/>
              <w:right w:val="single" w:sz="8" w:space="0" w:color="auto"/>
            </w:tcBorders>
            <w:shd w:val="clear" w:color="auto" w:fill="FFCC99"/>
            <w:noWrap/>
            <w:tcMar>
              <w:top w:w="0" w:type="dxa"/>
              <w:left w:w="70" w:type="dxa"/>
              <w:bottom w:w="0" w:type="dxa"/>
              <w:right w:w="70" w:type="dxa"/>
            </w:tcMar>
            <w:textDirection w:val="lrTb"/>
            <w:vAlign w:val="bottom"/>
            <w:hideMark/>
          </w:tcPr>
          <w:p w:rsidR="0016395B" w:rsidRPr="00C043A8" w:rsidP="00316924">
            <w:pPr>
              <w:bidi w:val="0"/>
              <w:jc w:val="center"/>
              <w:rPr>
                <w:rFonts w:ascii="Times New Roman" w:hAnsi="Times New Roman"/>
                <w:b/>
                <w:bCs/>
                <w:sz w:val="22"/>
                <w:szCs w:val="22"/>
                <w:lang w:val="sk-SK"/>
              </w:rPr>
            </w:pPr>
            <w:r w:rsidRPr="00C043A8">
              <w:rPr>
                <w:rFonts w:ascii="Times New Roman" w:hAnsi="Times New Roman"/>
                <w:b/>
                <w:bCs/>
                <w:sz w:val="22"/>
                <w:szCs w:val="22"/>
                <w:lang w:val="sk-SK"/>
              </w:rPr>
              <w:t>z toho</w:t>
            </w:r>
          </w:p>
        </w:tc>
      </w:tr>
      <w:tr>
        <w:tblPrEx>
          <w:tblW w:w="9156" w:type="dxa"/>
          <w:tblInd w:w="55" w:type="dxa"/>
          <w:tblCellMar>
            <w:left w:w="0" w:type="dxa"/>
            <w:right w:w="0" w:type="dxa"/>
          </w:tblCellMar>
          <w:tblLook w:val="04A0"/>
        </w:tblPrEx>
        <w:trPr>
          <w:trHeight w:val="255"/>
        </w:trPr>
        <w:tc>
          <w:tcPr>
            <w:tcW w:w="0" w:type="auto"/>
            <w:vMerge/>
            <w:tcBorders>
              <w:top w:val="single" w:sz="8" w:space="0" w:color="auto"/>
              <w:left w:val="single" w:sz="8" w:space="0" w:color="auto"/>
              <w:bottom w:val="single" w:sz="8" w:space="0" w:color="auto"/>
              <w:right w:val="single" w:sz="8" w:space="0" w:color="auto"/>
            </w:tcBorders>
            <w:textDirection w:val="lrTb"/>
            <w:vAlign w:val="center"/>
            <w:hideMark/>
          </w:tcPr>
          <w:p w:rsidR="0016395B" w:rsidRPr="00C043A8" w:rsidP="00316924">
            <w:pPr>
              <w:bidi w:val="0"/>
              <w:rPr>
                <w:rFonts w:ascii="Times New Roman" w:hAnsi="Times New Roman"/>
                <w:b/>
                <w:bCs/>
                <w:sz w:val="22"/>
                <w:szCs w:val="22"/>
                <w:lang w:val="sk-SK"/>
              </w:rPr>
            </w:pPr>
          </w:p>
        </w:tc>
        <w:tc>
          <w:tcPr>
            <w:tcW w:w="1944" w:type="dxa"/>
            <w:vMerge/>
            <w:tcBorders>
              <w:top w:val="single" w:sz="8" w:space="0" w:color="auto"/>
              <w:left w:val="nil"/>
              <w:bottom w:val="single" w:sz="8" w:space="0" w:color="auto"/>
              <w:right w:val="single" w:sz="8" w:space="0" w:color="auto"/>
            </w:tcBorders>
            <w:textDirection w:val="lrTb"/>
            <w:vAlign w:val="center"/>
            <w:hideMark/>
          </w:tcPr>
          <w:p w:rsidR="0016395B" w:rsidRPr="00C043A8" w:rsidP="00316924">
            <w:pPr>
              <w:bidi w:val="0"/>
              <w:rPr>
                <w:rFonts w:ascii="Times New Roman" w:hAnsi="Times New Roman"/>
                <w:b/>
                <w:bCs/>
                <w:sz w:val="22"/>
                <w:szCs w:val="22"/>
                <w:lang w:val="sk-SK"/>
              </w:rPr>
            </w:pPr>
          </w:p>
        </w:tc>
        <w:tc>
          <w:tcPr>
            <w:tcW w:w="1677" w:type="dxa"/>
            <w:vMerge/>
            <w:tcBorders>
              <w:top w:val="nil"/>
              <w:left w:val="nil"/>
              <w:bottom w:val="single" w:sz="8" w:space="0" w:color="auto"/>
              <w:right w:val="single" w:sz="8" w:space="0" w:color="auto"/>
            </w:tcBorders>
            <w:textDirection w:val="lrTb"/>
            <w:vAlign w:val="center"/>
            <w:hideMark/>
          </w:tcPr>
          <w:p w:rsidR="0016395B" w:rsidRPr="00C043A8" w:rsidP="00316924">
            <w:pPr>
              <w:bidi w:val="0"/>
              <w:rPr>
                <w:rFonts w:ascii="Times New Roman" w:hAnsi="Times New Roman"/>
                <w:b/>
                <w:bCs/>
                <w:sz w:val="22"/>
                <w:szCs w:val="22"/>
                <w:lang w:val="sk-SK"/>
              </w:rPr>
            </w:pPr>
          </w:p>
        </w:tc>
        <w:tc>
          <w:tcPr>
            <w:tcW w:w="2101" w:type="dxa"/>
            <w:tcBorders>
              <w:top w:val="nil"/>
              <w:left w:val="nil"/>
              <w:bottom w:val="single" w:sz="8" w:space="0" w:color="auto"/>
              <w:right w:val="single" w:sz="8" w:space="0" w:color="auto"/>
            </w:tcBorders>
            <w:shd w:val="clear" w:color="auto" w:fill="FFCC99"/>
            <w:noWrap/>
            <w:tcMar>
              <w:top w:w="0" w:type="dxa"/>
              <w:left w:w="70" w:type="dxa"/>
              <w:bottom w:w="0" w:type="dxa"/>
              <w:right w:w="70" w:type="dxa"/>
            </w:tcMar>
            <w:textDirection w:val="lrTb"/>
            <w:vAlign w:val="bottom"/>
            <w:hideMark/>
          </w:tcPr>
          <w:p w:rsidR="0016395B" w:rsidRPr="00C043A8" w:rsidP="00316924">
            <w:pPr>
              <w:bidi w:val="0"/>
              <w:jc w:val="center"/>
              <w:rPr>
                <w:rFonts w:ascii="Times New Roman" w:hAnsi="Times New Roman"/>
                <w:b/>
                <w:bCs/>
                <w:sz w:val="22"/>
                <w:szCs w:val="22"/>
                <w:lang w:val="sk-SK"/>
              </w:rPr>
            </w:pPr>
            <w:r w:rsidRPr="00C043A8">
              <w:rPr>
                <w:rFonts w:ascii="Times New Roman" w:hAnsi="Times New Roman"/>
                <w:b/>
                <w:bCs/>
                <w:sz w:val="22"/>
                <w:szCs w:val="22"/>
                <w:lang w:val="sk-SK"/>
              </w:rPr>
              <w:t>ŠF/KF</w:t>
            </w:r>
          </w:p>
        </w:tc>
        <w:tc>
          <w:tcPr>
            <w:tcW w:w="1819" w:type="dxa"/>
            <w:tcBorders>
              <w:top w:val="nil"/>
              <w:left w:val="nil"/>
              <w:bottom w:val="single" w:sz="8" w:space="0" w:color="auto"/>
              <w:right w:val="single" w:sz="8" w:space="0" w:color="auto"/>
            </w:tcBorders>
            <w:shd w:val="clear" w:color="auto" w:fill="FFCC99"/>
            <w:noWrap/>
            <w:tcMar>
              <w:top w:w="0" w:type="dxa"/>
              <w:left w:w="70" w:type="dxa"/>
              <w:bottom w:w="0" w:type="dxa"/>
              <w:right w:w="70" w:type="dxa"/>
            </w:tcMar>
            <w:textDirection w:val="lrTb"/>
            <w:vAlign w:val="bottom"/>
            <w:hideMark/>
          </w:tcPr>
          <w:p w:rsidR="0016395B" w:rsidRPr="00C043A8" w:rsidP="00316924">
            <w:pPr>
              <w:bidi w:val="0"/>
              <w:jc w:val="center"/>
              <w:rPr>
                <w:rFonts w:ascii="Times New Roman" w:hAnsi="Times New Roman"/>
                <w:b/>
                <w:bCs/>
                <w:sz w:val="22"/>
                <w:szCs w:val="22"/>
                <w:lang w:val="sk-SK"/>
              </w:rPr>
            </w:pPr>
            <w:r w:rsidRPr="00C043A8">
              <w:rPr>
                <w:rFonts w:ascii="Times New Roman" w:hAnsi="Times New Roman"/>
                <w:b/>
                <w:bCs/>
                <w:sz w:val="22"/>
                <w:szCs w:val="22"/>
                <w:lang w:val="sk-SK"/>
              </w:rPr>
              <w:t>ŠR</w:t>
            </w:r>
          </w:p>
        </w:tc>
      </w:tr>
      <w:tr>
        <w:tblPrEx>
          <w:tblW w:w="9156" w:type="dxa"/>
          <w:tblInd w:w="55" w:type="dxa"/>
          <w:tblCellMar>
            <w:left w:w="0" w:type="dxa"/>
            <w:right w:w="0" w:type="dxa"/>
          </w:tblCellMar>
          <w:tblLook w:val="04A0"/>
        </w:tblPrEx>
        <w:trPr>
          <w:trHeight w:val="255"/>
        </w:trPr>
        <w:tc>
          <w:tcPr>
            <w:tcW w:w="1615" w:type="dxa"/>
            <w:tcBorders>
              <w:top w:val="nil"/>
              <w:left w:val="single" w:sz="8" w:space="0" w:color="auto"/>
              <w:bottom w:val="single" w:sz="8" w:space="0" w:color="auto"/>
              <w:right w:val="single" w:sz="8" w:space="0" w:color="auto"/>
            </w:tcBorders>
            <w:noWrap/>
            <w:tcMar>
              <w:top w:w="0" w:type="dxa"/>
              <w:left w:w="70" w:type="dxa"/>
              <w:bottom w:w="0" w:type="dxa"/>
              <w:right w:w="70" w:type="dxa"/>
            </w:tcMar>
            <w:textDirection w:val="lrTb"/>
            <w:vAlign w:val="bottom"/>
            <w:hideMark/>
          </w:tcPr>
          <w:p w:rsidR="0016395B" w:rsidRPr="00C043A8" w:rsidP="00316924">
            <w:pPr>
              <w:bidi w:val="0"/>
              <w:jc w:val="center"/>
              <w:rPr>
                <w:rFonts w:ascii="Times New Roman" w:hAnsi="Times New Roman"/>
                <w:sz w:val="22"/>
                <w:szCs w:val="22"/>
                <w:lang w:val="sk-SK"/>
              </w:rPr>
            </w:pPr>
            <w:r w:rsidRPr="00C043A8">
              <w:rPr>
                <w:rFonts w:ascii="Times New Roman" w:hAnsi="Times New Roman"/>
                <w:sz w:val="22"/>
                <w:szCs w:val="22"/>
                <w:lang w:val="sk-SK"/>
              </w:rPr>
              <w:t>1</w:t>
            </w:r>
          </w:p>
        </w:tc>
        <w:tc>
          <w:tcPr>
            <w:tcW w:w="1944"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bottom"/>
            <w:hideMark/>
          </w:tcPr>
          <w:p w:rsidR="0016395B" w:rsidRPr="00C043A8" w:rsidP="00316924">
            <w:pPr>
              <w:bidi w:val="0"/>
              <w:jc w:val="center"/>
              <w:rPr>
                <w:rFonts w:ascii="Times New Roman" w:hAnsi="Times New Roman"/>
                <w:sz w:val="22"/>
                <w:szCs w:val="22"/>
                <w:lang w:val="sk-SK"/>
              </w:rPr>
            </w:pPr>
            <w:r w:rsidRPr="00C043A8">
              <w:rPr>
                <w:rFonts w:ascii="Times New Roman" w:hAnsi="Times New Roman"/>
                <w:sz w:val="22"/>
                <w:szCs w:val="22"/>
                <w:lang w:val="sk-SK"/>
              </w:rPr>
              <w:t>0</w:t>
            </w:r>
          </w:p>
        </w:tc>
        <w:tc>
          <w:tcPr>
            <w:tcW w:w="1677"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center"/>
            <w:hideMark/>
          </w:tcPr>
          <w:p w:rsidR="0016395B" w:rsidRPr="00C043A8" w:rsidP="00316924">
            <w:pPr>
              <w:bidi w:val="0"/>
              <w:jc w:val="right"/>
              <w:rPr>
                <w:rFonts w:ascii="Times New Roman" w:hAnsi="Times New Roman"/>
                <w:sz w:val="22"/>
                <w:szCs w:val="22"/>
                <w:lang w:val="sk-SK"/>
              </w:rPr>
            </w:pPr>
            <w:r w:rsidRPr="00C043A8">
              <w:rPr>
                <w:rFonts w:ascii="Times New Roman" w:hAnsi="Times New Roman"/>
                <w:sz w:val="22"/>
                <w:szCs w:val="22"/>
                <w:lang w:val="sk-SK"/>
              </w:rPr>
              <w:t>-</w:t>
            </w:r>
          </w:p>
        </w:tc>
        <w:tc>
          <w:tcPr>
            <w:tcW w:w="2101"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center"/>
            <w:hideMark/>
          </w:tcPr>
          <w:p w:rsidR="0016395B" w:rsidRPr="00C043A8" w:rsidP="00316924">
            <w:pPr>
              <w:bidi w:val="0"/>
              <w:jc w:val="right"/>
              <w:rPr>
                <w:rFonts w:ascii="Times New Roman" w:hAnsi="Times New Roman"/>
                <w:sz w:val="22"/>
                <w:szCs w:val="22"/>
                <w:lang w:val="sk-SK"/>
              </w:rPr>
            </w:pPr>
            <w:r w:rsidRPr="00C043A8">
              <w:rPr>
                <w:rFonts w:ascii="Times New Roman" w:hAnsi="Times New Roman"/>
                <w:sz w:val="22"/>
                <w:szCs w:val="22"/>
                <w:lang w:val="sk-SK"/>
              </w:rPr>
              <w:t>-</w:t>
            </w:r>
          </w:p>
        </w:tc>
        <w:tc>
          <w:tcPr>
            <w:tcW w:w="1819"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center"/>
            <w:hideMark/>
          </w:tcPr>
          <w:p w:rsidR="0016395B" w:rsidRPr="00C043A8" w:rsidP="00316924">
            <w:pPr>
              <w:bidi w:val="0"/>
              <w:jc w:val="right"/>
              <w:rPr>
                <w:rFonts w:ascii="Times New Roman" w:hAnsi="Times New Roman"/>
                <w:sz w:val="22"/>
                <w:szCs w:val="22"/>
                <w:lang w:val="sk-SK"/>
              </w:rPr>
            </w:pPr>
            <w:r w:rsidRPr="00C043A8">
              <w:rPr>
                <w:rFonts w:ascii="Times New Roman" w:hAnsi="Times New Roman"/>
                <w:sz w:val="22"/>
                <w:szCs w:val="22"/>
                <w:lang w:val="sk-SK"/>
              </w:rPr>
              <w:t>-</w:t>
            </w:r>
          </w:p>
        </w:tc>
      </w:tr>
      <w:tr>
        <w:tblPrEx>
          <w:tblW w:w="9156" w:type="dxa"/>
          <w:tblInd w:w="55" w:type="dxa"/>
          <w:tblCellMar>
            <w:left w:w="0" w:type="dxa"/>
            <w:right w:w="0" w:type="dxa"/>
          </w:tblCellMar>
          <w:tblLook w:val="04A0"/>
        </w:tblPrEx>
        <w:trPr>
          <w:trHeight w:val="255"/>
        </w:trPr>
        <w:tc>
          <w:tcPr>
            <w:tcW w:w="1615" w:type="dxa"/>
            <w:tcBorders>
              <w:top w:val="nil"/>
              <w:left w:val="single" w:sz="8" w:space="0" w:color="auto"/>
              <w:bottom w:val="single" w:sz="8" w:space="0" w:color="auto"/>
              <w:right w:val="single" w:sz="8" w:space="0" w:color="auto"/>
            </w:tcBorders>
            <w:noWrap/>
            <w:tcMar>
              <w:top w:w="0" w:type="dxa"/>
              <w:left w:w="70" w:type="dxa"/>
              <w:bottom w:w="0" w:type="dxa"/>
              <w:right w:w="70" w:type="dxa"/>
            </w:tcMar>
            <w:textDirection w:val="lrTb"/>
            <w:vAlign w:val="bottom"/>
            <w:hideMark/>
          </w:tcPr>
          <w:p w:rsidR="0016395B" w:rsidRPr="00C043A8" w:rsidP="00316924">
            <w:pPr>
              <w:bidi w:val="0"/>
              <w:jc w:val="center"/>
              <w:rPr>
                <w:rFonts w:ascii="Times New Roman" w:hAnsi="Times New Roman"/>
                <w:sz w:val="22"/>
                <w:szCs w:val="22"/>
                <w:lang w:val="sk-SK"/>
              </w:rPr>
            </w:pPr>
            <w:r w:rsidRPr="00C043A8">
              <w:rPr>
                <w:rFonts w:ascii="Times New Roman" w:hAnsi="Times New Roman"/>
                <w:sz w:val="22"/>
                <w:szCs w:val="22"/>
                <w:lang w:val="sk-SK"/>
              </w:rPr>
              <w:t>2</w:t>
            </w:r>
          </w:p>
        </w:tc>
        <w:tc>
          <w:tcPr>
            <w:tcW w:w="1944"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bottom"/>
            <w:hideMark/>
          </w:tcPr>
          <w:p w:rsidR="0016395B" w:rsidRPr="00C043A8" w:rsidP="00316924">
            <w:pPr>
              <w:bidi w:val="0"/>
              <w:jc w:val="center"/>
              <w:rPr>
                <w:rFonts w:ascii="Times New Roman" w:hAnsi="Times New Roman"/>
                <w:sz w:val="22"/>
                <w:szCs w:val="22"/>
                <w:lang w:val="sk-SK"/>
              </w:rPr>
            </w:pPr>
            <w:r w:rsidRPr="00C043A8">
              <w:rPr>
                <w:rFonts w:ascii="Times New Roman" w:hAnsi="Times New Roman"/>
                <w:sz w:val="22"/>
                <w:szCs w:val="22"/>
                <w:lang w:val="sk-SK"/>
              </w:rPr>
              <w:t>2</w:t>
            </w:r>
          </w:p>
        </w:tc>
        <w:tc>
          <w:tcPr>
            <w:tcW w:w="1677"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center"/>
            <w:hideMark/>
          </w:tcPr>
          <w:p w:rsidR="0016395B" w:rsidRPr="00C043A8" w:rsidP="00316924">
            <w:pPr>
              <w:bidi w:val="0"/>
              <w:jc w:val="right"/>
              <w:rPr>
                <w:rFonts w:ascii="Times New Roman" w:hAnsi="Times New Roman"/>
                <w:sz w:val="22"/>
                <w:szCs w:val="22"/>
                <w:lang w:val="sk-SK"/>
              </w:rPr>
            </w:pPr>
            <w:r w:rsidRPr="00C043A8">
              <w:rPr>
                <w:rFonts w:ascii="Times New Roman" w:hAnsi="Times New Roman"/>
                <w:sz w:val="22"/>
                <w:szCs w:val="22"/>
                <w:lang w:val="sk-SK"/>
              </w:rPr>
              <w:t>viď poznámka č.1</w:t>
            </w:r>
          </w:p>
        </w:tc>
        <w:tc>
          <w:tcPr>
            <w:tcW w:w="2101"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center"/>
            <w:hideMark/>
          </w:tcPr>
          <w:p w:rsidR="0016395B" w:rsidRPr="00C043A8" w:rsidP="00316924">
            <w:pPr>
              <w:bidi w:val="0"/>
              <w:jc w:val="right"/>
              <w:rPr>
                <w:rFonts w:ascii="Times New Roman" w:hAnsi="Times New Roman"/>
                <w:sz w:val="22"/>
                <w:szCs w:val="22"/>
                <w:lang w:val="sk-SK"/>
              </w:rPr>
            </w:pPr>
            <w:r w:rsidRPr="00C043A8">
              <w:rPr>
                <w:rFonts w:ascii="Times New Roman" w:hAnsi="Times New Roman"/>
                <w:sz w:val="22"/>
                <w:szCs w:val="22"/>
                <w:lang w:val="sk-SK"/>
              </w:rPr>
              <w:t xml:space="preserve">viď poznámka č.1 </w:t>
            </w:r>
          </w:p>
        </w:tc>
        <w:tc>
          <w:tcPr>
            <w:tcW w:w="1819"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center"/>
            <w:hideMark/>
          </w:tcPr>
          <w:p w:rsidR="0016395B" w:rsidRPr="00C043A8" w:rsidP="00316924">
            <w:pPr>
              <w:bidi w:val="0"/>
              <w:jc w:val="right"/>
              <w:rPr>
                <w:rFonts w:ascii="Times New Roman" w:hAnsi="Times New Roman"/>
                <w:sz w:val="22"/>
                <w:szCs w:val="22"/>
                <w:lang w:val="sk-SK"/>
              </w:rPr>
            </w:pPr>
            <w:r w:rsidRPr="00C043A8">
              <w:rPr>
                <w:rFonts w:ascii="Times New Roman" w:hAnsi="Times New Roman"/>
                <w:sz w:val="22"/>
                <w:szCs w:val="22"/>
                <w:lang w:val="sk-SK"/>
              </w:rPr>
              <w:t>viď poznámka č.1</w:t>
            </w:r>
          </w:p>
        </w:tc>
      </w:tr>
      <w:tr>
        <w:tblPrEx>
          <w:tblW w:w="9156" w:type="dxa"/>
          <w:tblInd w:w="55" w:type="dxa"/>
          <w:tblCellMar>
            <w:left w:w="0" w:type="dxa"/>
            <w:right w:w="0" w:type="dxa"/>
          </w:tblCellMar>
          <w:tblLook w:val="04A0"/>
        </w:tblPrEx>
        <w:trPr>
          <w:trHeight w:val="255"/>
        </w:trPr>
        <w:tc>
          <w:tcPr>
            <w:tcW w:w="1615" w:type="dxa"/>
            <w:tcBorders>
              <w:top w:val="nil"/>
              <w:left w:val="single" w:sz="8" w:space="0" w:color="auto"/>
              <w:bottom w:val="single" w:sz="8" w:space="0" w:color="auto"/>
              <w:right w:val="single" w:sz="8" w:space="0" w:color="auto"/>
            </w:tcBorders>
            <w:noWrap/>
            <w:tcMar>
              <w:top w:w="0" w:type="dxa"/>
              <w:left w:w="70" w:type="dxa"/>
              <w:bottom w:w="0" w:type="dxa"/>
              <w:right w:w="70" w:type="dxa"/>
            </w:tcMar>
            <w:textDirection w:val="lrTb"/>
            <w:vAlign w:val="bottom"/>
            <w:hideMark/>
          </w:tcPr>
          <w:p w:rsidR="0016395B" w:rsidRPr="00C043A8" w:rsidP="00316924">
            <w:pPr>
              <w:bidi w:val="0"/>
              <w:jc w:val="center"/>
              <w:rPr>
                <w:rFonts w:ascii="Times New Roman" w:hAnsi="Times New Roman"/>
                <w:sz w:val="22"/>
                <w:szCs w:val="22"/>
                <w:lang w:val="sk-SK"/>
              </w:rPr>
            </w:pPr>
            <w:r w:rsidRPr="00C043A8">
              <w:rPr>
                <w:rFonts w:ascii="Times New Roman" w:hAnsi="Times New Roman"/>
                <w:sz w:val="22"/>
                <w:szCs w:val="22"/>
                <w:lang w:val="sk-SK"/>
              </w:rPr>
              <w:t>3</w:t>
            </w:r>
          </w:p>
        </w:tc>
        <w:tc>
          <w:tcPr>
            <w:tcW w:w="1944"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bottom"/>
            <w:hideMark/>
          </w:tcPr>
          <w:p w:rsidR="0016395B" w:rsidRPr="00C043A8" w:rsidP="00316924">
            <w:pPr>
              <w:bidi w:val="0"/>
              <w:jc w:val="center"/>
              <w:rPr>
                <w:rFonts w:ascii="Times New Roman" w:hAnsi="Times New Roman"/>
                <w:sz w:val="22"/>
                <w:szCs w:val="22"/>
                <w:lang w:val="sk-SK"/>
              </w:rPr>
            </w:pPr>
            <w:r w:rsidRPr="00C043A8">
              <w:rPr>
                <w:rFonts w:ascii="Times New Roman" w:hAnsi="Times New Roman"/>
                <w:sz w:val="22"/>
                <w:szCs w:val="22"/>
                <w:lang w:val="sk-SK"/>
              </w:rPr>
              <w:t>0</w:t>
            </w:r>
          </w:p>
        </w:tc>
        <w:tc>
          <w:tcPr>
            <w:tcW w:w="1677"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center"/>
            <w:hideMark/>
          </w:tcPr>
          <w:p w:rsidR="0016395B" w:rsidRPr="00C043A8" w:rsidP="00316924">
            <w:pPr>
              <w:bidi w:val="0"/>
              <w:jc w:val="right"/>
              <w:rPr>
                <w:rFonts w:ascii="Times New Roman" w:hAnsi="Times New Roman"/>
                <w:sz w:val="22"/>
                <w:szCs w:val="22"/>
                <w:lang w:val="sk-SK"/>
              </w:rPr>
            </w:pPr>
            <w:r w:rsidRPr="00C043A8">
              <w:rPr>
                <w:rFonts w:ascii="Times New Roman" w:hAnsi="Times New Roman"/>
                <w:sz w:val="22"/>
                <w:szCs w:val="22"/>
                <w:lang w:val="sk-SK"/>
              </w:rPr>
              <w:t>-</w:t>
            </w:r>
          </w:p>
        </w:tc>
        <w:tc>
          <w:tcPr>
            <w:tcW w:w="2101"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center"/>
            <w:hideMark/>
          </w:tcPr>
          <w:p w:rsidR="0016395B" w:rsidRPr="00C043A8" w:rsidP="00316924">
            <w:pPr>
              <w:bidi w:val="0"/>
              <w:jc w:val="right"/>
              <w:rPr>
                <w:rFonts w:ascii="Times New Roman" w:hAnsi="Times New Roman"/>
                <w:sz w:val="22"/>
                <w:szCs w:val="22"/>
                <w:lang w:val="sk-SK"/>
              </w:rPr>
            </w:pPr>
            <w:r w:rsidRPr="00C043A8">
              <w:rPr>
                <w:rFonts w:ascii="Times New Roman" w:hAnsi="Times New Roman"/>
                <w:sz w:val="22"/>
                <w:szCs w:val="22"/>
                <w:lang w:val="sk-SK"/>
              </w:rPr>
              <w:t>-</w:t>
            </w:r>
          </w:p>
        </w:tc>
        <w:tc>
          <w:tcPr>
            <w:tcW w:w="1819"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center"/>
            <w:hideMark/>
          </w:tcPr>
          <w:p w:rsidR="0016395B" w:rsidRPr="00C043A8" w:rsidP="00316924">
            <w:pPr>
              <w:bidi w:val="0"/>
              <w:jc w:val="right"/>
              <w:rPr>
                <w:rFonts w:ascii="Times New Roman" w:hAnsi="Times New Roman"/>
                <w:sz w:val="22"/>
                <w:szCs w:val="22"/>
                <w:lang w:val="sk-SK"/>
              </w:rPr>
            </w:pPr>
            <w:r w:rsidRPr="00C043A8">
              <w:rPr>
                <w:rFonts w:ascii="Times New Roman" w:hAnsi="Times New Roman"/>
                <w:sz w:val="22"/>
                <w:szCs w:val="22"/>
                <w:lang w:val="sk-SK"/>
              </w:rPr>
              <w:t>-</w:t>
            </w:r>
          </w:p>
        </w:tc>
      </w:tr>
      <w:tr>
        <w:tblPrEx>
          <w:tblW w:w="9156" w:type="dxa"/>
          <w:tblInd w:w="55" w:type="dxa"/>
          <w:tblCellMar>
            <w:left w:w="0" w:type="dxa"/>
            <w:right w:w="0" w:type="dxa"/>
          </w:tblCellMar>
          <w:tblLook w:val="04A0"/>
        </w:tblPrEx>
        <w:trPr>
          <w:trHeight w:val="255"/>
        </w:trPr>
        <w:tc>
          <w:tcPr>
            <w:tcW w:w="1615" w:type="dxa"/>
            <w:tcBorders>
              <w:top w:val="nil"/>
              <w:left w:val="single" w:sz="8" w:space="0" w:color="auto"/>
              <w:bottom w:val="single" w:sz="8" w:space="0" w:color="auto"/>
              <w:right w:val="single" w:sz="8" w:space="0" w:color="auto"/>
            </w:tcBorders>
            <w:noWrap/>
            <w:tcMar>
              <w:top w:w="0" w:type="dxa"/>
              <w:left w:w="70" w:type="dxa"/>
              <w:bottom w:w="0" w:type="dxa"/>
              <w:right w:w="70" w:type="dxa"/>
            </w:tcMar>
            <w:textDirection w:val="lrTb"/>
            <w:vAlign w:val="bottom"/>
            <w:hideMark/>
          </w:tcPr>
          <w:p w:rsidR="0016395B" w:rsidRPr="00C043A8" w:rsidP="00316924">
            <w:pPr>
              <w:bidi w:val="0"/>
              <w:jc w:val="center"/>
              <w:rPr>
                <w:rFonts w:ascii="Times New Roman" w:hAnsi="Times New Roman"/>
                <w:sz w:val="22"/>
                <w:szCs w:val="22"/>
                <w:lang w:val="sk-SK"/>
              </w:rPr>
            </w:pPr>
            <w:r w:rsidRPr="00C043A8">
              <w:rPr>
                <w:rFonts w:ascii="Times New Roman" w:hAnsi="Times New Roman"/>
                <w:sz w:val="22"/>
                <w:szCs w:val="22"/>
                <w:lang w:val="sk-SK"/>
              </w:rPr>
              <w:t>4</w:t>
            </w:r>
          </w:p>
        </w:tc>
        <w:tc>
          <w:tcPr>
            <w:tcW w:w="1944"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bottom"/>
            <w:hideMark/>
          </w:tcPr>
          <w:p w:rsidR="0016395B" w:rsidRPr="00C043A8" w:rsidP="00316924">
            <w:pPr>
              <w:bidi w:val="0"/>
              <w:jc w:val="center"/>
              <w:rPr>
                <w:rFonts w:ascii="Times New Roman" w:hAnsi="Times New Roman"/>
                <w:sz w:val="22"/>
                <w:szCs w:val="22"/>
                <w:lang w:val="sk-SK"/>
              </w:rPr>
            </w:pPr>
            <w:r w:rsidRPr="00C043A8">
              <w:rPr>
                <w:rFonts w:ascii="Times New Roman" w:hAnsi="Times New Roman"/>
                <w:sz w:val="22"/>
                <w:szCs w:val="22"/>
                <w:lang w:val="sk-SK"/>
              </w:rPr>
              <w:t>1</w:t>
            </w:r>
          </w:p>
        </w:tc>
        <w:tc>
          <w:tcPr>
            <w:tcW w:w="1677"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center"/>
            <w:hideMark/>
          </w:tcPr>
          <w:p w:rsidR="0016395B" w:rsidRPr="00C043A8" w:rsidP="00316924">
            <w:pPr>
              <w:bidi w:val="0"/>
              <w:jc w:val="right"/>
              <w:rPr>
                <w:rFonts w:ascii="Times New Roman" w:hAnsi="Times New Roman"/>
                <w:sz w:val="22"/>
                <w:szCs w:val="22"/>
                <w:lang w:val="sk-SK"/>
              </w:rPr>
            </w:pPr>
            <w:r w:rsidRPr="00C043A8">
              <w:rPr>
                <w:rFonts w:ascii="Times New Roman" w:hAnsi="Times New Roman"/>
                <w:sz w:val="22"/>
                <w:szCs w:val="22"/>
                <w:lang w:val="sk-SK"/>
              </w:rPr>
              <w:t>6 003 441,17</w:t>
            </w:r>
          </w:p>
        </w:tc>
        <w:tc>
          <w:tcPr>
            <w:tcW w:w="2101"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center"/>
            <w:hideMark/>
          </w:tcPr>
          <w:p w:rsidR="0016395B" w:rsidRPr="00C043A8" w:rsidP="00316924">
            <w:pPr>
              <w:bidi w:val="0"/>
              <w:jc w:val="right"/>
              <w:rPr>
                <w:rFonts w:ascii="Times New Roman" w:hAnsi="Times New Roman"/>
                <w:sz w:val="22"/>
                <w:szCs w:val="22"/>
                <w:lang w:val="sk-SK"/>
              </w:rPr>
            </w:pPr>
            <w:r w:rsidRPr="00C043A8">
              <w:rPr>
                <w:rFonts w:ascii="Times New Roman" w:hAnsi="Times New Roman"/>
                <w:sz w:val="22"/>
                <w:szCs w:val="22"/>
                <w:lang w:val="sk-SK"/>
              </w:rPr>
              <w:t>5 371 500,00</w:t>
            </w:r>
          </w:p>
        </w:tc>
        <w:tc>
          <w:tcPr>
            <w:tcW w:w="1819"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center"/>
            <w:hideMark/>
          </w:tcPr>
          <w:p w:rsidR="0016395B" w:rsidRPr="00C043A8" w:rsidP="00316924">
            <w:pPr>
              <w:bidi w:val="0"/>
              <w:jc w:val="right"/>
              <w:rPr>
                <w:rFonts w:ascii="Times New Roman" w:hAnsi="Times New Roman"/>
                <w:sz w:val="22"/>
                <w:szCs w:val="22"/>
                <w:lang w:val="sk-SK"/>
              </w:rPr>
            </w:pPr>
            <w:r w:rsidRPr="00C043A8">
              <w:rPr>
                <w:rFonts w:ascii="Times New Roman" w:hAnsi="Times New Roman"/>
                <w:sz w:val="22"/>
                <w:szCs w:val="22"/>
                <w:lang w:val="sk-SK"/>
              </w:rPr>
              <w:t>631 941,17</w:t>
            </w:r>
          </w:p>
        </w:tc>
      </w:tr>
      <w:tr>
        <w:tblPrEx>
          <w:tblW w:w="9156" w:type="dxa"/>
          <w:tblInd w:w="55" w:type="dxa"/>
          <w:tblCellMar>
            <w:left w:w="0" w:type="dxa"/>
            <w:right w:w="0" w:type="dxa"/>
          </w:tblCellMar>
          <w:tblLook w:val="04A0"/>
        </w:tblPrEx>
        <w:trPr>
          <w:trHeight w:val="255"/>
        </w:trPr>
        <w:tc>
          <w:tcPr>
            <w:tcW w:w="1615" w:type="dxa"/>
            <w:tcBorders>
              <w:top w:val="nil"/>
              <w:left w:val="single" w:sz="8" w:space="0" w:color="auto"/>
              <w:bottom w:val="single" w:sz="8" w:space="0" w:color="auto"/>
              <w:right w:val="single" w:sz="8" w:space="0" w:color="auto"/>
            </w:tcBorders>
            <w:noWrap/>
            <w:tcMar>
              <w:top w:w="0" w:type="dxa"/>
              <w:left w:w="70" w:type="dxa"/>
              <w:bottom w:w="0" w:type="dxa"/>
              <w:right w:w="70" w:type="dxa"/>
            </w:tcMar>
            <w:textDirection w:val="lrTb"/>
            <w:vAlign w:val="bottom"/>
            <w:hideMark/>
          </w:tcPr>
          <w:p w:rsidR="0016395B" w:rsidRPr="00C043A8" w:rsidP="00316924">
            <w:pPr>
              <w:bidi w:val="0"/>
              <w:jc w:val="center"/>
              <w:rPr>
                <w:rFonts w:ascii="Times New Roman" w:hAnsi="Times New Roman"/>
                <w:sz w:val="22"/>
                <w:szCs w:val="22"/>
                <w:lang w:val="sk-SK"/>
              </w:rPr>
            </w:pPr>
            <w:r w:rsidRPr="00C043A8">
              <w:rPr>
                <w:rFonts w:ascii="Times New Roman" w:hAnsi="Times New Roman"/>
                <w:sz w:val="22"/>
                <w:szCs w:val="22"/>
                <w:lang w:val="sk-SK"/>
              </w:rPr>
              <w:t>5</w:t>
            </w:r>
          </w:p>
        </w:tc>
        <w:tc>
          <w:tcPr>
            <w:tcW w:w="1944"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bottom"/>
            <w:hideMark/>
          </w:tcPr>
          <w:p w:rsidR="0016395B" w:rsidRPr="00C043A8" w:rsidP="00316924">
            <w:pPr>
              <w:bidi w:val="0"/>
              <w:jc w:val="center"/>
              <w:rPr>
                <w:rFonts w:ascii="Times New Roman" w:hAnsi="Times New Roman"/>
                <w:sz w:val="22"/>
                <w:szCs w:val="22"/>
                <w:lang w:val="sk-SK"/>
              </w:rPr>
            </w:pPr>
            <w:r w:rsidRPr="00C043A8">
              <w:rPr>
                <w:rFonts w:ascii="Times New Roman" w:hAnsi="Times New Roman"/>
                <w:sz w:val="22"/>
                <w:szCs w:val="22"/>
                <w:lang w:val="sk-SK"/>
              </w:rPr>
              <w:t>1</w:t>
            </w:r>
          </w:p>
        </w:tc>
        <w:tc>
          <w:tcPr>
            <w:tcW w:w="1677"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center"/>
            <w:hideMark/>
          </w:tcPr>
          <w:p w:rsidR="0016395B" w:rsidRPr="00C043A8" w:rsidP="00316924">
            <w:pPr>
              <w:bidi w:val="0"/>
              <w:jc w:val="right"/>
              <w:rPr>
                <w:rFonts w:ascii="Times New Roman" w:hAnsi="Times New Roman"/>
                <w:sz w:val="22"/>
                <w:szCs w:val="22"/>
                <w:lang w:val="sk-SK"/>
              </w:rPr>
            </w:pPr>
            <w:r w:rsidRPr="00C043A8">
              <w:rPr>
                <w:rFonts w:ascii="Times New Roman" w:hAnsi="Times New Roman"/>
                <w:sz w:val="22"/>
                <w:szCs w:val="22"/>
                <w:lang w:val="sk-SK"/>
              </w:rPr>
              <w:t>39 995 000,00</w:t>
            </w:r>
          </w:p>
        </w:tc>
        <w:tc>
          <w:tcPr>
            <w:tcW w:w="2101"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center"/>
            <w:hideMark/>
          </w:tcPr>
          <w:p w:rsidR="0016395B" w:rsidRPr="00C043A8" w:rsidP="00316924">
            <w:pPr>
              <w:bidi w:val="0"/>
              <w:jc w:val="right"/>
              <w:rPr>
                <w:rFonts w:ascii="Times New Roman" w:hAnsi="Times New Roman"/>
                <w:sz w:val="22"/>
                <w:szCs w:val="22"/>
                <w:lang w:val="sk-SK"/>
              </w:rPr>
            </w:pPr>
            <w:r w:rsidRPr="00C043A8">
              <w:rPr>
                <w:rFonts w:ascii="Times New Roman" w:hAnsi="Times New Roman"/>
                <w:sz w:val="22"/>
                <w:szCs w:val="22"/>
                <w:lang w:val="sk-SK"/>
              </w:rPr>
              <w:t>35 785 000,00</w:t>
            </w:r>
          </w:p>
        </w:tc>
        <w:tc>
          <w:tcPr>
            <w:tcW w:w="1819"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center"/>
            <w:hideMark/>
          </w:tcPr>
          <w:p w:rsidR="0016395B" w:rsidRPr="00C043A8" w:rsidP="00316924">
            <w:pPr>
              <w:bidi w:val="0"/>
              <w:jc w:val="right"/>
              <w:rPr>
                <w:rFonts w:ascii="Times New Roman" w:hAnsi="Times New Roman"/>
                <w:sz w:val="22"/>
                <w:szCs w:val="22"/>
                <w:lang w:val="sk-SK"/>
              </w:rPr>
            </w:pPr>
            <w:r w:rsidRPr="00C043A8">
              <w:rPr>
                <w:rFonts w:ascii="Times New Roman" w:hAnsi="Times New Roman"/>
                <w:sz w:val="22"/>
                <w:szCs w:val="22"/>
                <w:lang w:val="sk-SK"/>
              </w:rPr>
              <w:t>4 210 000,00</w:t>
            </w:r>
          </w:p>
        </w:tc>
      </w:tr>
      <w:tr>
        <w:tblPrEx>
          <w:tblW w:w="9156" w:type="dxa"/>
          <w:tblInd w:w="55" w:type="dxa"/>
          <w:tblCellMar>
            <w:left w:w="0" w:type="dxa"/>
            <w:right w:w="0" w:type="dxa"/>
          </w:tblCellMar>
          <w:tblLook w:val="04A0"/>
        </w:tblPrEx>
        <w:trPr>
          <w:trHeight w:val="255"/>
        </w:trPr>
        <w:tc>
          <w:tcPr>
            <w:tcW w:w="1615" w:type="dxa"/>
            <w:tcBorders>
              <w:top w:val="nil"/>
              <w:left w:val="single" w:sz="8" w:space="0" w:color="auto"/>
              <w:bottom w:val="single" w:sz="8" w:space="0" w:color="auto"/>
              <w:right w:val="single" w:sz="8" w:space="0" w:color="auto"/>
            </w:tcBorders>
            <w:noWrap/>
            <w:tcMar>
              <w:top w:w="0" w:type="dxa"/>
              <w:left w:w="70" w:type="dxa"/>
              <w:bottom w:w="0" w:type="dxa"/>
              <w:right w:w="70" w:type="dxa"/>
            </w:tcMar>
            <w:textDirection w:val="lrTb"/>
            <w:vAlign w:val="bottom"/>
            <w:hideMark/>
          </w:tcPr>
          <w:p w:rsidR="0016395B" w:rsidRPr="00C043A8" w:rsidP="00316924">
            <w:pPr>
              <w:bidi w:val="0"/>
              <w:jc w:val="center"/>
              <w:rPr>
                <w:rFonts w:ascii="Times New Roman" w:hAnsi="Times New Roman"/>
                <w:sz w:val="22"/>
                <w:szCs w:val="22"/>
                <w:lang w:val="sk-SK"/>
              </w:rPr>
            </w:pPr>
            <w:r w:rsidRPr="00C043A8">
              <w:rPr>
                <w:rFonts w:ascii="Times New Roman" w:hAnsi="Times New Roman"/>
                <w:sz w:val="22"/>
                <w:szCs w:val="22"/>
                <w:lang w:val="sk-SK"/>
              </w:rPr>
              <w:t>6</w:t>
            </w:r>
          </w:p>
        </w:tc>
        <w:tc>
          <w:tcPr>
            <w:tcW w:w="1944"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bottom"/>
            <w:hideMark/>
          </w:tcPr>
          <w:p w:rsidR="0016395B" w:rsidRPr="00C043A8" w:rsidP="00316924">
            <w:pPr>
              <w:bidi w:val="0"/>
              <w:jc w:val="center"/>
              <w:rPr>
                <w:rFonts w:ascii="Times New Roman" w:hAnsi="Times New Roman"/>
                <w:sz w:val="22"/>
                <w:szCs w:val="22"/>
                <w:lang w:val="sk-SK"/>
              </w:rPr>
            </w:pPr>
            <w:r w:rsidRPr="00C043A8">
              <w:rPr>
                <w:rFonts w:ascii="Times New Roman" w:hAnsi="Times New Roman"/>
                <w:sz w:val="22"/>
                <w:szCs w:val="22"/>
                <w:lang w:val="sk-SK"/>
              </w:rPr>
              <w:t>0</w:t>
            </w:r>
          </w:p>
        </w:tc>
        <w:tc>
          <w:tcPr>
            <w:tcW w:w="1677"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hideMark/>
          </w:tcPr>
          <w:p w:rsidR="0016395B" w:rsidRPr="00C043A8" w:rsidP="00316924">
            <w:pPr>
              <w:bidi w:val="0"/>
              <w:jc w:val="right"/>
              <w:rPr>
                <w:rFonts w:ascii="Times New Roman" w:hAnsi="Times New Roman"/>
                <w:sz w:val="22"/>
                <w:szCs w:val="22"/>
                <w:lang w:val="sk-SK"/>
              </w:rPr>
            </w:pPr>
            <w:r w:rsidRPr="00C043A8">
              <w:rPr>
                <w:rFonts w:ascii="Times New Roman" w:hAnsi="Times New Roman"/>
                <w:sz w:val="22"/>
                <w:szCs w:val="22"/>
                <w:lang w:val="sk-SK"/>
              </w:rPr>
              <w:t>-</w:t>
            </w:r>
          </w:p>
        </w:tc>
        <w:tc>
          <w:tcPr>
            <w:tcW w:w="2101"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hideMark/>
          </w:tcPr>
          <w:p w:rsidR="0016395B" w:rsidRPr="00C043A8" w:rsidP="00316924">
            <w:pPr>
              <w:bidi w:val="0"/>
              <w:jc w:val="right"/>
              <w:rPr>
                <w:rFonts w:ascii="Times New Roman" w:hAnsi="Times New Roman"/>
                <w:sz w:val="22"/>
                <w:szCs w:val="22"/>
                <w:lang w:val="sk-SK"/>
              </w:rPr>
            </w:pPr>
            <w:r w:rsidRPr="00C043A8">
              <w:rPr>
                <w:rFonts w:ascii="Times New Roman" w:hAnsi="Times New Roman"/>
                <w:sz w:val="22"/>
                <w:szCs w:val="22"/>
                <w:lang w:val="sk-SK"/>
              </w:rPr>
              <w:t>-</w:t>
            </w:r>
          </w:p>
        </w:tc>
        <w:tc>
          <w:tcPr>
            <w:tcW w:w="1819"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hideMark/>
          </w:tcPr>
          <w:p w:rsidR="0016395B" w:rsidRPr="00C043A8" w:rsidP="00316924">
            <w:pPr>
              <w:bidi w:val="0"/>
              <w:jc w:val="right"/>
              <w:rPr>
                <w:rFonts w:ascii="Times New Roman" w:hAnsi="Times New Roman"/>
                <w:sz w:val="22"/>
                <w:szCs w:val="22"/>
                <w:lang w:val="sk-SK"/>
              </w:rPr>
            </w:pPr>
            <w:r w:rsidRPr="00C043A8">
              <w:rPr>
                <w:rFonts w:ascii="Times New Roman" w:hAnsi="Times New Roman"/>
                <w:sz w:val="22"/>
                <w:szCs w:val="22"/>
                <w:lang w:val="sk-SK"/>
              </w:rPr>
              <w:t>-</w:t>
            </w:r>
          </w:p>
        </w:tc>
      </w:tr>
      <w:tr>
        <w:tblPrEx>
          <w:tblW w:w="9156" w:type="dxa"/>
          <w:tblInd w:w="55" w:type="dxa"/>
          <w:tblCellMar>
            <w:left w:w="0" w:type="dxa"/>
            <w:right w:w="0" w:type="dxa"/>
          </w:tblCellMar>
          <w:tblLook w:val="04A0"/>
        </w:tblPrEx>
        <w:trPr>
          <w:trHeight w:val="255"/>
        </w:trPr>
        <w:tc>
          <w:tcPr>
            <w:tcW w:w="1615" w:type="dxa"/>
            <w:tcBorders>
              <w:top w:val="nil"/>
              <w:left w:val="single" w:sz="8" w:space="0" w:color="auto"/>
              <w:bottom w:val="single" w:sz="8" w:space="0" w:color="auto"/>
              <w:right w:val="single" w:sz="8" w:space="0" w:color="auto"/>
            </w:tcBorders>
            <w:noWrap/>
            <w:tcMar>
              <w:top w:w="0" w:type="dxa"/>
              <w:left w:w="70" w:type="dxa"/>
              <w:bottom w:w="0" w:type="dxa"/>
              <w:right w:w="70" w:type="dxa"/>
            </w:tcMar>
            <w:textDirection w:val="lrTb"/>
            <w:vAlign w:val="bottom"/>
            <w:hideMark/>
          </w:tcPr>
          <w:p w:rsidR="0016395B" w:rsidRPr="00C043A8" w:rsidP="00316924">
            <w:pPr>
              <w:bidi w:val="0"/>
              <w:jc w:val="center"/>
              <w:rPr>
                <w:rFonts w:ascii="Times New Roman" w:hAnsi="Times New Roman"/>
                <w:sz w:val="22"/>
                <w:szCs w:val="22"/>
                <w:lang w:val="sk-SK"/>
              </w:rPr>
            </w:pPr>
            <w:r w:rsidRPr="00C043A8">
              <w:rPr>
                <w:rFonts w:ascii="Times New Roman" w:hAnsi="Times New Roman"/>
                <w:sz w:val="22"/>
                <w:szCs w:val="22"/>
                <w:lang w:val="sk-SK"/>
              </w:rPr>
              <w:t>7</w:t>
            </w:r>
          </w:p>
        </w:tc>
        <w:tc>
          <w:tcPr>
            <w:tcW w:w="1944" w:type="dxa"/>
            <w:tcBorders>
              <w:top w:val="nil"/>
              <w:left w:val="nil"/>
              <w:bottom w:val="single" w:sz="8" w:space="0" w:color="auto"/>
              <w:right w:val="single" w:sz="8" w:space="0" w:color="auto"/>
            </w:tcBorders>
            <w:noWrap/>
            <w:tcMar>
              <w:top w:w="0" w:type="dxa"/>
              <w:left w:w="70" w:type="dxa"/>
              <w:bottom w:w="0" w:type="dxa"/>
              <w:right w:w="70" w:type="dxa"/>
            </w:tcMar>
            <w:textDirection w:val="lrTb"/>
            <w:vAlign w:val="bottom"/>
            <w:hideMark/>
          </w:tcPr>
          <w:p w:rsidR="0016395B" w:rsidRPr="00C043A8" w:rsidP="00316924">
            <w:pPr>
              <w:bidi w:val="0"/>
              <w:jc w:val="center"/>
              <w:rPr>
                <w:rFonts w:ascii="Times New Roman" w:hAnsi="Times New Roman"/>
                <w:sz w:val="22"/>
                <w:szCs w:val="22"/>
                <w:lang w:val="sk-SK"/>
              </w:rPr>
            </w:pPr>
            <w:r w:rsidRPr="00C043A8">
              <w:rPr>
                <w:rFonts w:ascii="Times New Roman" w:hAnsi="Times New Roman"/>
                <w:sz w:val="22"/>
                <w:szCs w:val="22"/>
                <w:lang w:val="sk-SK"/>
              </w:rPr>
              <w:t>1</w:t>
            </w:r>
          </w:p>
        </w:tc>
        <w:tc>
          <w:tcPr>
            <w:tcW w:w="1677"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hideMark/>
          </w:tcPr>
          <w:p w:rsidR="0016395B" w:rsidRPr="00C043A8" w:rsidP="00316924">
            <w:pPr>
              <w:bidi w:val="0"/>
              <w:jc w:val="right"/>
              <w:rPr>
                <w:rFonts w:ascii="Times New Roman" w:hAnsi="Times New Roman"/>
                <w:sz w:val="22"/>
                <w:szCs w:val="22"/>
                <w:lang w:val="sk-SK"/>
              </w:rPr>
            </w:pPr>
            <w:r w:rsidRPr="00C043A8">
              <w:rPr>
                <w:rFonts w:ascii="Times New Roman" w:hAnsi="Times New Roman"/>
                <w:sz w:val="22"/>
                <w:szCs w:val="22"/>
                <w:lang w:val="sk-SK"/>
              </w:rPr>
              <w:t>1 157 139,32</w:t>
            </w:r>
          </w:p>
        </w:tc>
        <w:tc>
          <w:tcPr>
            <w:tcW w:w="2101"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hideMark/>
          </w:tcPr>
          <w:p w:rsidR="0016395B" w:rsidRPr="00C043A8" w:rsidP="00316924">
            <w:pPr>
              <w:bidi w:val="0"/>
              <w:jc w:val="right"/>
              <w:rPr>
                <w:rFonts w:ascii="Times New Roman" w:hAnsi="Times New Roman"/>
                <w:sz w:val="22"/>
                <w:szCs w:val="22"/>
                <w:lang w:val="sk-SK"/>
              </w:rPr>
            </w:pPr>
            <w:r w:rsidRPr="00C043A8">
              <w:rPr>
                <w:rFonts w:ascii="Times New Roman" w:hAnsi="Times New Roman"/>
                <w:sz w:val="22"/>
                <w:szCs w:val="22"/>
                <w:lang w:val="sk-SK"/>
              </w:rPr>
              <w:t>1 035 335,18</w:t>
            </w:r>
          </w:p>
        </w:tc>
        <w:tc>
          <w:tcPr>
            <w:tcW w:w="1819"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hideMark/>
          </w:tcPr>
          <w:p w:rsidR="0016395B" w:rsidRPr="00C043A8" w:rsidP="00316924">
            <w:pPr>
              <w:bidi w:val="0"/>
              <w:jc w:val="right"/>
              <w:rPr>
                <w:rFonts w:ascii="Times New Roman" w:hAnsi="Times New Roman"/>
                <w:sz w:val="22"/>
                <w:szCs w:val="22"/>
                <w:lang w:val="sk-SK"/>
              </w:rPr>
            </w:pPr>
            <w:r w:rsidRPr="00C043A8">
              <w:rPr>
                <w:rFonts w:ascii="Times New Roman" w:hAnsi="Times New Roman"/>
                <w:sz w:val="22"/>
                <w:szCs w:val="22"/>
                <w:lang w:val="sk-SK"/>
              </w:rPr>
              <w:t>121 804,14</w:t>
            </w:r>
          </w:p>
        </w:tc>
      </w:tr>
    </w:tbl>
    <w:p w:rsidR="0016395B" w:rsidRPr="00C043A8" w:rsidP="0016395B">
      <w:pPr>
        <w:bidi w:val="0"/>
        <w:spacing w:after="120"/>
        <w:rPr>
          <w:rFonts w:ascii="Times New Roman" w:hAnsi="Times New Roman"/>
          <w:lang w:val="sk-SK"/>
        </w:rPr>
      </w:pPr>
      <w:r w:rsidRPr="00C043A8" w:rsidR="00417B3A">
        <w:rPr>
          <w:rFonts w:ascii="Times New Roman" w:hAnsi="Times New Roman"/>
          <w:lang w:val="sk-SK"/>
        </w:rPr>
        <w:t>Prameň</w:t>
      </w:r>
      <w:r w:rsidRPr="00C043A8">
        <w:rPr>
          <w:rFonts w:ascii="Times New Roman" w:hAnsi="Times New Roman"/>
          <w:lang w:val="sk-SK"/>
        </w:rPr>
        <w:t>: RO pre ROP, 2013</w:t>
      </w:r>
    </w:p>
    <w:p w:rsidR="0016395B" w:rsidRPr="00C043A8" w:rsidP="00592E94">
      <w:pPr>
        <w:bidi w:val="0"/>
        <w:spacing w:after="120"/>
        <w:jc w:val="both"/>
        <w:rPr>
          <w:rFonts w:ascii="Times New Roman" w:hAnsi="Times New Roman"/>
          <w:lang w:val="sk-SK"/>
        </w:rPr>
      </w:pPr>
      <w:r w:rsidRPr="00C043A8">
        <w:rPr>
          <w:rFonts w:ascii="Times New Roman" w:hAnsi="Times New Roman"/>
          <w:lang w:val="sk-SK"/>
        </w:rPr>
        <w:t>Poznámka 1: Výzva v rámci prioritnej osi 4 ROP a výzva v rámci prioritnej osi 5 ROP boli určené výlučne pre subjekty verejného sektora. Výzva v rámci oblasti podpory 2.1a ROP bola určená pre subjekty súkromného, verejného sektora a pre organizácie štátnej správy a výzva v rámci oblasti podpory 2.1b ROP bola určená výlučne pre subjekty verejného sektora. Vzhĺadom na aplikovanie rozdielnych pomerov financovania v rámci uvedených výziev v prioritnej osi 2 ROP v súlade so Systémom finančného riadenia ŠF a KF nie je možné uviesť jednu sumu.</w:t>
      </w:r>
    </w:p>
    <w:p w:rsidR="0016395B" w:rsidRPr="00C043A8" w:rsidP="0016395B">
      <w:pPr>
        <w:bidi w:val="0"/>
        <w:jc w:val="both"/>
        <w:rPr>
          <w:rFonts w:ascii="Times New Roman" w:hAnsi="Times New Roman"/>
          <w:sz w:val="22"/>
          <w:szCs w:val="22"/>
          <w:u w:val="single"/>
          <w:lang w:val="sk-SK"/>
        </w:rPr>
      </w:pPr>
    </w:p>
    <w:p w:rsidR="0016395B" w:rsidRPr="00C043A8" w:rsidP="00C638DA">
      <w:pPr>
        <w:bidi w:val="0"/>
        <w:spacing w:after="144" w:afterLines="60" w:line="320" w:lineRule="exact"/>
        <w:jc w:val="both"/>
        <w:rPr>
          <w:rFonts w:ascii="Times New Roman" w:hAnsi="Times New Roman"/>
          <w:b/>
          <w:sz w:val="24"/>
          <w:szCs w:val="24"/>
          <w:lang w:val="sk-SK"/>
        </w:rPr>
      </w:pPr>
      <w:r w:rsidRPr="00C043A8">
        <w:rPr>
          <w:rFonts w:ascii="Times New Roman" w:hAnsi="Times New Roman"/>
          <w:b/>
          <w:sz w:val="24"/>
          <w:szCs w:val="24"/>
          <w:lang w:val="sk-SK"/>
        </w:rPr>
        <w:t>Plnenie harmonogramu výziev ROP na rok 2012</w:t>
      </w:r>
    </w:p>
    <w:p w:rsidR="0016395B" w:rsidRPr="00C043A8" w:rsidP="00C638DA">
      <w:pPr>
        <w:bidi w:val="0"/>
        <w:spacing w:after="144" w:afterLines="60" w:line="320" w:lineRule="exact"/>
        <w:ind w:firstLine="708"/>
        <w:jc w:val="both"/>
        <w:rPr>
          <w:rFonts w:ascii="Times New Roman" w:hAnsi="Times New Roman"/>
          <w:sz w:val="24"/>
          <w:szCs w:val="24"/>
          <w:lang w:val="sk-SK"/>
        </w:rPr>
      </w:pPr>
      <w:r w:rsidRPr="00C043A8">
        <w:rPr>
          <w:rFonts w:ascii="Times New Roman" w:hAnsi="Times New Roman"/>
          <w:sz w:val="24"/>
          <w:szCs w:val="24"/>
          <w:lang w:val="sk-SK"/>
        </w:rPr>
        <w:t>Indikatívny časový harmonogram výziev na predkladanie žiadostí o nenávratný finančný príspevok (ďalej aj „harmonogram výziev“) informuje potenciálnych žiadateľov o predpokladaných termínoch vyhlásenia výziev na predkladanie žiadostí o NFP pre jednotlivé opatrenia a nižšie oblasti podpor</w:t>
      </w:r>
      <w:r w:rsidRPr="00C043A8" w:rsidR="000F4CD4">
        <w:rPr>
          <w:rFonts w:ascii="Times New Roman" w:hAnsi="Times New Roman"/>
          <w:sz w:val="24"/>
          <w:szCs w:val="24"/>
          <w:lang w:val="sk-SK"/>
        </w:rPr>
        <w:t xml:space="preserve">y ROP v danom kalendárnom roku. </w:t>
      </w:r>
      <w:r w:rsidRPr="00C043A8">
        <w:rPr>
          <w:rFonts w:ascii="Times New Roman" w:hAnsi="Times New Roman"/>
          <w:sz w:val="24"/>
          <w:szCs w:val="24"/>
          <w:lang w:val="sk-SK"/>
        </w:rPr>
        <w:t>SO/RO pre ROP MK SR v spolupráci s RO pre ROP vydalo dňa 23. januára 2012 písomné vyzvanie určené pre vyšší územný celok Košice, ako oprávneného prijímateľa, v rámci ROP prioritnej osi 7 Európske hlavné mesto kultúry – Košice 2013.</w:t>
      </w:r>
    </w:p>
    <w:p w:rsidR="0016395B" w:rsidRPr="00C043A8" w:rsidP="00C638DA">
      <w:pPr>
        <w:bidi w:val="0"/>
        <w:spacing w:after="144" w:afterLines="60" w:line="320" w:lineRule="exact"/>
        <w:ind w:firstLine="708"/>
        <w:jc w:val="both"/>
        <w:rPr>
          <w:rFonts w:ascii="Times New Roman" w:hAnsi="Times New Roman"/>
          <w:sz w:val="24"/>
          <w:szCs w:val="24"/>
          <w:lang w:val="sk-SK"/>
        </w:rPr>
      </w:pPr>
      <w:r w:rsidRPr="00C043A8">
        <w:rPr>
          <w:rFonts w:ascii="Times New Roman" w:hAnsi="Times New Roman"/>
          <w:sz w:val="24"/>
          <w:szCs w:val="24"/>
          <w:lang w:val="sk-SK"/>
        </w:rPr>
        <w:t xml:space="preserve">Predpokladom vyhlásenia výziev uvedených v harmonograme na rok 2012 bolo vykonanie komplexnej aktualizácie riadiacich dokumentov ROP na základe revidovaného ROP (Programový manuál, Príručka pre žiadateľa/prijímateľa v rámci ROP, hodnotiace a výberové kritériá a pod.). V tejto súvislosti RO pre ROP inicioval aj rokovania s Úradom splnomocnenca vlády SR pre marginalizované rómske komunity a Ministerstvom práce, sociálnych vecí a rodiny SR ohľadom prípravy implementácie revidovanej stratégie ROP pre oblasť sociálnej infraštruktúry (komunitné centrá, deinštitucionalizácia zariadení). Zároveň RO pre ROP v súčinnosti so SO/RO pre ROP a Ministerstvom dopravy, výstavby a regionálneho rozvoja SR začal pripravovať výzvu pre oblasť podpory 4.1d – rozvojové dokumenty regiónov.  Vzhľadom na rozsah zmien bola aktualizácia riadiacej dokumentácie vykonaná až začiatkom roka 2012. RO pre ROP vyhlásil výzvu na predkladanie žiadostí o NFP pre oblasť podpory 2.1b ROP - komunitné centrá a výzvu pre oblasť podpory 4.1d – rozvojové dokumenty regiónov dňa 20.02.2012. </w:t>
      </w:r>
    </w:p>
    <w:p w:rsidR="0016395B" w:rsidRPr="00C043A8" w:rsidP="00C638DA">
      <w:pPr>
        <w:bidi w:val="0"/>
        <w:spacing w:after="144" w:afterLines="60" w:line="320" w:lineRule="exact"/>
        <w:ind w:firstLine="708"/>
        <w:jc w:val="both"/>
        <w:rPr>
          <w:rFonts w:ascii="Times New Roman" w:hAnsi="Times New Roman"/>
          <w:sz w:val="24"/>
          <w:szCs w:val="24"/>
          <w:lang w:val="sk-SK"/>
        </w:rPr>
      </w:pPr>
      <w:r w:rsidRPr="00C043A8">
        <w:rPr>
          <w:rFonts w:ascii="Times New Roman" w:hAnsi="Times New Roman"/>
          <w:sz w:val="24"/>
          <w:szCs w:val="24"/>
          <w:lang w:val="sk-SK"/>
        </w:rPr>
        <w:t>Na základe vývoja implementácie ROP v roku 2012 došlo k úpravám zverejneného indikatívneho harmonogramu na rok 2012 (aktualizácie zo dňa 08.03.2012, 31.07.2012 a 30.11.2012)</w:t>
      </w:r>
      <w:r>
        <w:rPr>
          <w:rStyle w:val="FootnoteReference"/>
          <w:rFonts w:ascii="Times New Roman" w:hAnsi="Times New Roman"/>
          <w:sz w:val="24"/>
          <w:szCs w:val="24"/>
          <w:rtl w:val="0"/>
          <w:lang w:val="sk-SK"/>
        </w:rPr>
        <w:footnoteReference w:customMarkFollows="1" w:id="4"/>
        <w:t xml:space="preserve">[</w:t>
      </w:r>
      <w:r w:rsidRPr="00C043A8">
        <w:rPr>
          <w:rStyle w:val="FootnoteReference"/>
          <w:rFonts w:ascii="Times New Roman" w:hAnsi="Times New Roman"/>
          <w:sz w:val="24"/>
          <w:szCs w:val="24"/>
          <w:lang w:val="sk-SK"/>
        </w:rPr>
        <w:t>2]</w:t>
      </w:r>
      <w:r w:rsidRPr="00C043A8">
        <w:rPr>
          <w:rFonts w:ascii="Times New Roman" w:hAnsi="Times New Roman"/>
          <w:sz w:val="24"/>
          <w:szCs w:val="24"/>
          <w:lang w:val="sk-SK"/>
        </w:rPr>
        <w:t>. Koncom roka dňa 21.12.2012 RO pre ROP vyhlásil výzvu na predkladanie žiadostí o NFP pre oblasť podpory 2.1a ROP - deinštitucionalizácia zariadení a opatrenia 5.1 ROP - regionálne komunikácie zabezpečujúce dopravú obslužnosť regiónov.</w:t>
      </w:r>
    </w:p>
    <w:p w:rsidR="0016395B" w:rsidRPr="00C043A8" w:rsidP="00C638DA">
      <w:pPr>
        <w:bidi w:val="0"/>
        <w:spacing w:after="144" w:afterLines="60" w:line="320" w:lineRule="exact"/>
        <w:ind w:firstLine="708"/>
        <w:jc w:val="both"/>
        <w:rPr>
          <w:rFonts w:ascii="Times New Roman" w:hAnsi="Times New Roman"/>
          <w:sz w:val="24"/>
          <w:szCs w:val="24"/>
          <w:lang w:val="sk-SK"/>
        </w:rPr>
      </w:pPr>
      <w:r w:rsidRPr="00C043A8">
        <w:rPr>
          <w:rFonts w:ascii="Times New Roman" w:hAnsi="Times New Roman"/>
          <w:sz w:val="24"/>
          <w:szCs w:val="24"/>
          <w:lang w:val="sk-SK"/>
        </w:rPr>
        <w:t xml:space="preserve">Dôvody nevyrovnaného vyhlasovania výziev v priebehu roku 2012 súvisia najmä s uskutočnenými dvoma revíziami ROP, ktoré sú popísané v časti 2.1a. </w:t>
      </w:r>
    </w:p>
    <w:p w:rsidR="0016395B" w:rsidRPr="00C043A8" w:rsidP="00C638DA">
      <w:pPr>
        <w:bidi w:val="0"/>
        <w:spacing w:after="144" w:afterLines="60" w:line="320" w:lineRule="exact"/>
        <w:ind w:firstLine="708"/>
        <w:jc w:val="both"/>
        <w:rPr>
          <w:rFonts w:ascii="Times New Roman" w:hAnsi="Times New Roman"/>
          <w:sz w:val="24"/>
          <w:szCs w:val="24"/>
          <w:lang w:val="sk-SK"/>
        </w:rPr>
      </w:pPr>
      <w:r w:rsidRPr="00C043A8">
        <w:rPr>
          <w:rFonts w:ascii="Times New Roman" w:hAnsi="Times New Roman"/>
          <w:sz w:val="24"/>
          <w:szCs w:val="24"/>
          <w:lang w:val="sk-SK"/>
        </w:rPr>
        <w:t xml:space="preserve">Harmonogram na rok 2013 bol zverejnený dňa 15.12.2012 na stránke </w:t>
      </w:r>
      <w:hyperlink r:id="rId20" w:history="1">
        <w:r w:rsidRPr="00C043A8">
          <w:rPr>
            <w:rStyle w:val="Hyperlink"/>
            <w:rFonts w:ascii="Times New Roman" w:hAnsi="Times New Roman"/>
            <w:color w:val="auto"/>
            <w:sz w:val="24"/>
            <w:szCs w:val="24"/>
            <w:u w:val="none"/>
            <w:lang w:val="sk-SK"/>
          </w:rPr>
          <w:t>www.ropka.sk</w:t>
        </w:r>
      </w:hyperlink>
      <w:r w:rsidRPr="00C043A8">
        <w:rPr>
          <w:rFonts w:ascii="Times New Roman" w:hAnsi="Times New Roman"/>
          <w:sz w:val="24"/>
          <w:szCs w:val="24"/>
          <w:lang w:val="sk-SK"/>
        </w:rPr>
        <w:t>.</w:t>
      </w:r>
    </w:p>
    <w:p w:rsidR="00592E94" w:rsidRPr="00C043A8" w:rsidP="00592E94">
      <w:pPr>
        <w:keepNext/>
        <w:bidi w:val="0"/>
        <w:rPr>
          <w:rFonts w:ascii="Times New Roman" w:hAnsi="Times New Roman"/>
          <w:b/>
          <w:bCs/>
          <w:color w:val="000000"/>
          <w:lang w:val="sk-SK"/>
        </w:rPr>
      </w:pPr>
    </w:p>
    <w:p w:rsidR="00592E94" w:rsidRPr="00C043A8" w:rsidP="00592E94">
      <w:pPr>
        <w:keepNext/>
        <w:bidi w:val="0"/>
        <w:rPr>
          <w:rFonts w:ascii="Times New Roman" w:hAnsi="Times New Roman"/>
          <w:color w:val="000000"/>
          <w:sz w:val="24"/>
          <w:szCs w:val="24"/>
          <w:lang w:val="sk-SK"/>
        </w:rPr>
      </w:pPr>
      <w:r w:rsidRPr="00C043A8">
        <w:rPr>
          <w:rFonts w:ascii="Times New Roman" w:hAnsi="Times New Roman"/>
          <w:b/>
          <w:bCs/>
          <w:color w:val="000000"/>
          <w:sz w:val="24"/>
          <w:szCs w:val="24"/>
          <w:lang w:val="sk-SK"/>
        </w:rPr>
        <w:t>Čerpanie  finančných prostriedkov za rok 2012 v €  (zdroje ERDF a ŠR)</w:t>
      </w:r>
    </w:p>
    <w:p w:rsidR="00592E94" w:rsidRPr="00C043A8" w:rsidP="00417B3A">
      <w:pPr>
        <w:keepNext/>
        <w:bidi w:val="0"/>
        <w:ind w:left="7080" w:firstLine="708"/>
        <w:jc w:val="center"/>
        <w:rPr>
          <w:rFonts w:ascii="Times New Roman" w:hAnsi="Times New Roman"/>
          <w:color w:val="000000"/>
          <w:lang w:val="sk-SK"/>
        </w:rPr>
      </w:pPr>
      <w:r w:rsidRPr="00C043A8" w:rsidR="00417B3A">
        <w:rPr>
          <w:rFonts w:ascii="Times New Roman" w:hAnsi="Times New Roman"/>
          <w:color w:val="000000"/>
          <w:lang w:val="sk-SK"/>
        </w:rPr>
        <w:t>Tabuľka č.</w:t>
      </w:r>
      <w:r w:rsidRPr="00C043A8">
        <w:rPr>
          <w:rFonts w:ascii="Times New Roman" w:hAnsi="Times New Roman"/>
          <w:color w:val="000000"/>
          <w:lang w:val="sk-SK"/>
        </w:rPr>
        <w:t> </w:t>
      </w:r>
    </w:p>
    <w:tbl>
      <w:tblPr>
        <w:tblStyle w:val="TableNormal"/>
        <w:tblW w:w="901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3348"/>
        <w:gridCol w:w="1850"/>
        <w:gridCol w:w="1555"/>
        <w:gridCol w:w="2263"/>
      </w:tblGrid>
      <w:tr>
        <w:tblPrEx>
          <w:tblW w:w="901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Ex>
        <w:trPr>
          <w:trHeight w:val="315"/>
        </w:trPr>
        <w:tc>
          <w:tcPr>
            <w:tcW w:w="3348" w:type="dxa"/>
            <w:tcBorders>
              <w:top w:val="single" w:sz="8" w:space="0" w:color="9BBB59"/>
              <w:left w:val="single" w:sz="8" w:space="0" w:color="9BBB59"/>
              <w:bottom w:val="single" w:sz="8" w:space="0" w:color="9BBB59"/>
              <w:right w:val="single" w:sz="8" w:space="0" w:color="9BBB59"/>
            </w:tcBorders>
            <w:shd w:val="clear" w:color="auto" w:fill="C2D69B"/>
            <w:noWrap/>
            <w:textDirection w:val="lrTb"/>
            <w:vAlign w:val="center"/>
            <w:hideMark/>
          </w:tcPr>
          <w:p w:rsidR="00C043A8" w:rsidRPr="00C638DA" w:rsidP="00C638DA">
            <w:pPr>
              <w:keepNext/>
              <w:bidi w:val="0"/>
              <w:rPr>
                <w:rFonts w:ascii="Times New Roman" w:eastAsia="Calibri" w:hAnsi="Times New Roman"/>
                <w:b/>
                <w:bCs/>
                <w:sz w:val="22"/>
                <w:szCs w:val="22"/>
                <w:lang w:val="sk-SK" w:eastAsia="en-US"/>
              </w:rPr>
            </w:pPr>
            <w:r w:rsidRPr="00C638DA">
              <w:rPr>
                <w:rFonts w:ascii="Times New Roman" w:hAnsi="Times New Roman"/>
                <w:b/>
                <w:bCs/>
                <w:sz w:val="22"/>
                <w:szCs w:val="22"/>
                <w:lang w:val="sk-SK"/>
              </w:rPr>
              <w:t>Programový dokument</w:t>
            </w:r>
          </w:p>
        </w:tc>
        <w:tc>
          <w:tcPr>
            <w:tcW w:w="1850" w:type="dxa"/>
            <w:tcBorders>
              <w:top w:val="single" w:sz="8" w:space="0" w:color="9BBB59"/>
              <w:left w:val="single" w:sz="8" w:space="0" w:color="9BBB59"/>
              <w:bottom w:val="single" w:sz="8" w:space="0" w:color="9BBB59"/>
              <w:right w:val="single" w:sz="8" w:space="0" w:color="9BBB59"/>
            </w:tcBorders>
            <w:shd w:val="clear" w:color="auto" w:fill="C2D69B"/>
            <w:noWrap/>
            <w:textDirection w:val="lrTb"/>
            <w:vAlign w:val="center"/>
            <w:hideMark/>
          </w:tcPr>
          <w:p w:rsidR="00C043A8" w:rsidRPr="00C638DA" w:rsidP="00C638DA">
            <w:pPr>
              <w:keepNext/>
              <w:bidi w:val="0"/>
              <w:jc w:val="center"/>
              <w:rPr>
                <w:rFonts w:ascii="Times New Roman" w:eastAsia="Calibri" w:hAnsi="Times New Roman"/>
                <w:b/>
                <w:bCs/>
                <w:sz w:val="22"/>
                <w:szCs w:val="22"/>
                <w:lang w:val="sk-SK" w:eastAsia="en-US"/>
              </w:rPr>
            </w:pPr>
            <w:r w:rsidRPr="00C638DA">
              <w:rPr>
                <w:rFonts w:ascii="Times New Roman" w:hAnsi="Times New Roman"/>
                <w:b/>
                <w:bCs/>
                <w:sz w:val="22"/>
                <w:szCs w:val="22"/>
                <w:lang w:val="sk-SK"/>
              </w:rPr>
              <w:t>ERDF</w:t>
            </w:r>
          </w:p>
        </w:tc>
        <w:tc>
          <w:tcPr>
            <w:tcW w:w="1555" w:type="dxa"/>
            <w:tcBorders>
              <w:top w:val="single" w:sz="8" w:space="0" w:color="9BBB59"/>
              <w:left w:val="single" w:sz="8" w:space="0" w:color="9BBB59"/>
              <w:bottom w:val="single" w:sz="8" w:space="0" w:color="9BBB59"/>
              <w:right w:val="single" w:sz="8" w:space="0" w:color="9BBB59"/>
            </w:tcBorders>
            <w:shd w:val="clear" w:color="auto" w:fill="C2D69B"/>
            <w:noWrap/>
            <w:textDirection w:val="lrTb"/>
            <w:vAlign w:val="center"/>
            <w:hideMark/>
          </w:tcPr>
          <w:p w:rsidR="00C043A8" w:rsidRPr="00C638DA" w:rsidP="00C638DA">
            <w:pPr>
              <w:keepNext/>
              <w:bidi w:val="0"/>
              <w:jc w:val="center"/>
              <w:rPr>
                <w:rFonts w:ascii="Times New Roman" w:eastAsia="Calibri" w:hAnsi="Times New Roman"/>
                <w:b/>
                <w:bCs/>
                <w:sz w:val="22"/>
                <w:szCs w:val="22"/>
                <w:lang w:val="sk-SK" w:eastAsia="en-US"/>
              </w:rPr>
            </w:pPr>
            <w:r w:rsidRPr="00C638DA">
              <w:rPr>
                <w:rFonts w:ascii="Times New Roman" w:hAnsi="Times New Roman"/>
                <w:b/>
                <w:bCs/>
                <w:sz w:val="22"/>
                <w:szCs w:val="22"/>
                <w:lang w:val="sk-SK"/>
              </w:rPr>
              <w:t>ŠR</w:t>
            </w:r>
          </w:p>
        </w:tc>
        <w:tc>
          <w:tcPr>
            <w:tcW w:w="2263" w:type="dxa"/>
            <w:tcBorders>
              <w:top w:val="single" w:sz="8" w:space="0" w:color="9BBB59"/>
              <w:left w:val="single" w:sz="8" w:space="0" w:color="9BBB59"/>
              <w:bottom w:val="single" w:sz="8" w:space="0" w:color="9BBB59"/>
              <w:right w:val="single" w:sz="8" w:space="0" w:color="9BBB59"/>
            </w:tcBorders>
            <w:shd w:val="clear" w:color="auto" w:fill="C2D69B"/>
            <w:noWrap/>
            <w:textDirection w:val="lrTb"/>
            <w:vAlign w:val="top"/>
            <w:hideMark/>
          </w:tcPr>
          <w:p w:rsidR="00C043A8" w:rsidRPr="00C638DA" w:rsidP="00C638DA">
            <w:pPr>
              <w:keepNext/>
              <w:bidi w:val="0"/>
              <w:jc w:val="center"/>
              <w:rPr>
                <w:rFonts w:ascii="Times New Roman" w:eastAsia="Calibri" w:hAnsi="Times New Roman"/>
                <w:b/>
                <w:bCs/>
                <w:sz w:val="22"/>
                <w:szCs w:val="22"/>
                <w:lang w:val="sk-SK" w:eastAsia="en-US"/>
              </w:rPr>
            </w:pPr>
            <w:r w:rsidRPr="00C638DA">
              <w:rPr>
                <w:rFonts w:ascii="Times New Roman" w:hAnsi="Times New Roman"/>
                <w:b/>
                <w:bCs/>
                <w:sz w:val="22"/>
                <w:szCs w:val="22"/>
                <w:lang w:val="sk-SK"/>
              </w:rPr>
              <w:t>Spolu Nenávratný finančný príspevok (ERDF+ŠR)</w:t>
            </w:r>
          </w:p>
        </w:tc>
      </w:tr>
      <w:tr>
        <w:tblPrEx>
          <w:tblW w:w="9016" w:type="dxa"/>
          <w:tblLook w:val="04A0"/>
        </w:tblPrEx>
        <w:trPr>
          <w:trHeight w:val="300"/>
        </w:trPr>
        <w:tc>
          <w:tcPr>
            <w:tcW w:w="3348" w:type="dxa"/>
            <w:tcBorders>
              <w:top w:val="single" w:sz="8" w:space="0" w:color="9BBB59"/>
              <w:left w:val="single" w:sz="8" w:space="0" w:color="9BBB59"/>
              <w:bottom w:val="single" w:sz="8" w:space="0" w:color="9BBB59"/>
              <w:right w:val="single" w:sz="8" w:space="0" w:color="9BBB59"/>
            </w:tcBorders>
            <w:shd w:val="clear" w:color="auto" w:fill="E6EED5"/>
            <w:textDirection w:val="lrTb"/>
            <w:vAlign w:val="top"/>
            <w:hideMark/>
          </w:tcPr>
          <w:p w:rsidR="00C043A8" w:rsidRPr="00C638DA" w:rsidP="00C638DA">
            <w:pPr>
              <w:keepNext/>
              <w:bidi w:val="0"/>
              <w:rPr>
                <w:rFonts w:ascii="Times New Roman" w:eastAsia="Calibri" w:hAnsi="Times New Roman"/>
                <w:b/>
                <w:bCs/>
                <w:color w:val="000000"/>
                <w:sz w:val="22"/>
                <w:szCs w:val="22"/>
                <w:lang w:val="sk-SK" w:eastAsia="en-US"/>
              </w:rPr>
            </w:pPr>
            <w:r w:rsidRPr="00C638DA">
              <w:rPr>
                <w:rFonts w:ascii="Times New Roman" w:hAnsi="Times New Roman"/>
                <w:b/>
                <w:bCs/>
                <w:color w:val="000000"/>
                <w:sz w:val="22"/>
                <w:szCs w:val="22"/>
                <w:lang w:val="sk-SK"/>
              </w:rPr>
              <w:t>Regionálny operačný program</w:t>
            </w:r>
          </w:p>
        </w:tc>
        <w:tc>
          <w:tcPr>
            <w:tcW w:w="1850" w:type="dxa"/>
            <w:tcBorders>
              <w:top w:val="single" w:sz="8" w:space="0" w:color="9BBB59"/>
              <w:left w:val="single" w:sz="8" w:space="0" w:color="9BBB59"/>
              <w:bottom w:val="single" w:sz="8" w:space="0" w:color="9BBB59"/>
              <w:right w:val="single" w:sz="8" w:space="0" w:color="9BBB59"/>
            </w:tcBorders>
            <w:shd w:val="clear" w:color="auto" w:fill="E6EED5"/>
            <w:noWrap/>
            <w:textDirection w:val="lrTb"/>
            <w:vAlign w:val="top"/>
            <w:hideMark/>
          </w:tcPr>
          <w:p w:rsidR="00C043A8" w:rsidRPr="00C638DA" w:rsidP="00C638DA">
            <w:pPr>
              <w:bidi w:val="0"/>
              <w:jc w:val="right"/>
              <w:rPr>
                <w:rFonts w:ascii="Times New Roman" w:eastAsia="Calibri" w:hAnsi="Times New Roman"/>
                <w:sz w:val="22"/>
                <w:szCs w:val="22"/>
                <w:lang w:val="sk-SK" w:eastAsia="en-US"/>
              </w:rPr>
            </w:pPr>
            <w:r w:rsidRPr="00C638DA">
              <w:rPr>
                <w:rFonts w:ascii="Times New Roman" w:hAnsi="Times New Roman"/>
                <w:sz w:val="22"/>
                <w:szCs w:val="22"/>
                <w:lang w:val="sk-SK"/>
              </w:rPr>
              <w:t>303 622 475,74</w:t>
            </w:r>
          </w:p>
        </w:tc>
        <w:tc>
          <w:tcPr>
            <w:tcW w:w="1555" w:type="dxa"/>
            <w:tcBorders>
              <w:top w:val="single" w:sz="8" w:space="0" w:color="9BBB59"/>
              <w:left w:val="single" w:sz="8" w:space="0" w:color="9BBB59"/>
              <w:bottom w:val="single" w:sz="8" w:space="0" w:color="9BBB59"/>
              <w:right w:val="single" w:sz="8" w:space="0" w:color="9BBB59"/>
            </w:tcBorders>
            <w:shd w:val="clear" w:color="auto" w:fill="E6EED5"/>
            <w:noWrap/>
            <w:textDirection w:val="lrTb"/>
            <w:vAlign w:val="top"/>
            <w:hideMark/>
          </w:tcPr>
          <w:p w:rsidR="00C043A8" w:rsidRPr="00C638DA" w:rsidP="00C638DA">
            <w:pPr>
              <w:bidi w:val="0"/>
              <w:jc w:val="right"/>
              <w:rPr>
                <w:rFonts w:ascii="Times New Roman" w:eastAsia="Calibri" w:hAnsi="Times New Roman"/>
                <w:sz w:val="22"/>
                <w:szCs w:val="22"/>
                <w:lang w:val="sk-SK" w:eastAsia="en-US"/>
              </w:rPr>
            </w:pPr>
            <w:r w:rsidRPr="00C638DA">
              <w:rPr>
                <w:rFonts w:ascii="Times New Roman" w:hAnsi="Times New Roman"/>
                <w:sz w:val="22"/>
                <w:szCs w:val="22"/>
                <w:lang w:val="sk-SK"/>
              </w:rPr>
              <w:t>39 020 002,52</w:t>
            </w:r>
          </w:p>
        </w:tc>
        <w:tc>
          <w:tcPr>
            <w:tcW w:w="2263" w:type="dxa"/>
            <w:tcBorders>
              <w:top w:val="single" w:sz="8" w:space="0" w:color="9BBB59"/>
              <w:left w:val="single" w:sz="8" w:space="0" w:color="9BBB59"/>
              <w:bottom w:val="single" w:sz="8" w:space="0" w:color="9BBB59"/>
              <w:right w:val="single" w:sz="8" w:space="0" w:color="9BBB59"/>
            </w:tcBorders>
            <w:shd w:val="clear" w:color="auto" w:fill="E6EED5"/>
            <w:noWrap/>
            <w:textDirection w:val="lrTb"/>
            <w:vAlign w:val="top"/>
            <w:hideMark/>
          </w:tcPr>
          <w:p w:rsidR="00C043A8" w:rsidRPr="00C638DA" w:rsidP="00C638DA">
            <w:pPr>
              <w:bidi w:val="0"/>
              <w:jc w:val="right"/>
              <w:rPr>
                <w:rFonts w:ascii="Times New Roman" w:eastAsia="Calibri" w:hAnsi="Times New Roman"/>
                <w:sz w:val="22"/>
                <w:szCs w:val="22"/>
                <w:lang w:val="sk-SK" w:eastAsia="en-US"/>
              </w:rPr>
            </w:pPr>
            <w:r w:rsidRPr="00C638DA">
              <w:rPr>
                <w:rFonts w:ascii="Times New Roman" w:hAnsi="Times New Roman"/>
                <w:sz w:val="22"/>
                <w:szCs w:val="22"/>
                <w:lang w:val="sk-SK"/>
              </w:rPr>
              <w:t>342 642 478,26</w:t>
            </w:r>
          </w:p>
        </w:tc>
      </w:tr>
      <w:tr>
        <w:tblPrEx>
          <w:tblW w:w="9016" w:type="dxa"/>
          <w:tblLook w:val="04A0"/>
        </w:tblPrEx>
        <w:trPr>
          <w:trHeight w:val="300"/>
        </w:trPr>
        <w:tc>
          <w:tcPr>
            <w:tcW w:w="3348" w:type="dxa"/>
            <w:tcBorders>
              <w:top w:val="single" w:sz="8" w:space="0" w:color="9BBB59"/>
              <w:left w:val="single" w:sz="8" w:space="0" w:color="9BBB59"/>
              <w:bottom w:val="single" w:sz="8" w:space="0" w:color="9BBB59"/>
              <w:right w:val="single" w:sz="8" w:space="0" w:color="9BBB59"/>
            </w:tcBorders>
            <w:textDirection w:val="lrTb"/>
            <w:vAlign w:val="top"/>
            <w:hideMark/>
          </w:tcPr>
          <w:p w:rsidR="00C043A8" w:rsidRPr="00C638DA" w:rsidP="00C638DA">
            <w:pPr>
              <w:keepNext/>
              <w:bidi w:val="0"/>
              <w:rPr>
                <w:rFonts w:ascii="Times New Roman" w:eastAsia="Calibri" w:hAnsi="Times New Roman"/>
                <w:b/>
                <w:bCs/>
                <w:color w:val="000000"/>
                <w:sz w:val="22"/>
                <w:szCs w:val="22"/>
                <w:lang w:val="sk-SK" w:eastAsia="en-US"/>
              </w:rPr>
            </w:pPr>
            <w:r w:rsidRPr="00C638DA">
              <w:rPr>
                <w:rFonts w:ascii="Times New Roman" w:hAnsi="Times New Roman"/>
                <w:b/>
                <w:bCs/>
                <w:color w:val="000000"/>
                <w:sz w:val="22"/>
                <w:szCs w:val="22"/>
                <w:lang w:val="sk-SK"/>
              </w:rPr>
              <w:t xml:space="preserve">Operačný program Bratislavský kraj </w:t>
            </w:r>
          </w:p>
        </w:tc>
        <w:tc>
          <w:tcPr>
            <w:tcW w:w="1850" w:type="dxa"/>
            <w:tcBorders>
              <w:top w:val="single" w:sz="8" w:space="0" w:color="9BBB59"/>
              <w:left w:val="single" w:sz="8" w:space="0" w:color="9BBB59"/>
              <w:bottom w:val="single" w:sz="8" w:space="0" w:color="9BBB59"/>
              <w:right w:val="single" w:sz="8" w:space="0" w:color="9BBB59"/>
            </w:tcBorders>
            <w:noWrap/>
            <w:textDirection w:val="lrTb"/>
            <w:vAlign w:val="top"/>
            <w:hideMark/>
          </w:tcPr>
          <w:p w:rsidR="00C043A8" w:rsidRPr="00C638DA" w:rsidP="00C638DA">
            <w:pPr>
              <w:bidi w:val="0"/>
              <w:jc w:val="right"/>
              <w:rPr>
                <w:rFonts w:ascii="Times New Roman" w:eastAsia="Calibri" w:hAnsi="Times New Roman"/>
                <w:sz w:val="22"/>
                <w:szCs w:val="22"/>
                <w:lang w:val="sk-SK" w:eastAsia="en-US"/>
              </w:rPr>
            </w:pPr>
            <w:r w:rsidRPr="00C638DA" w:rsidR="005D7DD4">
              <w:rPr>
                <w:rFonts w:ascii="Times New Roman" w:eastAsia="Calibri" w:hAnsi="Times New Roman"/>
                <w:sz w:val="22"/>
                <w:szCs w:val="22"/>
                <w:lang w:val="sk-SK" w:eastAsia="en-US"/>
              </w:rPr>
              <w:t>9 705 848,33</w:t>
            </w:r>
          </w:p>
        </w:tc>
        <w:tc>
          <w:tcPr>
            <w:tcW w:w="1555" w:type="dxa"/>
            <w:tcBorders>
              <w:top w:val="single" w:sz="8" w:space="0" w:color="9BBB59"/>
              <w:left w:val="single" w:sz="8" w:space="0" w:color="9BBB59"/>
              <w:bottom w:val="single" w:sz="8" w:space="0" w:color="9BBB59"/>
              <w:right w:val="single" w:sz="8" w:space="0" w:color="9BBB59"/>
            </w:tcBorders>
            <w:noWrap/>
            <w:textDirection w:val="lrTb"/>
            <w:vAlign w:val="top"/>
            <w:hideMark/>
          </w:tcPr>
          <w:p w:rsidR="00C043A8" w:rsidRPr="00C638DA" w:rsidP="00C638DA">
            <w:pPr>
              <w:bidi w:val="0"/>
              <w:jc w:val="right"/>
              <w:rPr>
                <w:rFonts w:ascii="Times New Roman" w:eastAsia="Calibri" w:hAnsi="Times New Roman"/>
                <w:sz w:val="22"/>
                <w:szCs w:val="22"/>
                <w:lang w:val="sk-SK" w:eastAsia="en-US"/>
              </w:rPr>
            </w:pPr>
            <w:r w:rsidRPr="00C638DA" w:rsidR="005D7DD4">
              <w:rPr>
                <w:rFonts w:ascii="Times New Roman" w:hAnsi="Times New Roman"/>
                <w:sz w:val="22"/>
                <w:szCs w:val="22"/>
                <w:lang w:val="sk-SK"/>
              </w:rPr>
              <w:t>1 575 795,39</w:t>
            </w:r>
          </w:p>
        </w:tc>
        <w:tc>
          <w:tcPr>
            <w:tcW w:w="2263" w:type="dxa"/>
            <w:tcBorders>
              <w:top w:val="single" w:sz="8" w:space="0" w:color="9BBB59"/>
              <w:left w:val="single" w:sz="8" w:space="0" w:color="9BBB59"/>
              <w:bottom w:val="single" w:sz="8" w:space="0" w:color="9BBB59"/>
              <w:right w:val="single" w:sz="8" w:space="0" w:color="9BBB59"/>
            </w:tcBorders>
            <w:noWrap/>
            <w:textDirection w:val="lrTb"/>
            <w:vAlign w:val="top"/>
            <w:hideMark/>
          </w:tcPr>
          <w:p w:rsidR="00C043A8" w:rsidRPr="00C638DA" w:rsidP="00C638DA">
            <w:pPr>
              <w:keepNext/>
              <w:bidi w:val="0"/>
              <w:jc w:val="right"/>
              <w:rPr>
                <w:rFonts w:ascii="Times New Roman" w:eastAsia="Calibri" w:hAnsi="Times New Roman"/>
                <w:color w:val="000000"/>
                <w:sz w:val="22"/>
                <w:szCs w:val="22"/>
                <w:lang w:val="sk-SK" w:eastAsia="en-US"/>
              </w:rPr>
            </w:pPr>
            <w:r w:rsidRPr="00C638DA" w:rsidR="005D7DD4">
              <w:rPr>
                <w:rFonts w:ascii="Times New Roman" w:hAnsi="Times New Roman"/>
                <w:color w:val="000000"/>
                <w:sz w:val="22"/>
                <w:szCs w:val="22"/>
                <w:lang w:val="sk-SK"/>
              </w:rPr>
              <w:t>11 281 643,72</w:t>
            </w:r>
          </w:p>
        </w:tc>
      </w:tr>
      <w:tr>
        <w:tblPrEx>
          <w:tblW w:w="9016" w:type="dxa"/>
          <w:tblLook w:val="04A0"/>
        </w:tblPrEx>
        <w:trPr>
          <w:trHeight w:val="300"/>
        </w:trPr>
        <w:tc>
          <w:tcPr>
            <w:tcW w:w="3348" w:type="dxa"/>
            <w:tcBorders>
              <w:top w:val="single" w:sz="8" w:space="0" w:color="9BBB59"/>
              <w:left w:val="single" w:sz="8" w:space="0" w:color="9BBB59"/>
              <w:bottom w:val="single" w:sz="8" w:space="0" w:color="9BBB59"/>
              <w:right w:val="single" w:sz="8" w:space="0" w:color="9BBB59"/>
            </w:tcBorders>
            <w:shd w:val="clear" w:color="auto" w:fill="E6EED5"/>
            <w:textDirection w:val="lrTb"/>
            <w:vAlign w:val="top"/>
            <w:hideMark/>
          </w:tcPr>
          <w:p w:rsidR="00C043A8" w:rsidRPr="00C638DA" w:rsidP="00C638DA">
            <w:pPr>
              <w:keepNext/>
              <w:bidi w:val="0"/>
              <w:rPr>
                <w:rFonts w:ascii="Times New Roman" w:eastAsia="Calibri" w:hAnsi="Times New Roman"/>
                <w:b/>
                <w:bCs/>
                <w:color w:val="000000"/>
                <w:sz w:val="22"/>
                <w:szCs w:val="22"/>
                <w:lang w:val="sk-SK" w:eastAsia="en-US"/>
              </w:rPr>
            </w:pPr>
            <w:r w:rsidRPr="00C638DA">
              <w:rPr>
                <w:rFonts w:ascii="Times New Roman" w:hAnsi="Times New Roman"/>
                <w:b/>
                <w:bCs/>
                <w:color w:val="000000"/>
                <w:sz w:val="22"/>
                <w:szCs w:val="22"/>
                <w:lang w:val="sk-SK"/>
              </w:rPr>
              <w:t>Cezhraničná spolupráca ČR-SR</w:t>
            </w:r>
          </w:p>
        </w:tc>
        <w:tc>
          <w:tcPr>
            <w:tcW w:w="1850" w:type="dxa"/>
            <w:tcBorders>
              <w:top w:val="single" w:sz="8" w:space="0" w:color="9BBB59"/>
              <w:left w:val="single" w:sz="8" w:space="0" w:color="9BBB59"/>
              <w:bottom w:val="single" w:sz="8" w:space="0" w:color="9BBB59"/>
              <w:right w:val="single" w:sz="8" w:space="0" w:color="9BBB59"/>
            </w:tcBorders>
            <w:shd w:val="clear" w:color="auto" w:fill="E6EED5"/>
            <w:noWrap/>
            <w:textDirection w:val="lrTb"/>
            <w:vAlign w:val="top"/>
            <w:hideMark/>
          </w:tcPr>
          <w:p w:rsidR="00C043A8" w:rsidRPr="00C638DA" w:rsidP="00C638DA">
            <w:pPr>
              <w:keepNext/>
              <w:bidi w:val="0"/>
              <w:jc w:val="right"/>
              <w:rPr>
                <w:rFonts w:ascii="Times New Roman" w:eastAsia="Calibri" w:hAnsi="Times New Roman"/>
                <w:color w:val="000000"/>
                <w:sz w:val="22"/>
                <w:szCs w:val="22"/>
                <w:lang w:val="sk-SK" w:eastAsia="en-US"/>
              </w:rPr>
            </w:pPr>
            <w:r w:rsidRPr="00C638DA">
              <w:rPr>
                <w:rFonts w:ascii="Times New Roman" w:hAnsi="Times New Roman"/>
                <w:color w:val="000000"/>
                <w:sz w:val="22"/>
                <w:szCs w:val="22"/>
                <w:lang w:val="sk-SK"/>
              </w:rPr>
              <w:t>14</w:t>
            </w:r>
            <w:r w:rsidRPr="00C638DA" w:rsidR="00840D2C">
              <w:rPr>
                <w:rFonts w:ascii="Times New Roman" w:hAnsi="Times New Roman"/>
                <w:color w:val="000000"/>
                <w:sz w:val="22"/>
                <w:szCs w:val="22"/>
                <w:lang w:val="sk-SK"/>
              </w:rPr>
              <w:t> 483 962</w:t>
            </w:r>
            <w:r w:rsidRPr="00C638DA">
              <w:rPr>
                <w:rFonts w:ascii="Times New Roman" w:hAnsi="Times New Roman"/>
                <w:color w:val="000000"/>
                <w:sz w:val="22"/>
                <w:szCs w:val="22"/>
                <w:lang w:val="sk-SK"/>
              </w:rPr>
              <w:t>,</w:t>
            </w:r>
            <w:r w:rsidRPr="00C638DA" w:rsidR="00840D2C">
              <w:rPr>
                <w:rFonts w:ascii="Times New Roman" w:hAnsi="Times New Roman"/>
                <w:color w:val="000000"/>
                <w:sz w:val="22"/>
                <w:szCs w:val="22"/>
                <w:lang w:val="sk-SK"/>
              </w:rPr>
              <w:t>74</w:t>
            </w:r>
          </w:p>
        </w:tc>
        <w:tc>
          <w:tcPr>
            <w:tcW w:w="1555" w:type="dxa"/>
            <w:tcBorders>
              <w:top w:val="single" w:sz="8" w:space="0" w:color="9BBB59"/>
              <w:left w:val="single" w:sz="8" w:space="0" w:color="9BBB59"/>
              <w:bottom w:val="single" w:sz="8" w:space="0" w:color="9BBB59"/>
              <w:right w:val="single" w:sz="8" w:space="0" w:color="9BBB59"/>
            </w:tcBorders>
            <w:shd w:val="clear" w:color="auto" w:fill="E6EED5"/>
            <w:noWrap/>
            <w:textDirection w:val="lrTb"/>
            <w:vAlign w:val="top"/>
            <w:hideMark/>
          </w:tcPr>
          <w:p w:rsidR="00C043A8" w:rsidRPr="00C638DA" w:rsidP="00C638DA">
            <w:pPr>
              <w:keepNext/>
              <w:bidi w:val="0"/>
              <w:jc w:val="right"/>
              <w:rPr>
                <w:rFonts w:ascii="Times New Roman" w:eastAsia="Calibri" w:hAnsi="Times New Roman"/>
                <w:color w:val="000000"/>
                <w:sz w:val="22"/>
                <w:szCs w:val="22"/>
                <w:lang w:val="sk-SK" w:eastAsia="en-US"/>
              </w:rPr>
            </w:pPr>
            <w:r w:rsidRPr="00C638DA">
              <w:rPr>
                <w:rFonts w:ascii="Times New Roman" w:hAnsi="Times New Roman"/>
                <w:color w:val="000000"/>
                <w:sz w:val="22"/>
                <w:szCs w:val="22"/>
                <w:lang w:val="sk-SK"/>
              </w:rPr>
              <w:t>1 128 048,17</w:t>
            </w:r>
          </w:p>
        </w:tc>
        <w:tc>
          <w:tcPr>
            <w:tcW w:w="2263" w:type="dxa"/>
            <w:tcBorders>
              <w:top w:val="single" w:sz="8" w:space="0" w:color="9BBB59"/>
              <w:left w:val="single" w:sz="8" w:space="0" w:color="9BBB59"/>
              <w:bottom w:val="single" w:sz="8" w:space="0" w:color="9BBB59"/>
              <w:right w:val="single" w:sz="8" w:space="0" w:color="9BBB59"/>
            </w:tcBorders>
            <w:shd w:val="clear" w:color="auto" w:fill="E6EED5"/>
            <w:noWrap/>
            <w:textDirection w:val="lrTb"/>
            <w:vAlign w:val="top"/>
            <w:hideMark/>
          </w:tcPr>
          <w:p w:rsidR="00C043A8" w:rsidRPr="00C638DA" w:rsidP="00C638DA">
            <w:pPr>
              <w:keepNext/>
              <w:bidi w:val="0"/>
              <w:jc w:val="right"/>
              <w:rPr>
                <w:rFonts w:ascii="Times New Roman" w:eastAsia="Calibri" w:hAnsi="Times New Roman"/>
                <w:color w:val="000000"/>
                <w:sz w:val="22"/>
                <w:szCs w:val="22"/>
                <w:lang w:val="sk-SK" w:eastAsia="en-US"/>
              </w:rPr>
            </w:pPr>
            <w:r w:rsidRPr="00C638DA">
              <w:rPr>
                <w:rFonts w:ascii="Times New Roman" w:hAnsi="Times New Roman"/>
                <w:color w:val="000000"/>
                <w:sz w:val="22"/>
                <w:szCs w:val="22"/>
                <w:lang w:val="sk-SK"/>
              </w:rPr>
              <w:t>1</w:t>
            </w:r>
            <w:r w:rsidRPr="00C638DA" w:rsidR="00840D2C">
              <w:rPr>
                <w:rFonts w:ascii="Times New Roman" w:hAnsi="Times New Roman"/>
                <w:color w:val="000000"/>
                <w:sz w:val="22"/>
                <w:szCs w:val="22"/>
                <w:lang w:val="sk-SK"/>
              </w:rPr>
              <w:t>5</w:t>
            </w:r>
            <w:r w:rsidRPr="00C638DA">
              <w:rPr>
                <w:rFonts w:ascii="Times New Roman" w:hAnsi="Times New Roman"/>
                <w:color w:val="000000"/>
                <w:sz w:val="22"/>
                <w:szCs w:val="22"/>
                <w:lang w:val="sk-SK"/>
              </w:rPr>
              <w:t> </w:t>
            </w:r>
            <w:r w:rsidRPr="00C638DA" w:rsidR="00840D2C">
              <w:rPr>
                <w:rFonts w:ascii="Times New Roman" w:hAnsi="Times New Roman"/>
                <w:color w:val="000000"/>
                <w:sz w:val="22"/>
                <w:szCs w:val="22"/>
                <w:lang w:val="sk-SK"/>
              </w:rPr>
              <w:t>612 010,91</w:t>
            </w:r>
          </w:p>
        </w:tc>
      </w:tr>
      <w:tr>
        <w:tblPrEx>
          <w:tblW w:w="9016" w:type="dxa"/>
          <w:tblLook w:val="04A0"/>
        </w:tblPrEx>
        <w:trPr>
          <w:trHeight w:val="315"/>
        </w:trPr>
        <w:tc>
          <w:tcPr>
            <w:tcW w:w="3348" w:type="dxa"/>
            <w:tcBorders>
              <w:top w:val="single" w:sz="8" w:space="0" w:color="9BBB59"/>
              <w:left w:val="single" w:sz="8" w:space="0" w:color="9BBB59"/>
              <w:bottom w:val="single" w:sz="8" w:space="0" w:color="9BBB59"/>
              <w:right w:val="single" w:sz="8" w:space="0" w:color="9BBB59"/>
            </w:tcBorders>
            <w:textDirection w:val="lrTb"/>
            <w:vAlign w:val="top"/>
            <w:hideMark/>
          </w:tcPr>
          <w:p w:rsidR="00C043A8" w:rsidRPr="00C638DA" w:rsidP="00C638DA">
            <w:pPr>
              <w:keepNext/>
              <w:bidi w:val="0"/>
              <w:rPr>
                <w:rFonts w:ascii="Times New Roman" w:eastAsia="Calibri" w:hAnsi="Times New Roman"/>
                <w:b/>
                <w:bCs/>
                <w:color w:val="000000"/>
                <w:sz w:val="22"/>
                <w:szCs w:val="22"/>
                <w:lang w:val="sk-SK" w:eastAsia="en-US"/>
              </w:rPr>
            </w:pPr>
            <w:r w:rsidRPr="00C638DA">
              <w:rPr>
                <w:rFonts w:ascii="Times New Roman" w:hAnsi="Times New Roman"/>
                <w:b/>
                <w:bCs/>
                <w:color w:val="000000"/>
                <w:sz w:val="22"/>
                <w:szCs w:val="22"/>
                <w:lang w:val="sk-SK"/>
              </w:rPr>
              <w:t>OP Cezhraničnej spolupráce**</w:t>
            </w:r>
          </w:p>
        </w:tc>
        <w:tc>
          <w:tcPr>
            <w:tcW w:w="1850" w:type="dxa"/>
            <w:tcBorders>
              <w:top w:val="single" w:sz="8" w:space="0" w:color="9BBB59"/>
              <w:left w:val="single" w:sz="8" w:space="0" w:color="9BBB59"/>
              <w:bottom w:val="single" w:sz="8" w:space="0" w:color="9BBB59"/>
              <w:right w:val="single" w:sz="8" w:space="0" w:color="9BBB59"/>
            </w:tcBorders>
            <w:noWrap/>
            <w:textDirection w:val="lrTb"/>
            <w:vAlign w:val="top"/>
            <w:hideMark/>
          </w:tcPr>
          <w:p w:rsidR="00C043A8" w:rsidRPr="00C638DA" w:rsidP="00C638DA">
            <w:pPr>
              <w:keepNext/>
              <w:bidi w:val="0"/>
              <w:jc w:val="right"/>
              <w:rPr>
                <w:rFonts w:ascii="Times New Roman" w:eastAsia="Calibri" w:hAnsi="Times New Roman"/>
                <w:color w:val="000000"/>
                <w:sz w:val="22"/>
                <w:szCs w:val="22"/>
                <w:lang w:val="sk-SK" w:eastAsia="en-US"/>
              </w:rPr>
            </w:pPr>
            <w:r w:rsidRPr="00C638DA">
              <w:rPr>
                <w:rFonts w:ascii="Times New Roman" w:hAnsi="Times New Roman"/>
                <w:color w:val="000000"/>
                <w:sz w:val="22"/>
                <w:szCs w:val="22"/>
                <w:lang w:val="sk-SK"/>
              </w:rPr>
              <w:t>0,00</w:t>
            </w:r>
          </w:p>
        </w:tc>
        <w:tc>
          <w:tcPr>
            <w:tcW w:w="1555" w:type="dxa"/>
            <w:tcBorders>
              <w:top w:val="single" w:sz="8" w:space="0" w:color="9BBB59"/>
              <w:left w:val="single" w:sz="8" w:space="0" w:color="9BBB59"/>
              <w:bottom w:val="single" w:sz="8" w:space="0" w:color="9BBB59"/>
              <w:right w:val="single" w:sz="8" w:space="0" w:color="9BBB59"/>
            </w:tcBorders>
            <w:noWrap/>
            <w:textDirection w:val="lrTb"/>
            <w:vAlign w:val="top"/>
            <w:hideMark/>
          </w:tcPr>
          <w:p w:rsidR="00C043A8" w:rsidRPr="00C638DA" w:rsidP="00C638DA">
            <w:pPr>
              <w:keepNext/>
              <w:bidi w:val="0"/>
              <w:jc w:val="right"/>
              <w:rPr>
                <w:rFonts w:ascii="Times New Roman" w:eastAsia="Calibri" w:hAnsi="Times New Roman"/>
                <w:color w:val="000000"/>
                <w:sz w:val="22"/>
                <w:szCs w:val="22"/>
                <w:lang w:val="sk-SK" w:eastAsia="en-US"/>
              </w:rPr>
            </w:pPr>
            <w:r w:rsidRPr="00C638DA">
              <w:rPr>
                <w:rFonts w:ascii="Times New Roman" w:hAnsi="Times New Roman"/>
                <w:color w:val="000000"/>
                <w:sz w:val="22"/>
                <w:szCs w:val="22"/>
                <w:lang w:val="sk-SK"/>
              </w:rPr>
              <w:t>4 014 600,52</w:t>
            </w:r>
          </w:p>
        </w:tc>
        <w:tc>
          <w:tcPr>
            <w:tcW w:w="2263" w:type="dxa"/>
            <w:tcBorders>
              <w:top w:val="single" w:sz="8" w:space="0" w:color="9BBB59"/>
              <w:left w:val="single" w:sz="8" w:space="0" w:color="9BBB59"/>
              <w:bottom w:val="single" w:sz="8" w:space="0" w:color="9BBB59"/>
              <w:right w:val="single" w:sz="8" w:space="0" w:color="9BBB59"/>
            </w:tcBorders>
            <w:noWrap/>
            <w:textDirection w:val="lrTb"/>
            <w:vAlign w:val="top"/>
            <w:hideMark/>
          </w:tcPr>
          <w:p w:rsidR="00C043A8" w:rsidRPr="00C638DA" w:rsidP="00C638DA">
            <w:pPr>
              <w:keepNext/>
              <w:bidi w:val="0"/>
              <w:jc w:val="right"/>
              <w:rPr>
                <w:rFonts w:ascii="Times New Roman" w:eastAsia="Calibri" w:hAnsi="Times New Roman"/>
                <w:color w:val="000000"/>
                <w:sz w:val="22"/>
                <w:szCs w:val="22"/>
                <w:lang w:val="sk-SK" w:eastAsia="en-US"/>
              </w:rPr>
            </w:pPr>
            <w:r w:rsidRPr="00C638DA">
              <w:rPr>
                <w:rFonts w:ascii="Times New Roman" w:hAnsi="Times New Roman"/>
                <w:color w:val="000000"/>
                <w:sz w:val="22"/>
                <w:szCs w:val="22"/>
                <w:lang w:val="sk-SK"/>
              </w:rPr>
              <w:t>4 014 600,52</w:t>
            </w:r>
          </w:p>
        </w:tc>
      </w:tr>
      <w:tr>
        <w:tblPrEx>
          <w:tblW w:w="9016" w:type="dxa"/>
          <w:tblLook w:val="04A0"/>
        </w:tblPrEx>
        <w:trPr>
          <w:trHeight w:val="315"/>
        </w:trPr>
        <w:tc>
          <w:tcPr>
            <w:tcW w:w="3348" w:type="dxa"/>
            <w:tcBorders>
              <w:top w:val="single" w:sz="8" w:space="0" w:color="9BBB59"/>
              <w:left w:val="single" w:sz="8" w:space="0" w:color="9BBB59"/>
              <w:bottom w:val="single" w:sz="8" w:space="0" w:color="9BBB59"/>
              <w:right w:val="single" w:sz="8" w:space="0" w:color="9BBB59"/>
            </w:tcBorders>
            <w:shd w:val="clear" w:color="auto" w:fill="E6EED5"/>
            <w:noWrap/>
            <w:textDirection w:val="lrTb"/>
            <w:vAlign w:val="top"/>
            <w:hideMark/>
          </w:tcPr>
          <w:p w:rsidR="00C043A8" w:rsidRPr="00C638DA" w:rsidP="00C638DA">
            <w:pPr>
              <w:keepNext/>
              <w:bidi w:val="0"/>
              <w:rPr>
                <w:rFonts w:ascii="Times New Roman" w:eastAsia="Calibri" w:hAnsi="Times New Roman"/>
                <w:b/>
                <w:bCs/>
                <w:sz w:val="22"/>
                <w:szCs w:val="22"/>
                <w:lang w:val="sk-SK" w:eastAsia="en-US"/>
              </w:rPr>
            </w:pPr>
            <w:r w:rsidRPr="00C638DA">
              <w:rPr>
                <w:rFonts w:ascii="Times New Roman" w:hAnsi="Times New Roman"/>
                <w:b/>
                <w:bCs/>
                <w:sz w:val="22"/>
                <w:szCs w:val="22"/>
                <w:lang w:val="sk-SK"/>
              </w:rPr>
              <w:t>Spolu</w:t>
            </w:r>
          </w:p>
        </w:tc>
        <w:tc>
          <w:tcPr>
            <w:tcW w:w="1850" w:type="dxa"/>
            <w:tcBorders>
              <w:top w:val="single" w:sz="8" w:space="0" w:color="9BBB59"/>
              <w:left w:val="single" w:sz="8" w:space="0" w:color="9BBB59"/>
              <w:bottom w:val="single" w:sz="8" w:space="0" w:color="9BBB59"/>
              <w:right w:val="single" w:sz="8" w:space="0" w:color="9BBB59"/>
            </w:tcBorders>
            <w:shd w:val="clear" w:color="auto" w:fill="E6EED5"/>
            <w:noWrap/>
            <w:textDirection w:val="lrTb"/>
            <w:vAlign w:val="top"/>
            <w:hideMark/>
          </w:tcPr>
          <w:p w:rsidR="00C043A8" w:rsidRPr="00C638DA" w:rsidP="00C638DA">
            <w:pPr>
              <w:keepNext/>
              <w:bidi w:val="0"/>
              <w:jc w:val="right"/>
              <w:rPr>
                <w:rFonts w:ascii="Times New Roman" w:eastAsia="Calibri" w:hAnsi="Times New Roman"/>
                <w:b/>
                <w:bCs/>
                <w:sz w:val="22"/>
                <w:szCs w:val="22"/>
                <w:lang w:val="sk-SK" w:eastAsia="en-US"/>
              </w:rPr>
            </w:pPr>
            <w:r w:rsidRPr="00C638DA">
              <w:rPr>
                <w:rFonts w:ascii="Times New Roman" w:hAnsi="Times New Roman"/>
                <w:b/>
                <w:bCs/>
                <w:sz w:val="22"/>
                <w:szCs w:val="22"/>
                <w:lang w:val="sk-SK"/>
              </w:rPr>
              <w:t>32</w:t>
            </w:r>
            <w:r w:rsidRPr="00C638DA" w:rsidR="00840D2C">
              <w:rPr>
                <w:rFonts w:ascii="Times New Roman" w:hAnsi="Times New Roman"/>
                <w:b/>
                <w:bCs/>
                <w:sz w:val="22"/>
                <w:szCs w:val="22"/>
                <w:lang w:val="sk-SK"/>
              </w:rPr>
              <w:t>7 812 286</w:t>
            </w:r>
            <w:r w:rsidRPr="00C638DA">
              <w:rPr>
                <w:rFonts w:ascii="Times New Roman" w:hAnsi="Times New Roman"/>
                <w:b/>
                <w:bCs/>
                <w:sz w:val="22"/>
                <w:szCs w:val="22"/>
                <w:lang w:val="sk-SK"/>
              </w:rPr>
              <w:t>,</w:t>
            </w:r>
            <w:r w:rsidRPr="00C638DA" w:rsidR="00840D2C">
              <w:rPr>
                <w:rFonts w:ascii="Times New Roman" w:hAnsi="Times New Roman"/>
                <w:b/>
                <w:bCs/>
                <w:sz w:val="22"/>
                <w:szCs w:val="22"/>
                <w:lang w:val="sk-SK"/>
              </w:rPr>
              <w:t>81</w:t>
            </w:r>
          </w:p>
        </w:tc>
        <w:tc>
          <w:tcPr>
            <w:tcW w:w="1555" w:type="dxa"/>
            <w:tcBorders>
              <w:top w:val="single" w:sz="8" w:space="0" w:color="9BBB59"/>
              <w:left w:val="single" w:sz="8" w:space="0" w:color="9BBB59"/>
              <w:bottom w:val="single" w:sz="8" w:space="0" w:color="9BBB59"/>
              <w:right w:val="single" w:sz="8" w:space="0" w:color="9BBB59"/>
            </w:tcBorders>
            <w:shd w:val="clear" w:color="auto" w:fill="E6EED5"/>
            <w:noWrap/>
            <w:textDirection w:val="lrTb"/>
            <w:vAlign w:val="top"/>
            <w:hideMark/>
          </w:tcPr>
          <w:p w:rsidR="00C043A8" w:rsidRPr="00C638DA" w:rsidP="00C638DA">
            <w:pPr>
              <w:keepNext/>
              <w:bidi w:val="0"/>
              <w:jc w:val="right"/>
              <w:rPr>
                <w:rFonts w:ascii="Times New Roman" w:eastAsia="Calibri" w:hAnsi="Times New Roman"/>
                <w:b/>
                <w:bCs/>
                <w:sz w:val="22"/>
                <w:szCs w:val="22"/>
                <w:lang w:val="sk-SK" w:eastAsia="en-US"/>
              </w:rPr>
            </w:pPr>
            <w:r w:rsidRPr="00C638DA">
              <w:rPr>
                <w:rFonts w:ascii="Times New Roman" w:hAnsi="Times New Roman"/>
                <w:b/>
                <w:bCs/>
                <w:sz w:val="22"/>
                <w:szCs w:val="22"/>
                <w:lang w:val="sk-SK"/>
              </w:rPr>
              <w:t>45 </w:t>
            </w:r>
            <w:r w:rsidRPr="00C638DA" w:rsidR="00840D2C">
              <w:rPr>
                <w:rFonts w:ascii="Times New Roman" w:hAnsi="Times New Roman"/>
                <w:b/>
                <w:bCs/>
                <w:sz w:val="22"/>
                <w:szCs w:val="22"/>
                <w:lang w:val="sk-SK"/>
              </w:rPr>
              <w:t>738</w:t>
            </w:r>
            <w:r w:rsidRPr="00C638DA">
              <w:rPr>
                <w:rFonts w:ascii="Times New Roman" w:hAnsi="Times New Roman"/>
                <w:b/>
                <w:bCs/>
                <w:sz w:val="22"/>
                <w:szCs w:val="22"/>
                <w:lang w:val="sk-SK"/>
              </w:rPr>
              <w:t xml:space="preserve"> </w:t>
            </w:r>
            <w:r w:rsidRPr="00C638DA" w:rsidR="00840D2C">
              <w:rPr>
                <w:rFonts w:ascii="Times New Roman" w:hAnsi="Times New Roman"/>
                <w:b/>
                <w:bCs/>
                <w:sz w:val="22"/>
                <w:szCs w:val="22"/>
                <w:lang w:val="sk-SK"/>
              </w:rPr>
              <w:t>446</w:t>
            </w:r>
            <w:r w:rsidRPr="00C638DA">
              <w:rPr>
                <w:rFonts w:ascii="Times New Roman" w:hAnsi="Times New Roman"/>
                <w:b/>
                <w:bCs/>
                <w:sz w:val="22"/>
                <w:szCs w:val="22"/>
                <w:lang w:val="sk-SK"/>
              </w:rPr>
              <w:t>,6</w:t>
            </w:r>
            <w:r w:rsidRPr="00C638DA" w:rsidR="00840D2C">
              <w:rPr>
                <w:rFonts w:ascii="Times New Roman" w:hAnsi="Times New Roman"/>
                <w:b/>
                <w:bCs/>
                <w:sz w:val="22"/>
                <w:szCs w:val="22"/>
                <w:lang w:val="sk-SK"/>
              </w:rPr>
              <w:t>0</w:t>
            </w:r>
          </w:p>
        </w:tc>
        <w:tc>
          <w:tcPr>
            <w:tcW w:w="2263" w:type="dxa"/>
            <w:tcBorders>
              <w:top w:val="single" w:sz="8" w:space="0" w:color="9BBB59"/>
              <w:left w:val="single" w:sz="8" w:space="0" w:color="9BBB59"/>
              <w:bottom w:val="single" w:sz="8" w:space="0" w:color="9BBB59"/>
              <w:right w:val="single" w:sz="8" w:space="0" w:color="9BBB59"/>
            </w:tcBorders>
            <w:shd w:val="clear" w:color="auto" w:fill="E6EED5"/>
            <w:noWrap/>
            <w:textDirection w:val="lrTb"/>
            <w:vAlign w:val="top"/>
            <w:hideMark/>
          </w:tcPr>
          <w:p w:rsidR="00C043A8" w:rsidRPr="00C638DA" w:rsidP="00C638DA">
            <w:pPr>
              <w:keepNext/>
              <w:bidi w:val="0"/>
              <w:jc w:val="right"/>
              <w:rPr>
                <w:rFonts w:ascii="Times New Roman" w:eastAsia="Calibri" w:hAnsi="Times New Roman"/>
                <w:b/>
                <w:bCs/>
                <w:sz w:val="22"/>
                <w:szCs w:val="22"/>
                <w:lang w:val="sk-SK" w:eastAsia="en-US"/>
              </w:rPr>
            </w:pPr>
            <w:r w:rsidRPr="00C638DA">
              <w:rPr>
                <w:rFonts w:ascii="Times New Roman" w:hAnsi="Times New Roman"/>
                <w:b/>
                <w:bCs/>
                <w:sz w:val="22"/>
                <w:szCs w:val="22"/>
                <w:lang w:val="sk-SK"/>
              </w:rPr>
              <w:t>37</w:t>
            </w:r>
            <w:r w:rsidRPr="00C638DA" w:rsidR="006A3F64">
              <w:rPr>
                <w:rFonts w:ascii="Times New Roman" w:hAnsi="Times New Roman"/>
                <w:b/>
                <w:bCs/>
                <w:sz w:val="22"/>
                <w:szCs w:val="22"/>
                <w:lang w:val="sk-SK"/>
              </w:rPr>
              <w:t>3</w:t>
            </w:r>
            <w:r w:rsidRPr="00C638DA">
              <w:rPr>
                <w:rFonts w:ascii="Times New Roman" w:hAnsi="Times New Roman"/>
                <w:b/>
                <w:bCs/>
                <w:sz w:val="22"/>
                <w:szCs w:val="22"/>
                <w:lang w:val="sk-SK"/>
              </w:rPr>
              <w:t> 5</w:t>
            </w:r>
            <w:r w:rsidRPr="00C638DA" w:rsidR="006A3F64">
              <w:rPr>
                <w:rFonts w:ascii="Times New Roman" w:hAnsi="Times New Roman"/>
                <w:b/>
                <w:bCs/>
                <w:sz w:val="22"/>
                <w:szCs w:val="22"/>
                <w:lang w:val="sk-SK"/>
              </w:rPr>
              <w:t>50</w:t>
            </w:r>
            <w:r w:rsidRPr="00C638DA">
              <w:rPr>
                <w:rFonts w:ascii="Times New Roman" w:hAnsi="Times New Roman"/>
                <w:b/>
                <w:bCs/>
                <w:sz w:val="22"/>
                <w:szCs w:val="22"/>
                <w:lang w:val="sk-SK"/>
              </w:rPr>
              <w:t> </w:t>
            </w:r>
            <w:r w:rsidRPr="00C638DA" w:rsidR="006A3F64">
              <w:rPr>
                <w:rFonts w:ascii="Times New Roman" w:hAnsi="Times New Roman"/>
                <w:b/>
                <w:bCs/>
                <w:sz w:val="22"/>
                <w:szCs w:val="22"/>
                <w:lang w:val="sk-SK"/>
              </w:rPr>
              <w:t>733</w:t>
            </w:r>
            <w:r w:rsidRPr="00C638DA">
              <w:rPr>
                <w:rFonts w:ascii="Times New Roman" w:hAnsi="Times New Roman"/>
                <w:b/>
                <w:bCs/>
                <w:sz w:val="22"/>
                <w:szCs w:val="22"/>
                <w:lang w:val="sk-SK"/>
              </w:rPr>
              <w:t>,4</w:t>
            </w:r>
            <w:r w:rsidRPr="00C638DA" w:rsidR="006A3F64">
              <w:rPr>
                <w:rFonts w:ascii="Times New Roman" w:hAnsi="Times New Roman"/>
                <w:b/>
                <w:bCs/>
                <w:sz w:val="22"/>
                <w:szCs w:val="22"/>
                <w:lang w:val="sk-SK"/>
              </w:rPr>
              <w:t>1</w:t>
            </w:r>
          </w:p>
        </w:tc>
      </w:tr>
    </w:tbl>
    <w:p w:rsidR="00417B3A" w:rsidRPr="00C043A8" w:rsidP="00417B3A">
      <w:pPr>
        <w:bidi w:val="0"/>
        <w:rPr>
          <w:rFonts w:ascii="Times New Roman" w:hAnsi="Times New Roman"/>
          <w:lang w:val="sk-SK"/>
        </w:rPr>
      </w:pPr>
      <w:r w:rsidRPr="00C043A8">
        <w:rPr>
          <w:rFonts w:ascii="Times New Roman" w:hAnsi="Times New Roman"/>
          <w:lang w:val="sk-SK"/>
        </w:rPr>
        <w:t>Prameň:</w:t>
      </w:r>
    </w:p>
    <w:p w:rsidR="00417B3A" w:rsidRPr="00C043A8" w:rsidP="00417B3A">
      <w:pPr>
        <w:bidi w:val="0"/>
        <w:jc w:val="both"/>
        <w:rPr>
          <w:rFonts w:ascii="Times New Roman" w:hAnsi="Times New Roman"/>
          <w:lang w:val="sk-SK"/>
        </w:rPr>
      </w:pPr>
      <w:r w:rsidRPr="00C043A8">
        <w:rPr>
          <w:rFonts w:ascii="Times New Roman" w:hAnsi="Times New Roman"/>
          <w:color w:val="000000"/>
          <w:lang w:val="sk-SK"/>
        </w:rPr>
        <w:t>** V prípade programov Cezhraničnej spolupráce 2007-2013 okrem programu Cezhraničná spolupráca ČR-SR platobná jednotka uhrádza len časť spolufinancovania zo štátneho rozpočtu.</w:t>
      </w:r>
    </w:p>
    <w:p w:rsidR="0016395B" w:rsidRPr="00C043A8" w:rsidP="00C638DA">
      <w:pPr>
        <w:bidi w:val="0"/>
        <w:spacing w:after="144" w:afterLines="60" w:line="320" w:lineRule="exact"/>
        <w:jc w:val="both"/>
        <w:rPr>
          <w:rFonts w:ascii="Times New Roman" w:hAnsi="Times New Roman"/>
          <w:b/>
          <w:sz w:val="24"/>
          <w:szCs w:val="24"/>
          <w:lang w:val="sk-SK"/>
        </w:rPr>
      </w:pPr>
    </w:p>
    <w:p w:rsidR="0016395B" w:rsidRPr="00C043A8" w:rsidP="00EF22CC">
      <w:pPr>
        <w:bidi w:val="0"/>
        <w:spacing w:after="144" w:afterLines="60" w:line="320" w:lineRule="exact"/>
        <w:jc w:val="both"/>
        <w:rPr>
          <w:rFonts w:ascii="Times New Roman" w:hAnsi="Times New Roman"/>
          <w:sz w:val="24"/>
          <w:szCs w:val="24"/>
          <w:lang w:val="sk-SK"/>
        </w:rPr>
      </w:pPr>
    </w:p>
    <w:sectPr w:rsidSect="00592E94">
      <w:footerReference w:type="default" r:id="rId21"/>
      <w:pgSz w:w="11906" w:h="16838"/>
      <w:pgMar w:top="1417" w:right="1417" w:bottom="1417"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Narrow">
    <w:panose1 w:val="020B0606020202030204"/>
    <w:charset w:val="EE"/>
    <w:family w:val="swiss"/>
    <w:pitch w:val="variable"/>
    <w:sig w:usb0="00000000" w:usb1="00000000" w:usb2="00000000" w:usb3="00000000" w:csb0="0000009F" w:csb1="00000000"/>
  </w:font>
  <w:font w:name="EUAlbertina-Regular-Identity-H">
    <w:altName w:val="Arial Unicode MS"/>
    <w:panose1 w:val="00000000000000000000"/>
    <w:charset w:val="EE"/>
    <w:family w:val="auto"/>
    <w:pitch w:val="default"/>
    <w:sig w:usb0="00000000"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283">
    <w:pPr>
      <w:pStyle w:val="Footer"/>
      <w:bidi w:val="0"/>
      <w:jc w:val="center"/>
      <w:rPr>
        <w:rFonts w:ascii="Times New Roman" w:hAnsi="Times New Roman"/>
      </w:rPr>
    </w:pPr>
    <w:r w:rsidR="00EF22CC">
      <w:rPr>
        <w:rFonts w:ascii="Times New Roman" w:hAnsi="Times New Roman"/>
      </w:rPr>
      <w:fldChar w:fldCharType="begin"/>
    </w:r>
    <w:r w:rsidR="00EF22CC">
      <w:rPr>
        <w:rFonts w:ascii="Times New Roman" w:hAnsi="Times New Roman"/>
      </w:rPr>
      <w:instrText xml:space="preserve"> PAGE   \* MERGEFORMAT </w:instrText>
    </w:r>
    <w:r w:rsidR="00EF22CC">
      <w:rPr>
        <w:rFonts w:ascii="Times New Roman" w:hAnsi="Times New Roman"/>
      </w:rPr>
      <w:fldChar w:fldCharType="separate"/>
    </w:r>
    <w:r w:rsidR="009C1587">
      <w:rPr>
        <w:rFonts w:ascii="Times New Roman" w:hAnsi="Times New Roman"/>
        <w:noProof/>
      </w:rPr>
      <w:t>1</w:t>
    </w:r>
    <w:r w:rsidR="00EF22CC">
      <w:rPr>
        <w:rFonts w:ascii="Times New Roman" w:hAnsi="Times New Roman"/>
      </w:rPr>
      <w:fldChar w:fldCharType="end"/>
    </w:r>
  </w:p>
  <w:p w:rsidR="00AB6283">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20B" w:rsidP="0016395B">
      <w:pPr>
        <w:bidi w:val="0"/>
        <w:rPr>
          <w:rFonts w:ascii="Times New Roman" w:hAnsi="Times New Roman"/>
        </w:rPr>
      </w:pPr>
      <w:r>
        <w:rPr>
          <w:rFonts w:ascii="Times New Roman" w:hAnsi="Times New Roman"/>
        </w:rPr>
        <w:separator/>
      </w:r>
    </w:p>
  </w:footnote>
  <w:footnote w:type="continuationSeparator" w:id="1">
    <w:p w:rsidR="003D120B" w:rsidP="0016395B">
      <w:pPr>
        <w:bidi w:val="0"/>
        <w:rPr>
          <w:rFonts w:ascii="Times New Roman" w:hAnsi="Times New Roman"/>
        </w:rPr>
      </w:pPr>
      <w:r>
        <w:rPr>
          <w:rFonts w:ascii="Times New Roman" w:hAnsi="Times New Roman"/>
        </w:rPr>
        <w:continuationSeparator/>
      </w:r>
    </w:p>
  </w:footnote>
  <w:footnote w:id="2">
    <w:p w:rsidP="006F7211">
      <w:pPr>
        <w:pStyle w:val="BodyText"/>
        <w:tabs>
          <w:tab w:val="num" w:pos="720"/>
        </w:tabs>
        <w:bidi w:val="0"/>
        <w:spacing w:after="120"/>
      </w:pPr>
      <w:r w:rsidRPr="00781DE6" w:rsidR="006F7211">
        <w:rPr>
          <w:rFonts w:ascii="Times New Roman" w:hAnsi="Times New Roman"/>
          <w:vertAlign w:val="superscript"/>
        </w:rPr>
        <w:footnoteRef/>
      </w:r>
      <w:r w:rsidRPr="00781DE6" w:rsidR="006F7211">
        <w:rPr>
          <w:rFonts w:ascii="Times New Roman" w:hAnsi="Times New Roman"/>
        </w:rPr>
        <w:t xml:space="preserve"> V rámci druhej revízie ROP boli presunuté úspory dosiahnuté za obdobie február- december 2011.V prioritnej osi 1 boli dosiahnuté úspory vo výške 21,5 mil. </w:t>
      </w:r>
      <w:r w:rsidR="00AB6283">
        <w:rPr>
          <w:rFonts w:ascii="Times New Roman" w:hAnsi="Times New Roman"/>
        </w:rPr>
        <w:t>€</w:t>
      </w:r>
      <w:r w:rsidRPr="00781DE6" w:rsidR="006F7211">
        <w:rPr>
          <w:rFonts w:ascii="Times New Roman" w:hAnsi="Times New Roman"/>
        </w:rPr>
        <w:t xml:space="preserve"> (zdroje EÚ + verejné zdroje SR), z toho najväčšiu časť tvorila úspora na základe zníženia rozpočtov projektov po verejných obstarávaniach a odstúpenia od zmluvy na základe porušenia zo strany prijímateľov. V rámci prioritných osí 2 až 5 boli dosiahnuté úspory vo výške 31,7 mil. </w:t>
      </w:r>
      <w:r w:rsidR="00AB6283">
        <w:rPr>
          <w:rFonts w:ascii="Times New Roman" w:hAnsi="Times New Roman"/>
        </w:rPr>
        <w:t>€</w:t>
      </w:r>
      <w:r w:rsidRPr="00781DE6" w:rsidR="006F7211">
        <w:rPr>
          <w:rFonts w:ascii="Times New Roman" w:hAnsi="Times New Roman"/>
        </w:rPr>
        <w:t xml:space="preserve"> (zdroje EÚ + verejné zdroje SR) , ktoré boli presunuté do prioritnej osi 1. </w:t>
      </w:r>
    </w:p>
  </w:footnote>
  <w:footnote w:id="3">
    <w:p w:rsidP="00417B3A">
      <w:pPr>
        <w:pStyle w:val="BodyText"/>
        <w:tabs>
          <w:tab w:val="num" w:pos="720"/>
        </w:tabs>
        <w:bidi w:val="0"/>
        <w:spacing w:after="120"/>
      </w:pPr>
      <w:r w:rsidRPr="00781DE6" w:rsidR="006F7211">
        <w:rPr>
          <w:rFonts w:ascii="Times New Roman" w:hAnsi="Times New Roman"/>
          <w:vertAlign w:val="superscript"/>
        </w:rPr>
        <w:footnoteRef/>
      </w:r>
      <w:r w:rsidRPr="00781DE6" w:rsidR="006F7211">
        <w:rPr>
          <w:rFonts w:ascii="Times New Roman" w:hAnsi="Times New Roman"/>
        </w:rPr>
        <w:t xml:space="preserve"> V rámci tretej  revízie ROP boli presunuté úspory dosiahnuté za obdobie január- máj 2012.V prioritnej osi 1 boli dosiahnuté úspory vo výške 11,3 mil. </w:t>
      </w:r>
      <w:r w:rsidR="00AB6283">
        <w:rPr>
          <w:rFonts w:ascii="Times New Roman" w:hAnsi="Times New Roman"/>
        </w:rPr>
        <w:t>€</w:t>
      </w:r>
      <w:r w:rsidRPr="00781DE6" w:rsidR="006F7211">
        <w:rPr>
          <w:rFonts w:ascii="Times New Roman" w:hAnsi="Times New Roman"/>
        </w:rPr>
        <w:t xml:space="preserve"> (zdroje EÚ + verejné zdroje SR). V ostatných prioritných osiach boli dosiahnuté úspory vo výške 30,5 mil. </w:t>
      </w:r>
      <w:r w:rsidR="00AB6283">
        <w:rPr>
          <w:rFonts w:ascii="Times New Roman" w:hAnsi="Times New Roman"/>
        </w:rPr>
        <w:t>€</w:t>
      </w:r>
      <w:r w:rsidRPr="00781DE6" w:rsidR="006F7211">
        <w:rPr>
          <w:rFonts w:ascii="Times New Roman" w:hAnsi="Times New Roman"/>
        </w:rPr>
        <w:t xml:space="preserve"> (zdroje EÚ + verejné zdroje SR) , ktoré boli presunuté do prioritnej osi 1. </w:t>
      </w:r>
      <w:r w:rsidR="006F7211">
        <w:t xml:space="preserve"> </w:t>
      </w:r>
    </w:p>
  </w:footnote>
  <w:footnote w:id="4">
    <w:p w:rsidP="0016395B">
      <w:pPr>
        <w:pStyle w:val="FootnoteText"/>
        <w:bidi w:val="0"/>
        <w:jc w:val="both"/>
      </w:pPr>
      <w:r w:rsidRPr="00592E94" w:rsidR="0016395B">
        <w:rPr>
          <w:rStyle w:val="FootnoteReference"/>
          <w:rFonts w:ascii="Times New Roman" w:hAnsi="Times New Roman"/>
        </w:rPr>
        <w:t>[2]</w:t>
      </w:r>
      <w:r w:rsidRPr="00592E94" w:rsidR="0016395B">
        <w:rPr>
          <w:rFonts w:ascii="Times New Roman" w:hAnsi="Times New Roman" w:hint="default"/>
        </w:rPr>
        <w:t xml:space="preserve"> RO pre ROP vyhlá</w:t>
      </w:r>
      <w:r w:rsidRPr="00592E94" w:rsidR="0016395B">
        <w:rPr>
          <w:rFonts w:ascii="Times New Roman" w:hAnsi="Times New Roman" w:hint="default"/>
        </w:rPr>
        <w:t>sil dň</w:t>
      </w:r>
      <w:r w:rsidRPr="00592E94" w:rsidR="0016395B">
        <w:rPr>
          <w:rFonts w:ascii="Times New Roman" w:hAnsi="Times New Roman" w:hint="default"/>
        </w:rPr>
        <w:t xml:space="preserve">a 31.01.2013 </w:t>
      </w:r>
      <w:r w:rsidRPr="00592E94" w:rsidR="0016395B">
        <w:rPr>
          <w:rFonts w:ascii="Times New Roman" w:hAnsi="Times New Roman" w:hint="default"/>
        </w:rPr>
        <w:t>tri vý</w:t>
      </w:r>
      <w:r w:rsidRPr="00592E94" w:rsidR="0016395B">
        <w:rPr>
          <w:rFonts w:ascii="Times New Roman" w:hAnsi="Times New Roman" w:hint="default"/>
        </w:rPr>
        <w:t>zvy na predkladanie ž</w:t>
      </w:r>
      <w:r w:rsidRPr="00592E94" w:rsidR="0016395B">
        <w:rPr>
          <w:rFonts w:ascii="Times New Roman" w:hAnsi="Times New Roman" w:hint="default"/>
        </w:rPr>
        <w:t>iadostí</w:t>
      </w:r>
      <w:r w:rsidRPr="00592E94" w:rsidR="0016395B">
        <w:rPr>
          <w:rFonts w:ascii="Times New Roman" w:hAnsi="Times New Roman" w:hint="default"/>
        </w:rPr>
        <w:t xml:space="preserve"> o NFP v </w:t>
      </w:r>
      <w:r w:rsidRPr="00592E94" w:rsidR="0016395B">
        <w:rPr>
          <w:rFonts w:ascii="Times New Roman" w:hAnsi="Times New Roman" w:hint="default"/>
        </w:rPr>
        <w:t>nadvä</w:t>
      </w:r>
      <w:r w:rsidRPr="00592E94" w:rsidR="0016395B">
        <w:rPr>
          <w:rFonts w:ascii="Times New Roman" w:hAnsi="Times New Roman" w:hint="default"/>
        </w:rPr>
        <w:t>znosti na uznesenie vlá</w:t>
      </w:r>
      <w:r w:rsidRPr="00592E94" w:rsidR="0016395B">
        <w:rPr>
          <w:rFonts w:ascii="Times New Roman" w:hAnsi="Times New Roman" w:hint="default"/>
        </w:rPr>
        <w:t>dy SR</w:t>
      </w:r>
      <w:r w:rsidR="00592E94">
        <w:rPr>
          <w:rFonts w:ascii="Times New Roman" w:hAnsi="Times New Roman"/>
        </w:rPr>
        <w:t xml:space="preserve"> </w:t>
      </w:r>
      <w:r w:rsidRPr="00592E94" w:rsidR="0016395B">
        <w:rPr>
          <w:rFonts w:ascii="Times New Roman" w:hAnsi="Times New Roman" w:hint="default"/>
        </w:rPr>
        <w:t>č</w:t>
      </w:r>
      <w:r w:rsidRPr="00592E94" w:rsidR="0016395B">
        <w:rPr>
          <w:rFonts w:ascii="Times New Roman" w:hAnsi="Times New Roman" w:hint="default"/>
        </w:rPr>
        <w:t>. 566/2010 pre oblasti/obce najviac postihnuté</w:t>
      </w:r>
      <w:r w:rsidRPr="00592E94" w:rsidR="0016395B">
        <w:rPr>
          <w:rFonts w:ascii="Times New Roman" w:hAnsi="Times New Roman" w:hint="default"/>
        </w:rPr>
        <w:t xml:space="preserve"> povodň</w:t>
      </w:r>
      <w:r w:rsidRPr="00592E94" w:rsidR="0016395B">
        <w:rPr>
          <w:rFonts w:ascii="Times New Roman" w:hAnsi="Times New Roman" w:hint="default"/>
        </w:rPr>
        <w:t>ami v </w:t>
      </w:r>
      <w:r w:rsidRPr="00592E94" w:rsidR="0016395B">
        <w:rPr>
          <w:rFonts w:ascii="Times New Roman" w:hAnsi="Times New Roman" w:hint="default"/>
        </w:rPr>
        <w:t>rá</w:t>
      </w:r>
      <w:r w:rsidRPr="00592E94" w:rsidR="0016395B">
        <w:rPr>
          <w:rFonts w:ascii="Times New Roman" w:hAnsi="Times New Roman" w:hint="default"/>
        </w:rPr>
        <w:t>mci oblasti podpory 4.1a ROP Regenerá</w:t>
      </w:r>
      <w:r w:rsidRPr="00592E94" w:rsidR="0016395B">
        <w:rPr>
          <w:rFonts w:ascii="Times New Roman" w:hAnsi="Times New Roman" w:hint="default"/>
        </w:rPr>
        <w:t>cia sí</w:t>
      </w:r>
      <w:r w:rsidRPr="00592E94" w:rsidR="0016395B">
        <w:rPr>
          <w:rFonts w:ascii="Times New Roman" w:hAnsi="Times New Roman" w:hint="default"/>
        </w:rPr>
        <w:t xml:space="preserve">del </w:t>
      </w:r>
      <w:r w:rsidRPr="00592E94" w:rsidR="0016395B">
        <w:rPr>
          <w:rFonts w:ascii="Times New Roman" w:hAnsi="Times New Roman" w:hint="default"/>
        </w:rPr>
        <w:t>–</w:t>
      </w:r>
      <w:r w:rsidRPr="00592E94" w:rsidR="0016395B">
        <w:rPr>
          <w:rFonts w:ascii="Times New Roman" w:hAnsi="Times New Roman" w:hint="default"/>
        </w:rPr>
        <w:t xml:space="preserve"> samostatné</w:t>
      </w:r>
      <w:r w:rsidRPr="00592E94" w:rsidR="0016395B">
        <w:rPr>
          <w:rFonts w:ascii="Times New Roman" w:hAnsi="Times New Roman" w:hint="default"/>
        </w:rPr>
        <w:t xml:space="preserve"> dopytovo orientované</w:t>
      </w:r>
      <w:r w:rsidRPr="00592E94" w:rsidR="0016395B">
        <w:rPr>
          <w:rFonts w:ascii="Times New Roman" w:hAnsi="Times New Roman" w:hint="default"/>
        </w:rPr>
        <w:t xml:space="preserve"> projekty, 4.1c ROP Regenerá</w:t>
      </w:r>
      <w:r w:rsidRPr="00592E94" w:rsidR="0016395B">
        <w:rPr>
          <w:rFonts w:ascii="Times New Roman" w:hAnsi="Times New Roman" w:hint="default"/>
        </w:rPr>
        <w:t>cia sí</w:t>
      </w:r>
      <w:r w:rsidRPr="00592E94" w:rsidR="0016395B">
        <w:rPr>
          <w:rFonts w:ascii="Times New Roman" w:hAnsi="Times New Roman" w:hint="default"/>
        </w:rPr>
        <w:t>del</w:t>
      </w:r>
      <w:r w:rsidRPr="00592E94" w:rsidR="0016395B">
        <w:rPr>
          <w:rFonts w:ascii="Times New Roman" w:hAnsi="Times New Roman" w:hint="default"/>
        </w:rPr>
        <w:t xml:space="preserve"> </w:t>
      </w:r>
      <w:r w:rsidRPr="00592E94" w:rsidR="0016395B">
        <w:rPr>
          <w:rFonts w:ascii="Times New Roman" w:hAnsi="Times New Roman" w:hint="default"/>
        </w:rPr>
        <w:t>–</w:t>
      </w:r>
      <w:r w:rsidRPr="00592E94" w:rsidR="0016395B">
        <w:rPr>
          <w:rFonts w:ascii="Times New Roman" w:hAnsi="Times New Roman" w:hint="default"/>
        </w:rPr>
        <w:t xml:space="preserve"> projekty rozvoja obcí</w:t>
      </w:r>
      <w:r w:rsidRPr="00592E94" w:rsidR="0016395B">
        <w:rPr>
          <w:rFonts w:ascii="Times New Roman" w:hAnsi="Times New Roman" w:hint="default"/>
        </w:rPr>
        <w:t xml:space="preserve"> s </w:t>
      </w:r>
      <w:r w:rsidRPr="00592E94" w:rsidR="0016395B">
        <w:rPr>
          <w:rFonts w:ascii="Times New Roman" w:hAnsi="Times New Roman" w:hint="default"/>
        </w:rPr>
        <w:t>ró</w:t>
      </w:r>
      <w:r w:rsidRPr="00592E94" w:rsidR="0016395B">
        <w:rPr>
          <w:rFonts w:ascii="Times New Roman" w:hAnsi="Times New Roman" w:hint="default"/>
        </w:rPr>
        <w:t>mskymi osí</w:t>
      </w:r>
      <w:r w:rsidRPr="00592E94" w:rsidR="0016395B">
        <w:rPr>
          <w:rFonts w:ascii="Times New Roman" w:hAnsi="Times New Roman" w:hint="default"/>
        </w:rPr>
        <w:t>dleniami vo vidieckom prostredí</w:t>
      </w:r>
      <w:r w:rsidRPr="00592E94" w:rsidR="0016395B">
        <w:rPr>
          <w:rFonts w:ascii="Times New Roman" w:hAnsi="Times New Roman" w:hint="default"/>
        </w:rPr>
        <w:t xml:space="preserve"> a </w:t>
      </w:r>
      <w:r w:rsidRPr="00592E94" w:rsidR="0016395B">
        <w:rPr>
          <w:rFonts w:ascii="Times New Roman" w:hAnsi="Times New Roman" w:hint="default"/>
        </w:rPr>
        <w:t xml:space="preserve"> 5.1 Regioná</w:t>
      </w:r>
      <w:r w:rsidRPr="00592E94" w:rsidR="0016395B">
        <w:rPr>
          <w:rFonts w:ascii="Times New Roman" w:hAnsi="Times New Roman" w:hint="default"/>
        </w:rPr>
        <w:t>lne komuniká</w:t>
      </w:r>
      <w:r w:rsidRPr="00592E94" w:rsidR="0016395B">
        <w:rPr>
          <w:rFonts w:ascii="Times New Roman" w:hAnsi="Times New Roman" w:hint="default"/>
        </w:rPr>
        <w:t>cie zabezpeč</w:t>
      </w:r>
      <w:r w:rsidRPr="00592E94" w:rsidR="0016395B">
        <w:rPr>
          <w:rFonts w:ascii="Times New Roman" w:hAnsi="Times New Roman" w:hint="default"/>
        </w:rPr>
        <w:t>ujú</w:t>
      </w:r>
      <w:r w:rsidRPr="00592E94" w:rsidR="0016395B">
        <w:rPr>
          <w:rFonts w:ascii="Times New Roman" w:hAnsi="Times New Roman" w:hint="default"/>
        </w:rPr>
        <w:t>ce dopravú</w:t>
      </w:r>
      <w:r w:rsidRPr="00592E94" w:rsidR="0016395B">
        <w:rPr>
          <w:rFonts w:ascii="Times New Roman" w:hAnsi="Times New Roman" w:hint="default"/>
        </w:rPr>
        <w:t xml:space="preserve"> obsluž</w:t>
      </w:r>
      <w:r w:rsidRPr="00592E94" w:rsidR="0016395B">
        <w:rPr>
          <w:rFonts w:ascii="Times New Roman" w:hAnsi="Times New Roman" w:hint="default"/>
        </w:rPr>
        <w:t>nosť</w:t>
      </w:r>
      <w:r w:rsidRPr="00592E94" w:rsidR="0016395B">
        <w:rPr>
          <w:rFonts w:ascii="Times New Roman" w:hAnsi="Times New Roman" w:hint="default"/>
        </w:rPr>
        <w:t xml:space="preserve"> regió</w:t>
      </w:r>
      <w:r w:rsidRPr="00592E94" w:rsidR="0016395B">
        <w:rPr>
          <w:rFonts w:ascii="Times New Roman" w:hAnsi="Times New Roman" w:hint="default"/>
        </w:rPr>
        <w:t>nov ROP.</w:t>
      </w:r>
      <w:bookmarkStart w:id="1" w:name="_GoBack"/>
      <w:bookmarkEnd w:id="1"/>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A46F38"/>
    <w:rsid w:val="000102FA"/>
    <w:rsid w:val="00020A3D"/>
    <w:rsid w:val="00080766"/>
    <w:rsid w:val="00086990"/>
    <w:rsid w:val="00097648"/>
    <w:rsid w:val="000C0053"/>
    <w:rsid w:val="000C5E86"/>
    <w:rsid w:val="000F4CD4"/>
    <w:rsid w:val="00113CAC"/>
    <w:rsid w:val="001235B3"/>
    <w:rsid w:val="00125C2A"/>
    <w:rsid w:val="00127D83"/>
    <w:rsid w:val="0016395B"/>
    <w:rsid w:val="001B0309"/>
    <w:rsid w:val="001B0C88"/>
    <w:rsid w:val="001D56CE"/>
    <w:rsid w:val="00205B21"/>
    <w:rsid w:val="00222CEE"/>
    <w:rsid w:val="00295A6D"/>
    <w:rsid w:val="002D35C1"/>
    <w:rsid w:val="00316924"/>
    <w:rsid w:val="003302BC"/>
    <w:rsid w:val="003D120B"/>
    <w:rsid w:val="003D52B7"/>
    <w:rsid w:val="003D5F1A"/>
    <w:rsid w:val="00402D05"/>
    <w:rsid w:val="00415054"/>
    <w:rsid w:val="00417B3A"/>
    <w:rsid w:val="00454738"/>
    <w:rsid w:val="00465355"/>
    <w:rsid w:val="004745C0"/>
    <w:rsid w:val="004B25E6"/>
    <w:rsid w:val="004C4B58"/>
    <w:rsid w:val="00514812"/>
    <w:rsid w:val="00592E94"/>
    <w:rsid w:val="005D7DD4"/>
    <w:rsid w:val="00635381"/>
    <w:rsid w:val="00683B2A"/>
    <w:rsid w:val="006A3F64"/>
    <w:rsid w:val="006F7211"/>
    <w:rsid w:val="00781DE6"/>
    <w:rsid w:val="007B594B"/>
    <w:rsid w:val="00840D2C"/>
    <w:rsid w:val="0095461B"/>
    <w:rsid w:val="009B3C7F"/>
    <w:rsid w:val="009C1587"/>
    <w:rsid w:val="009F015D"/>
    <w:rsid w:val="00A46F38"/>
    <w:rsid w:val="00A95476"/>
    <w:rsid w:val="00AB5DB0"/>
    <w:rsid w:val="00AB6283"/>
    <w:rsid w:val="00AE7E47"/>
    <w:rsid w:val="00B21487"/>
    <w:rsid w:val="00B90CE2"/>
    <w:rsid w:val="00BE2850"/>
    <w:rsid w:val="00BF6D46"/>
    <w:rsid w:val="00C043A8"/>
    <w:rsid w:val="00C638DA"/>
    <w:rsid w:val="00C7094A"/>
    <w:rsid w:val="00C87469"/>
    <w:rsid w:val="00CB4814"/>
    <w:rsid w:val="00CE6CAF"/>
    <w:rsid w:val="00D42748"/>
    <w:rsid w:val="00E84F6A"/>
    <w:rsid w:val="00EF22CC"/>
    <w:rsid w:val="00F97257"/>
    <w:rsid w:val="00FF772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38"/>
    <w:pPr>
      <w:framePr w:wrap="auto"/>
      <w:widowControl/>
      <w:autoSpaceDE/>
      <w:autoSpaceDN/>
      <w:adjustRightInd/>
      <w:ind w:left="0" w:right="0"/>
      <w:jc w:val="left"/>
      <w:textAlignment w:val="auto"/>
    </w:pPr>
    <w:rPr>
      <w:rFonts w:cs="Times New Roman"/>
      <w:sz w:val="20"/>
      <w:szCs w:val="20"/>
      <w:rtl w:val="0"/>
      <w:cs w:val="0"/>
      <w:lang w:val="cs-CZ" w:eastAsia="sk-SK" w:bidi="ar-SA"/>
    </w:rPr>
  </w:style>
  <w:style w:type="paragraph" w:styleId="Heading2">
    <w:name w:val="heading 2"/>
    <w:basedOn w:val="Normal"/>
    <w:next w:val="Normal"/>
    <w:link w:val="Heading2Char"/>
    <w:qFormat/>
    <w:rsid w:val="00A46F38"/>
    <w:pPr>
      <w:keepNext/>
      <w:tabs>
        <w:tab w:val="center" w:pos="1980"/>
      </w:tabs>
      <w:jc w:val="left"/>
      <w:outlineLvl w:val="1"/>
    </w:pPr>
    <w:rPr>
      <w:rFonts w:ascii="Arial" w:hAnsi="Arial" w:cs="Arial"/>
      <w:b/>
      <w:bCs/>
      <w:caps/>
      <w:szCs w:val="24"/>
      <w:lang w:val="sk-SK"/>
    </w:rPr>
  </w:style>
  <w:style w:type="paragraph" w:styleId="Heading3">
    <w:name w:val="heading 3"/>
    <w:basedOn w:val="Normal"/>
    <w:next w:val="Normal"/>
    <w:link w:val="Heading3Char"/>
    <w:semiHidden/>
    <w:unhideWhenUsed/>
    <w:qFormat/>
    <w:rsid w:val="0016395B"/>
    <w:pPr>
      <w:keepNext/>
      <w:spacing w:before="240" w:after="60"/>
      <w:jc w:val="lef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2Char">
    <w:name w:val="Heading 2 Char"/>
    <w:basedOn w:val="DefaultParagraphFont"/>
    <w:link w:val="Heading2"/>
    <w:locked/>
    <w:rsid w:val="00A46F38"/>
    <w:rPr>
      <w:rFonts w:ascii="Arial" w:hAnsi="Arial" w:cs="Arial"/>
      <w:b/>
      <w:bCs/>
      <w:caps/>
      <w:sz w:val="24"/>
      <w:szCs w:val="24"/>
      <w:rtl w:val="0"/>
      <w:cs w:val="0"/>
      <w:lang w:val="x-none" w:eastAsia="sk-SK"/>
    </w:rPr>
  </w:style>
  <w:style w:type="character" w:customStyle="1" w:styleId="Heading3Char">
    <w:name w:val="Heading 3 Char"/>
    <w:basedOn w:val="DefaultParagraphFont"/>
    <w:link w:val="Heading3"/>
    <w:semiHidden/>
    <w:locked/>
    <w:rsid w:val="0016395B"/>
    <w:rPr>
      <w:rFonts w:ascii="Cambria" w:hAnsi="Cambria" w:cs="Times New Roman"/>
      <w:b/>
      <w:bCs/>
      <w:sz w:val="26"/>
      <w:szCs w:val="26"/>
      <w:rtl w:val="0"/>
      <w:cs w:val="0"/>
      <w:lang w:val="cs-CZ" w:eastAsia="sk-SK"/>
    </w:rPr>
  </w:style>
  <w:style w:type="character" w:styleId="Hyperlink">
    <w:name w:val="Hyperlink"/>
    <w:uiPriority w:val="99"/>
    <w:unhideWhenUsed/>
    <w:rsid w:val="0016395B"/>
    <w:rPr>
      <w:color w:val="0000FF"/>
      <w:u w:val="single"/>
    </w:rPr>
  </w:style>
  <w:style w:type="character" w:customStyle="1" w:styleId="FootnoteTextChar">
    <w:name w:val="Footnote Text Char"/>
    <w:aliases w:val="Text poznámky pod èiarou 007 Char,Text poznámky pod čiarou 007 Char,_Poznámka pod čiarou Char"/>
    <w:link w:val="FootnoteText"/>
    <w:uiPriority w:val="99"/>
    <w:locked/>
    <w:rsid w:val="0016395B"/>
    <w:rPr>
      <w:rFonts w:ascii="Arial" w:hAnsi="Arial" w:cs="Arial"/>
    </w:rPr>
  </w:style>
  <w:style w:type="paragraph" w:styleId="FootnoteText">
    <w:name w:val="footnote text"/>
    <w:aliases w:val="Text poznámky pod èiarou 007,Text poznámky pod čiarou 007,_Poznámka pod čiarou"/>
    <w:basedOn w:val="Normal"/>
    <w:link w:val="FootnoteTextChar"/>
    <w:uiPriority w:val="99"/>
    <w:unhideWhenUsed/>
    <w:rsid w:val="0016395B"/>
    <w:pPr>
      <w:jc w:val="left"/>
    </w:pPr>
    <w:rPr>
      <w:rFonts w:ascii="Arial" w:eastAsia="Calibri" w:hAnsi="Arial"/>
    </w:rPr>
  </w:style>
  <w:style w:type="character" w:customStyle="1" w:styleId="TextpoznmkypodiarouChar">
    <w:name w:val="Text poznámky pod čiarou Char"/>
    <w:basedOn w:val="DefaultParagraphFont"/>
    <w:rsid w:val="0016395B"/>
    <w:rPr>
      <w:rFonts w:ascii="Times New Roman" w:hAnsi="Times New Roman" w:cs="Times New Roman"/>
      <w:sz w:val="20"/>
      <w:szCs w:val="20"/>
      <w:rtl w:val="0"/>
      <w:cs w:val="0"/>
      <w:lang w:val="cs-CZ" w:eastAsia="sk-SK"/>
    </w:rPr>
  </w:style>
  <w:style w:type="character" w:styleId="FootnoteReference">
    <w:name w:val="footnote reference"/>
    <w:uiPriority w:val="99"/>
    <w:unhideWhenUsed/>
    <w:rsid w:val="0016395B"/>
    <w:rPr>
      <w:vertAlign w:val="superscript"/>
    </w:rPr>
  </w:style>
  <w:style w:type="paragraph" w:styleId="BalloonText">
    <w:name w:val="Balloon Text"/>
    <w:basedOn w:val="Normal"/>
    <w:link w:val="BalloonTextChar"/>
    <w:uiPriority w:val="99"/>
    <w:semiHidden/>
    <w:unhideWhenUsed/>
    <w:rsid w:val="00020A3D"/>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0A3D"/>
    <w:rPr>
      <w:rFonts w:ascii="Tahoma" w:hAnsi="Tahoma" w:cs="Tahoma"/>
      <w:sz w:val="16"/>
      <w:szCs w:val="16"/>
      <w:rtl w:val="0"/>
      <w:cs w:val="0"/>
      <w:lang w:val="cs-CZ" w:eastAsia="sk-SK"/>
    </w:rPr>
  </w:style>
  <w:style w:type="paragraph" w:styleId="BodyText">
    <w:name w:val="Body Text"/>
    <w:aliases w:val="Char1"/>
    <w:basedOn w:val="Normal"/>
    <w:link w:val="BodyTextChar"/>
    <w:rsid w:val="006F7211"/>
    <w:pPr>
      <w:jc w:val="both"/>
    </w:pPr>
    <w:rPr>
      <w:rFonts w:ascii="Arial" w:hAnsi="Arial"/>
      <w:lang w:val="sk-SK"/>
    </w:rPr>
  </w:style>
  <w:style w:type="character" w:customStyle="1" w:styleId="BodyTextChar">
    <w:name w:val="Body Text Char"/>
    <w:aliases w:val="Char1 Char"/>
    <w:basedOn w:val="DefaultParagraphFont"/>
    <w:link w:val="BodyText"/>
    <w:locked/>
    <w:rsid w:val="006F7211"/>
    <w:rPr>
      <w:rFonts w:ascii="Arial" w:hAnsi="Arial" w:cs="Times New Roman"/>
      <w:sz w:val="20"/>
      <w:szCs w:val="20"/>
      <w:rtl w:val="0"/>
      <w:cs w:val="0"/>
      <w:lang w:val="x-none" w:eastAsia="sk-SK"/>
    </w:rPr>
  </w:style>
  <w:style w:type="paragraph" w:styleId="ListParagraph">
    <w:name w:val="List Paragraph"/>
    <w:basedOn w:val="Normal"/>
    <w:uiPriority w:val="34"/>
    <w:qFormat/>
    <w:rsid w:val="00BF6D46"/>
    <w:pPr>
      <w:ind w:left="720"/>
      <w:contextualSpacing/>
      <w:jc w:val="left"/>
    </w:pPr>
  </w:style>
  <w:style w:type="table" w:styleId="LightGridAccent3">
    <w:name w:val="Light Grid Accent 3"/>
    <w:basedOn w:val="TableNormal"/>
    <w:uiPriority w:val="62"/>
    <w:rsid w:val="00C043A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widowControl w:val="0"/>
        <w:autoSpaceDE w:val="0"/>
        <w:autoSpaceDN w:val="0"/>
        <w:adjustRightInd w:val="0"/>
        <w:spacing w:before="0" w:after="0"/>
      </w:pPr>
      <w:rPr>
        <w:rFonts w:ascii="Cambria" w:eastAsia="Times New Roman" w:hAnsi="Cambria" w:cs="Times New Roman"/>
        <w:b/>
        <w:bCs/>
        <w:rtl w:val="0"/>
        <w:cs w:val="0"/>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widowControl w:val="0"/>
        <w:autoSpaceDE w:val="0"/>
        <w:autoSpaceDN w:val="0"/>
        <w:adjustRightInd w:val="0"/>
        <w:spacing w:before="0" w:after="0"/>
      </w:pPr>
      <w:rPr>
        <w:rFonts w:ascii="Cambria" w:eastAsia="Times New Roman" w:hAnsi="Cambria" w:cs="Times New Roman"/>
        <w:b/>
        <w:bCs/>
        <w:rtl w:val="0"/>
        <w:cs w:val="0"/>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pPr>
        <w:widowControl w:val="0"/>
        <w:autoSpaceDE w:val="0"/>
        <w:autoSpaceDN w:val="0"/>
        <w:adjustRightInd w:val="0"/>
      </w:pPr>
      <w:rPr>
        <w:rFonts w:ascii="Cambria" w:eastAsia="Times New Roman" w:hAnsi="Cambria" w:cs="Times New Roman"/>
        <w:b/>
        <w:bCs/>
        <w:rtl w:val="0"/>
        <w:cs w:val="0"/>
      </w:rPr>
      <w:tblPr/>
    </w:tblStylePr>
    <w:tblStylePr w:type="lastCol">
      <w:pPr>
        <w:widowControl w:val="0"/>
        <w:autoSpaceDE w:val="0"/>
        <w:autoSpaceDN w:val="0"/>
        <w:adjustRightInd w:val="0"/>
      </w:pPr>
      <w:rPr>
        <w:rFonts w:ascii="Cambria" w:eastAsia="Times New Roman" w:hAnsi="Cambria" w:cs="Times New Roman"/>
        <w:b/>
        <w:bCs/>
        <w:rtl w:val="0"/>
        <w:cs w:val="0"/>
      </w:rPr>
      <w:tblPr/>
      <w:tcPr>
        <w:tcBorders>
          <w:top w:val="single" w:sz="8" w:space="0" w:color="9BBB59"/>
          <w:left w:val="single" w:sz="8" w:space="0" w:color="9BBB59"/>
          <w:bottom w:val="single" w:sz="8" w:space="0" w:color="9BBB59"/>
          <w:right w:val="single" w:sz="8" w:space="0" w:color="9BBB59"/>
        </w:tcBorders>
      </w:tcPr>
    </w:tblStylePr>
    <w:tblStylePr w:type="band1Vert">
      <w:pPr>
        <w:widowControl w:val="0"/>
        <w:autoSpaceDE w:val="0"/>
        <w:autoSpaceDN w:val="0"/>
        <w:adjustRightInd w:val="0"/>
      </w:pPr>
      <w:rPr>
        <w:rFonts w:cs="Times New Roman"/>
        <w:rtl w:val="0"/>
        <w:cs w:val="0"/>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pPr>
        <w:widowControl w:val="0"/>
        <w:autoSpaceDE w:val="0"/>
        <w:autoSpaceDN w:val="0"/>
        <w:adjustRightInd w:val="0"/>
      </w:pPr>
      <w:rPr>
        <w:rFonts w:cs="Times New Roman"/>
        <w:rtl w:val="0"/>
        <w:cs w:val="0"/>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pPr>
        <w:widowControl w:val="0"/>
        <w:autoSpaceDE w:val="0"/>
        <w:autoSpaceDN w:val="0"/>
        <w:adjustRightInd w:val="0"/>
      </w:pPr>
      <w:rPr>
        <w:rFonts w:cs="Times New Roman"/>
        <w:rtl w:val="0"/>
        <w:cs w:val="0"/>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Header">
    <w:name w:val="header"/>
    <w:basedOn w:val="Normal"/>
    <w:link w:val="HeaderChar"/>
    <w:uiPriority w:val="99"/>
    <w:semiHidden/>
    <w:unhideWhenUsed/>
    <w:rsid w:val="00AB6283"/>
    <w:pPr>
      <w:tabs>
        <w:tab w:val="center" w:pos="4536"/>
        <w:tab w:val="right" w:pos="9072"/>
      </w:tabs>
      <w:jc w:val="left"/>
    </w:pPr>
  </w:style>
  <w:style w:type="character" w:customStyle="1" w:styleId="HeaderChar">
    <w:name w:val="Header Char"/>
    <w:basedOn w:val="DefaultParagraphFont"/>
    <w:link w:val="Header"/>
    <w:uiPriority w:val="99"/>
    <w:semiHidden/>
    <w:locked/>
    <w:rsid w:val="00AB6283"/>
    <w:rPr>
      <w:rFonts w:ascii="Times New Roman" w:hAnsi="Times New Roman" w:cs="Times New Roman"/>
      <w:sz w:val="20"/>
      <w:szCs w:val="20"/>
      <w:rtl w:val="0"/>
      <w:cs w:val="0"/>
      <w:lang w:val="cs-CZ" w:eastAsia="sk-SK"/>
    </w:rPr>
  </w:style>
  <w:style w:type="paragraph" w:styleId="Footer">
    <w:name w:val="footer"/>
    <w:basedOn w:val="Normal"/>
    <w:link w:val="FooterChar"/>
    <w:uiPriority w:val="99"/>
    <w:unhideWhenUsed/>
    <w:rsid w:val="00AB6283"/>
    <w:pPr>
      <w:tabs>
        <w:tab w:val="center" w:pos="4536"/>
        <w:tab w:val="right" w:pos="9072"/>
      </w:tabs>
      <w:jc w:val="left"/>
    </w:pPr>
  </w:style>
  <w:style w:type="character" w:customStyle="1" w:styleId="FooterChar">
    <w:name w:val="Footer Char"/>
    <w:basedOn w:val="DefaultParagraphFont"/>
    <w:link w:val="Footer"/>
    <w:uiPriority w:val="99"/>
    <w:locked/>
    <w:rsid w:val="00AB6283"/>
    <w:rPr>
      <w:rFonts w:ascii="Times New Roman" w:hAnsi="Times New Roman" w:cs="Times New Roman"/>
      <w:sz w:val="20"/>
      <w:szCs w:val="20"/>
      <w:rtl w:val="0"/>
      <w:cs w:val="0"/>
      <w:lang w:val="cs-CZ"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3.png" /><Relationship Id="rId11" Type="http://schemas.openxmlformats.org/officeDocument/2006/relationships/oleObject" Target="embeddings/oleObject3.bin" /><Relationship Id="rId12" Type="http://schemas.openxmlformats.org/officeDocument/2006/relationships/image" Target="media/image4.png" /><Relationship Id="rId13" Type="http://schemas.openxmlformats.org/officeDocument/2006/relationships/oleObject" Target="embeddings/oleObject4.bin" /><Relationship Id="rId14" Type="http://schemas.openxmlformats.org/officeDocument/2006/relationships/image" Target="media/image5.png" /><Relationship Id="rId15" Type="http://schemas.openxmlformats.org/officeDocument/2006/relationships/oleObject" Target="embeddings/oleObject5.bin" /><Relationship Id="rId16" Type="http://schemas.openxmlformats.org/officeDocument/2006/relationships/image" Target="media/image6.png" /><Relationship Id="rId17" Type="http://schemas.openxmlformats.org/officeDocument/2006/relationships/oleObject" Target="embeddings/oleObject6.bin" /><Relationship Id="rId18" Type="http://schemas.openxmlformats.org/officeDocument/2006/relationships/image" Target="media/image7.png" /><Relationship Id="rId19" Type="http://schemas.openxmlformats.org/officeDocument/2006/relationships/oleObject" Target="embeddings/oleObject7.bin" /><Relationship Id="rId2" Type="http://schemas.openxmlformats.org/officeDocument/2006/relationships/settings" Target="settings.xml" /><Relationship Id="rId20" Type="http://schemas.openxmlformats.org/officeDocument/2006/relationships/hyperlink" Target="http://www.ropka.sk"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oleObject" Target="embeddings/oleObject1.bin" /><Relationship Id="rId8" Type="http://schemas.openxmlformats.org/officeDocument/2006/relationships/image" Target="media/image2.png" /><Relationship Id="rId9" Type="http://schemas.openxmlformats.org/officeDocument/2006/relationships/oleObject" Target="embeddings/oleObject2.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D7B02-F055-41D3-9BA9-68D8E0D8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11</Pages>
  <Words>3491</Words>
  <Characters>19903</Characters>
  <Application>Microsoft Office Word</Application>
  <DocSecurity>0</DocSecurity>
  <Lines>0</Lines>
  <Paragraphs>0</Paragraphs>
  <ScaleCrop>false</ScaleCrop>
  <Company>MPRR SR</Company>
  <LinksUpToDate>false</LinksUpToDate>
  <CharactersWithSpaces>23348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Háber Stanislav</dc:creator>
  <cp:lastModifiedBy>Gašparíková, Jarmila</cp:lastModifiedBy>
  <cp:revision>2</cp:revision>
  <cp:lastPrinted>2013-06-18T13:15:00Z</cp:lastPrinted>
  <dcterms:created xsi:type="dcterms:W3CDTF">2013-09-23T11:27:00Z</dcterms:created>
  <dcterms:modified xsi:type="dcterms:W3CDTF">2013-09-23T11:27:00Z</dcterms:modified>
</cp:coreProperties>
</file>