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037A2" w:rsidP="003037A2">
      <w:pPr>
        <w:widowControl/>
        <w:bidi w:val="0"/>
        <w:jc w:val="both"/>
        <w:rPr>
          <w:rFonts w:ascii="Arial" w:hAnsi="Arial"/>
          <w:b/>
          <w:caps/>
          <w:sz w:val="20"/>
        </w:rPr>
      </w:pPr>
      <w:r>
        <w:rPr>
          <w:rFonts w:ascii="Arial" w:hAnsi="Arial"/>
          <w:b/>
          <w:caps/>
          <w:sz w:val="20"/>
        </w:rPr>
        <w:t>Výbor Národnej rady Slovenskej republiky</w:t>
      </w:r>
    </w:p>
    <w:p w:rsidR="003037A2" w:rsidP="003037A2">
      <w:pPr>
        <w:widowControl/>
        <w:bidi w:val="0"/>
        <w:jc w:val="both"/>
        <w:rPr>
          <w:rFonts w:ascii="Arial" w:hAnsi="Arial"/>
          <w:b/>
          <w:caps/>
          <w:sz w:val="20"/>
        </w:rPr>
      </w:pPr>
      <w:r>
        <w:rPr>
          <w:rFonts w:ascii="Arial" w:hAnsi="Arial"/>
          <w:b/>
          <w:caps/>
          <w:sz w:val="20"/>
        </w:rPr>
        <w:t>pre ľudské práva a národnostné menšiny</w:t>
      </w:r>
    </w:p>
    <w:p w:rsidR="003037A2" w:rsidP="003037A2">
      <w:pPr>
        <w:widowControl/>
        <w:bidi w:val="0"/>
        <w:jc w:val="both"/>
        <w:rPr>
          <w:rFonts w:ascii="Arial" w:hAnsi="Arial"/>
          <w:b/>
          <w:i/>
          <w:sz w:val="20"/>
        </w:rPr>
      </w:pPr>
    </w:p>
    <w:p w:rsidR="003037A2" w:rsidP="003037A2">
      <w:pPr>
        <w:widowControl/>
        <w:bidi w:val="0"/>
        <w:jc w:val="both"/>
        <w:rPr>
          <w:rFonts w:ascii="Arial" w:hAnsi="Arial" w:cs="Arial"/>
          <w:sz w:val="20"/>
          <w:szCs w:val="20"/>
        </w:rPr>
      </w:pPr>
    </w:p>
    <w:p w:rsidR="003037A2" w:rsidP="003037A2">
      <w:pPr>
        <w:widowControl/>
        <w:bidi w:val="0"/>
        <w:jc w:val="both"/>
        <w:rPr>
          <w:rFonts w:ascii="Arial" w:hAnsi="Arial" w:cs="Arial"/>
          <w:sz w:val="20"/>
          <w:szCs w:val="20"/>
        </w:rPr>
      </w:pPr>
      <w:r w:rsidR="00370517">
        <w:rPr>
          <w:rFonts w:ascii="Arial" w:hAnsi="Arial" w:cs="Arial"/>
          <w:sz w:val="20"/>
          <w:szCs w:val="20"/>
        </w:rPr>
        <w:tab/>
        <w:tab/>
        <w:tab/>
        <w:tab/>
        <w:tab/>
        <w:tab/>
        <w:tab/>
        <w:tab/>
        <w:tab/>
        <w:tab/>
        <w:t>2</w:t>
      </w:r>
      <w:r w:rsidR="000A1C4E">
        <w:rPr>
          <w:rFonts w:ascii="Arial" w:hAnsi="Arial" w:cs="Arial"/>
          <w:sz w:val="20"/>
          <w:szCs w:val="20"/>
        </w:rPr>
        <w:t>5</w:t>
      </w:r>
      <w:r>
        <w:rPr>
          <w:rFonts w:ascii="Arial" w:hAnsi="Arial" w:cs="Arial"/>
          <w:sz w:val="20"/>
          <w:szCs w:val="20"/>
        </w:rPr>
        <w:t xml:space="preserve">. schôdza výboru                                                                                                           </w:t>
      </w:r>
    </w:p>
    <w:p w:rsidR="003037A2" w:rsidP="003037A2">
      <w:pPr>
        <w:widowControl/>
        <w:bidi w:val="0"/>
        <w:jc w:val="both"/>
        <w:rPr>
          <w:rFonts w:ascii="Arial" w:hAnsi="Arial" w:cs="Arial"/>
          <w:sz w:val="20"/>
          <w:szCs w:val="20"/>
        </w:rPr>
      </w:pPr>
      <w:r w:rsidR="00370517">
        <w:rPr>
          <w:rFonts w:ascii="Arial" w:hAnsi="Arial" w:cs="Arial"/>
          <w:sz w:val="20"/>
          <w:szCs w:val="20"/>
        </w:rPr>
        <w:tab/>
        <w:tab/>
        <w:tab/>
        <w:tab/>
        <w:tab/>
        <w:tab/>
        <w:tab/>
        <w:tab/>
        <w:tab/>
        <w:tab/>
        <w:t>Č. CRD-1198</w:t>
      </w:r>
      <w:r>
        <w:rPr>
          <w:rFonts w:ascii="Arial" w:hAnsi="Arial" w:cs="Arial"/>
          <w:sz w:val="20"/>
          <w:szCs w:val="20"/>
        </w:rPr>
        <w:t>/2013</w:t>
      </w:r>
    </w:p>
    <w:p w:rsidR="003037A2" w:rsidP="003037A2">
      <w:pPr>
        <w:widowControl/>
        <w:bidi w:val="0"/>
        <w:jc w:val="both"/>
        <w:rPr>
          <w:rFonts w:ascii="Arial" w:hAnsi="Arial" w:cs="Arial"/>
          <w:sz w:val="20"/>
          <w:szCs w:val="20"/>
        </w:rPr>
      </w:pPr>
    </w:p>
    <w:p w:rsidR="003037A2" w:rsidP="003037A2">
      <w:pPr>
        <w:widowControl/>
        <w:bidi w:val="0"/>
        <w:jc w:val="both"/>
        <w:rPr>
          <w:rFonts w:ascii="Arial" w:hAnsi="Arial" w:cs="Arial"/>
          <w:sz w:val="20"/>
          <w:szCs w:val="20"/>
        </w:rPr>
      </w:pPr>
    </w:p>
    <w:p w:rsidR="003037A2" w:rsidP="003037A2">
      <w:pPr>
        <w:widowControl/>
        <w:bidi w:val="0"/>
        <w:jc w:val="center"/>
        <w:rPr>
          <w:rFonts w:ascii="Arial" w:hAnsi="Arial" w:cs="Arial"/>
          <w:b/>
          <w:sz w:val="20"/>
          <w:szCs w:val="20"/>
        </w:rPr>
      </w:pPr>
      <w:r w:rsidR="000A1C4E">
        <w:rPr>
          <w:rFonts w:ascii="Arial" w:hAnsi="Arial" w:cs="Arial"/>
          <w:b/>
          <w:sz w:val="20"/>
          <w:szCs w:val="20"/>
        </w:rPr>
        <w:t>89</w:t>
      </w:r>
    </w:p>
    <w:p w:rsidR="003037A2" w:rsidP="003037A2">
      <w:pPr>
        <w:widowControl/>
        <w:bidi w:val="0"/>
        <w:jc w:val="center"/>
        <w:rPr>
          <w:rFonts w:ascii="Arial" w:hAnsi="Arial" w:cs="Arial"/>
          <w:b/>
          <w:spacing w:val="110"/>
          <w:sz w:val="20"/>
          <w:szCs w:val="20"/>
        </w:rPr>
      </w:pPr>
      <w:r>
        <w:rPr>
          <w:rFonts w:ascii="Arial" w:hAnsi="Arial" w:cs="Arial"/>
          <w:b/>
          <w:spacing w:val="110"/>
          <w:sz w:val="20"/>
          <w:szCs w:val="20"/>
        </w:rPr>
        <w:t>Uznesenie</w:t>
      </w:r>
    </w:p>
    <w:p w:rsidR="003037A2" w:rsidP="003037A2">
      <w:pPr>
        <w:widowControl/>
        <w:bidi w:val="0"/>
        <w:jc w:val="center"/>
        <w:rPr>
          <w:rFonts w:ascii="Arial" w:hAnsi="Arial" w:cs="Arial"/>
          <w:b/>
          <w:sz w:val="20"/>
          <w:szCs w:val="20"/>
        </w:rPr>
      </w:pPr>
      <w:r>
        <w:rPr>
          <w:rFonts w:ascii="Arial" w:hAnsi="Arial" w:cs="Arial"/>
          <w:b/>
          <w:sz w:val="20"/>
          <w:szCs w:val="20"/>
        </w:rPr>
        <w:t>Výboru Národnej rady Slovenskej republiky</w:t>
      </w:r>
    </w:p>
    <w:p w:rsidR="003037A2" w:rsidP="003037A2">
      <w:pPr>
        <w:widowControl/>
        <w:bidi w:val="0"/>
        <w:jc w:val="center"/>
        <w:rPr>
          <w:rFonts w:ascii="Arial" w:hAnsi="Arial" w:cs="Arial"/>
          <w:b/>
          <w:sz w:val="20"/>
          <w:szCs w:val="20"/>
        </w:rPr>
      </w:pPr>
      <w:r>
        <w:rPr>
          <w:rFonts w:ascii="Arial" w:hAnsi="Arial" w:cs="Arial"/>
          <w:b/>
          <w:sz w:val="20"/>
          <w:szCs w:val="20"/>
        </w:rPr>
        <w:t>pre ľudské práva a národnostné menšiny</w:t>
      </w:r>
    </w:p>
    <w:p w:rsidR="003037A2" w:rsidP="003037A2">
      <w:pPr>
        <w:widowControl/>
        <w:bidi w:val="0"/>
        <w:jc w:val="center"/>
        <w:rPr>
          <w:rFonts w:ascii="Arial" w:hAnsi="Arial" w:cs="Arial"/>
          <w:b/>
          <w:sz w:val="20"/>
          <w:szCs w:val="20"/>
        </w:rPr>
      </w:pPr>
    </w:p>
    <w:p w:rsidR="003037A2" w:rsidP="003037A2">
      <w:pPr>
        <w:widowControl/>
        <w:bidi w:val="0"/>
        <w:jc w:val="center"/>
        <w:rPr>
          <w:rFonts w:ascii="Arial" w:hAnsi="Arial" w:cs="Arial"/>
          <w:sz w:val="20"/>
          <w:szCs w:val="20"/>
        </w:rPr>
      </w:pPr>
      <w:r>
        <w:rPr>
          <w:rFonts w:ascii="Arial" w:hAnsi="Arial" w:cs="Arial"/>
          <w:sz w:val="20"/>
          <w:szCs w:val="20"/>
        </w:rPr>
        <w:t>z</w:t>
      </w:r>
      <w:r w:rsidR="000A1C4E">
        <w:rPr>
          <w:rFonts w:ascii="Arial" w:hAnsi="Arial" w:cs="Arial"/>
          <w:sz w:val="20"/>
          <w:szCs w:val="20"/>
        </w:rPr>
        <w:t xml:space="preserve"> 27. </w:t>
      </w:r>
      <w:r>
        <w:rPr>
          <w:rFonts w:ascii="Arial" w:hAnsi="Arial" w:cs="Arial"/>
          <w:sz w:val="20"/>
          <w:szCs w:val="20"/>
        </w:rPr>
        <w:t>augusta 2013</w:t>
      </w:r>
    </w:p>
    <w:p w:rsidR="003037A2" w:rsidP="003037A2">
      <w:pPr>
        <w:widowControl/>
        <w:bidi w:val="0"/>
        <w:jc w:val="both"/>
        <w:rPr>
          <w:rFonts w:ascii="Arial" w:hAnsi="Arial" w:cs="Arial"/>
          <w:sz w:val="20"/>
          <w:szCs w:val="20"/>
        </w:rPr>
      </w:pPr>
    </w:p>
    <w:p w:rsidR="003037A2" w:rsidP="003037A2">
      <w:pPr>
        <w:widowControl/>
        <w:bidi w:val="0"/>
        <w:jc w:val="both"/>
        <w:rPr>
          <w:rFonts w:ascii="Arial" w:hAnsi="Arial" w:cs="Arial"/>
          <w:sz w:val="20"/>
          <w:szCs w:val="20"/>
        </w:rPr>
      </w:pPr>
    </w:p>
    <w:p w:rsidR="00370517" w:rsidRPr="00370517" w:rsidP="00370517">
      <w:pPr>
        <w:bidi w:val="0"/>
        <w:rPr>
          <w:rFonts w:ascii="Arial" w:hAnsi="Arial" w:cs="Arial"/>
          <w:bCs/>
          <w:sz w:val="20"/>
          <w:szCs w:val="20"/>
        </w:rPr>
      </w:pPr>
      <w:r w:rsidR="003037A2">
        <w:rPr>
          <w:rFonts w:ascii="Arial" w:hAnsi="Arial" w:cs="Arial"/>
          <w:sz w:val="20"/>
          <w:szCs w:val="20"/>
        </w:rPr>
        <w:t>k</w:t>
      </w:r>
      <w:r>
        <w:rPr>
          <w:rFonts w:ascii="Arial" w:hAnsi="Arial" w:cs="Arial"/>
          <w:sz w:val="20"/>
          <w:szCs w:val="20"/>
        </w:rPr>
        <w:t xml:space="preserve"> vládnemu </w:t>
      </w:r>
      <w:r w:rsidR="003037A2">
        <w:rPr>
          <w:rFonts w:ascii="Arial" w:hAnsi="Arial" w:cs="Arial"/>
          <w:sz w:val="20"/>
          <w:szCs w:val="20"/>
        </w:rPr>
        <w:t xml:space="preserve">návrhu </w:t>
      </w:r>
      <w:r w:rsidRPr="00370517">
        <w:rPr>
          <w:rFonts w:ascii="Arial" w:hAnsi="Arial" w:cs="Arial"/>
          <w:bCs/>
          <w:sz w:val="20"/>
          <w:szCs w:val="20"/>
        </w:rPr>
        <w:t>zákona o elektronickej podobe výkonu pôsobnosti orgánov verejnej moci a o zmene a doplnení niektorých zákonov (zákon o e-Governmente) (tlač 545)</w:t>
      </w:r>
    </w:p>
    <w:p w:rsidR="003037A2" w:rsidP="003037A2">
      <w:pPr>
        <w:widowControl/>
        <w:bidi w:val="0"/>
        <w:jc w:val="both"/>
        <w:rPr>
          <w:rFonts w:ascii="Arial" w:hAnsi="Arial" w:cs="Arial"/>
          <w:sz w:val="20"/>
          <w:szCs w:val="20"/>
        </w:rPr>
      </w:pPr>
    </w:p>
    <w:p w:rsidR="003037A2" w:rsidP="003037A2">
      <w:pPr>
        <w:widowControl/>
        <w:bidi w:val="0"/>
        <w:jc w:val="both"/>
        <w:rPr>
          <w:rFonts w:ascii="Arial" w:hAnsi="Arial" w:cs="Arial"/>
          <w:b/>
          <w:sz w:val="20"/>
          <w:szCs w:val="20"/>
        </w:rPr>
      </w:pPr>
      <w:r>
        <w:rPr>
          <w:rFonts w:ascii="Arial" w:hAnsi="Arial" w:cs="Arial"/>
          <w:b/>
          <w:i/>
          <w:sz w:val="20"/>
          <w:szCs w:val="20"/>
        </w:rPr>
        <w:tab/>
      </w:r>
      <w:r>
        <w:rPr>
          <w:rFonts w:ascii="Arial" w:hAnsi="Arial" w:cs="Arial"/>
          <w:b/>
          <w:sz w:val="20"/>
          <w:szCs w:val="20"/>
        </w:rPr>
        <w:t>Výbor Národnej rady Slovenskej republiky</w:t>
      </w:r>
    </w:p>
    <w:p w:rsidR="003037A2" w:rsidP="003037A2">
      <w:pPr>
        <w:widowControl/>
        <w:bidi w:val="0"/>
        <w:jc w:val="both"/>
        <w:rPr>
          <w:rFonts w:ascii="Arial" w:hAnsi="Arial" w:cs="Arial"/>
          <w:b/>
          <w:sz w:val="20"/>
          <w:szCs w:val="20"/>
        </w:rPr>
      </w:pPr>
      <w:r>
        <w:rPr>
          <w:rFonts w:ascii="Arial" w:hAnsi="Arial" w:cs="Arial"/>
          <w:b/>
          <w:sz w:val="20"/>
          <w:szCs w:val="20"/>
        </w:rPr>
        <w:tab/>
        <w:t>pre ľudské práva a národnostné menšiny</w:t>
      </w:r>
    </w:p>
    <w:p w:rsidR="003037A2" w:rsidP="003037A2">
      <w:pPr>
        <w:widowControl/>
        <w:bidi w:val="0"/>
        <w:jc w:val="both"/>
        <w:rPr>
          <w:rFonts w:ascii="Arial" w:hAnsi="Arial" w:cs="Arial"/>
          <w:b/>
          <w:sz w:val="20"/>
          <w:szCs w:val="20"/>
        </w:rPr>
      </w:pPr>
    </w:p>
    <w:p w:rsidR="003037A2" w:rsidP="003037A2">
      <w:pPr>
        <w:widowControl/>
        <w:bidi w:val="0"/>
        <w:jc w:val="both"/>
        <w:rPr>
          <w:rFonts w:ascii="Arial" w:hAnsi="Arial" w:cs="Arial"/>
          <w:b/>
          <w:sz w:val="20"/>
          <w:szCs w:val="20"/>
        </w:rPr>
      </w:pPr>
    </w:p>
    <w:p w:rsidR="003037A2" w:rsidP="003037A2">
      <w:pPr>
        <w:pStyle w:val="ListParagraph"/>
        <w:widowControl/>
        <w:numPr>
          <w:numId w:val="1"/>
        </w:numPr>
        <w:bidi w:val="0"/>
        <w:ind w:left="705" w:hanging="11"/>
        <w:jc w:val="both"/>
        <w:rPr>
          <w:rFonts w:ascii="Arial" w:hAnsi="Arial" w:cs="Arial"/>
          <w:b/>
          <w:spacing w:val="110"/>
          <w:sz w:val="20"/>
          <w:szCs w:val="20"/>
        </w:rPr>
      </w:pPr>
      <w:r>
        <w:rPr>
          <w:rFonts w:ascii="Arial" w:hAnsi="Arial" w:cs="Arial"/>
          <w:b/>
          <w:spacing w:val="110"/>
          <w:sz w:val="20"/>
          <w:szCs w:val="20"/>
        </w:rPr>
        <w:t>súhlasí</w:t>
      </w:r>
    </w:p>
    <w:p w:rsidR="003037A2" w:rsidP="003037A2">
      <w:pPr>
        <w:pStyle w:val="ListParagraph"/>
        <w:widowControl/>
        <w:bidi w:val="0"/>
        <w:ind w:left="705"/>
        <w:jc w:val="both"/>
        <w:rPr>
          <w:rFonts w:ascii="Arial" w:hAnsi="Arial" w:cs="Arial"/>
          <w:b/>
          <w:spacing w:val="110"/>
          <w:sz w:val="20"/>
          <w:szCs w:val="20"/>
        </w:rPr>
      </w:pPr>
    </w:p>
    <w:p w:rsidR="00370517" w:rsidRPr="00370517" w:rsidP="00370517">
      <w:pPr>
        <w:bidi w:val="0"/>
        <w:rPr>
          <w:rFonts w:ascii="Arial" w:hAnsi="Arial" w:cs="Arial"/>
          <w:bCs/>
          <w:sz w:val="20"/>
          <w:szCs w:val="20"/>
        </w:rPr>
      </w:pPr>
      <w:r w:rsidR="003037A2">
        <w:rPr>
          <w:rFonts w:ascii="Arial" w:hAnsi="Arial" w:cs="Arial"/>
          <w:sz w:val="20"/>
          <w:szCs w:val="20"/>
        </w:rPr>
        <w:t>s</w:t>
      </w:r>
      <w:r>
        <w:rPr>
          <w:rFonts w:ascii="Arial" w:hAnsi="Arial" w:cs="Arial"/>
          <w:sz w:val="20"/>
          <w:szCs w:val="20"/>
        </w:rPr>
        <w:t xml:space="preserve"> vládnym </w:t>
      </w:r>
      <w:r w:rsidR="003037A2">
        <w:rPr>
          <w:rFonts w:ascii="Arial" w:hAnsi="Arial" w:cs="Arial"/>
          <w:sz w:val="20"/>
          <w:szCs w:val="20"/>
        </w:rPr>
        <w:t xml:space="preserve">návrhom </w:t>
      </w:r>
      <w:r w:rsidRPr="00370517">
        <w:rPr>
          <w:rFonts w:ascii="Arial" w:hAnsi="Arial" w:cs="Arial"/>
          <w:bCs/>
          <w:sz w:val="20"/>
          <w:szCs w:val="20"/>
        </w:rPr>
        <w:t>zákona o elektronickej podobe výkonu pôsobnosti orgánov verejnej moci a o zmene a doplnení niektorých zákonov (zákon o e-Governmente) (tlač 545)</w:t>
      </w:r>
      <w:r>
        <w:rPr>
          <w:rFonts w:ascii="Arial" w:hAnsi="Arial" w:cs="Arial"/>
          <w:bCs/>
          <w:sz w:val="20"/>
          <w:szCs w:val="20"/>
        </w:rPr>
        <w:t>,</w:t>
      </w:r>
    </w:p>
    <w:p w:rsidR="003037A2" w:rsidP="003037A2">
      <w:pPr>
        <w:widowControl/>
        <w:bidi w:val="0"/>
        <w:jc w:val="both"/>
        <w:rPr>
          <w:rFonts w:ascii="Arial" w:hAnsi="Arial" w:cs="Arial"/>
          <w:sz w:val="20"/>
          <w:szCs w:val="20"/>
        </w:rPr>
      </w:pPr>
    </w:p>
    <w:p w:rsidR="003037A2" w:rsidP="003037A2">
      <w:pPr>
        <w:pStyle w:val="ListParagraph"/>
        <w:widowControl/>
        <w:numPr>
          <w:numId w:val="1"/>
        </w:numPr>
        <w:bidi w:val="0"/>
        <w:ind w:left="705" w:hanging="11"/>
        <w:jc w:val="both"/>
        <w:rPr>
          <w:rFonts w:ascii="Arial" w:hAnsi="Arial" w:cs="Arial"/>
          <w:b/>
          <w:spacing w:val="110"/>
          <w:sz w:val="20"/>
          <w:szCs w:val="20"/>
        </w:rPr>
      </w:pPr>
      <w:r>
        <w:rPr>
          <w:rFonts w:ascii="Arial" w:hAnsi="Arial" w:cs="Arial"/>
          <w:b/>
          <w:spacing w:val="110"/>
          <w:sz w:val="20"/>
          <w:szCs w:val="20"/>
        </w:rPr>
        <w:t>odporúča</w:t>
      </w:r>
    </w:p>
    <w:p w:rsidR="003037A2" w:rsidP="003037A2">
      <w:pPr>
        <w:widowControl/>
        <w:bidi w:val="0"/>
        <w:jc w:val="both"/>
        <w:rPr>
          <w:rFonts w:ascii="Arial" w:hAnsi="Arial" w:cs="Arial"/>
          <w:sz w:val="20"/>
          <w:szCs w:val="20"/>
        </w:rPr>
      </w:pPr>
    </w:p>
    <w:p w:rsidR="003037A2" w:rsidRPr="00E8159B" w:rsidP="003037A2">
      <w:pPr>
        <w:bidi w:val="0"/>
        <w:jc w:val="both"/>
        <w:rPr>
          <w:rFonts w:ascii="Arial" w:hAnsi="Arial" w:cs="Arial"/>
          <w:sz w:val="20"/>
          <w:szCs w:val="20"/>
        </w:rPr>
      </w:pPr>
      <w:r>
        <w:rPr>
          <w:rFonts w:ascii="Arial" w:hAnsi="Arial" w:cs="Arial"/>
          <w:sz w:val="20"/>
          <w:szCs w:val="20"/>
        </w:rPr>
        <w:t xml:space="preserve">Národnej rade Slovenskej republiky </w:t>
      </w:r>
      <w:r w:rsidR="00370517">
        <w:rPr>
          <w:rFonts w:ascii="Arial" w:hAnsi="Arial" w:cs="Arial"/>
          <w:sz w:val="20"/>
          <w:szCs w:val="20"/>
        </w:rPr>
        <w:t xml:space="preserve">vládny </w:t>
      </w:r>
      <w:r>
        <w:rPr>
          <w:rFonts w:ascii="Arial" w:hAnsi="Arial" w:cs="Arial"/>
          <w:sz w:val="20"/>
          <w:szCs w:val="20"/>
        </w:rPr>
        <w:t xml:space="preserve">návrh </w:t>
      </w:r>
      <w:r w:rsidRPr="00370517" w:rsidR="00370517">
        <w:rPr>
          <w:rFonts w:ascii="Arial" w:hAnsi="Arial" w:cs="Arial"/>
          <w:bCs/>
          <w:sz w:val="20"/>
          <w:szCs w:val="20"/>
        </w:rPr>
        <w:t>zákona o elektronickej podobe výkonu pôsobnosti orgánov verejnej moci a o zmene a doplnení niektorých zákonov (zákon o e-Governmente) (tlač 545)</w:t>
      </w:r>
      <w:r w:rsidR="00370517">
        <w:rPr>
          <w:rFonts w:ascii="Arial" w:hAnsi="Arial" w:cs="Arial"/>
          <w:bCs/>
          <w:sz w:val="20"/>
          <w:szCs w:val="20"/>
        </w:rPr>
        <w:t xml:space="preserve"> </w:t>
      </w:r>
      <w:r>
        <w:rPr>
          <w:rFonts w:ascii="Arial" w:hAnsi="Arial" w:cs="Arial"/>
          <w:b/>
          <w:sz w:val="20"/>
          <w:szCs w:val="20"/>
        </w:rPr>
        <w:t xml:space="preserve">schváliť </w:t>
      </w:r>
      <w:r w:rsidRPr="00D066D5">
        <w:rPr>
          <w:rFonts w:ascii="Arial" w:hAnsi="Arial" w:cs="Arial"/>
          <w:b/>
          <w:sz w:val="20"/>
          <w:szCs w:val="20"/>
        </w:rPr>
        <w:t>s pripomienkami</w:t>
      </w:r>
      <w:r w:rsidR="00D066D5">
        <w:rPr>
          <w:rFonts w:ascii="Arial" w:hAnsi="Arial" w:cs="Arial"/>
          <w:sz w:val="20"/>
          <w:szCs w:val="20"/>
        </w:rPr>
        <w:t>, uvedenými</w:t>
      </w:r>
      <w:r w:rsidRPr="00D066D5">
        <w:rPr>
          <w:rFonts w:ascii="Arial" w:hAnsi="Arial" w:cs="Arial"/>
          <w:sz w:val="20"/>
          <w:szCs w:val="20"/>
        </w:rPr>
        <w:t xml:space="preserve"> v prílohe tohto uznesenia,</w:t>
      </w:r>
    </w:p>
    <w:p w:rsidR="003037A2" w:rsidP="003037A2">
      <w:pPr>
        <w:widowControl/>
        <w:bidi w:val="0"/>
        <w:jc w:val="both"/>
        <w:rPr>
          <w:rFonts w:ascii="Arial" w:hAnsi="Arial" w:cs="Arial"/>
          <w:sz w:val="20"/>
          <w:szCs w:val="20"/>
        </w:rPr>
      </w:pPr>
    </w:p>
    <w:p w:rsidR="003037A2" w:rsidP="003037A2">
      <w:pPr>
        <w:pStyle w:val="ListParagraph"/>
        <w:widowControl/>
        <w:numPr>
          <w:numId w:val="1"/>
        </w:numPr>
        <w:bidi w:val="0"/>
        <w:ind w:left="705" w:hanging="11"/>
        <w:jc w:val="both"/>
        <w:rPr>
          <w:rFonts w:ascii="Arial" w:hAnsi="Arial" w:cs="Arial"/>
          <w:b/>
          <w:spacing w:val="110"/>
          <w:sz w:val="20"/>
          <w:szCs w:val="20"/>
        </w:rPr>
      </w:pPr>
      <w:r>
        <w:rPr>
          <w:rFonts w:ascii="Arial" w:hAnsi="Arial" w:cs="Arial"/>
          <w:b/>
          <w:spacing w:val="110"/>
          <w:sz w:val="20"/>
          <w:szCs w:val="20"/>
        </w:rPr>
        <w:t>ukladá</w:t>
      </w:r>
    </w:p>
    <w:p w:rsidR="003037A2" w:rsidP="003037A2">
      <w:pPr>
        <w:pStyle w:val="ListParagraph"/>
        <w:widowControl/>
        <w:bidi w:val="0"/>
        <w:ind w:left="705"/>
        <w:jc w:val="both"/>
        <w:rPr>
          <w:rFonts w:ascii="Arial" w:hAnsi="Arial" w:cs="Arial"/>
          <w:b/>
          <w:spacing w:val="110"/>
          <w:sz w:val="20"/>
          <w:szCs w:val="20"/>
        </w:rPr>
      </w:pPr>
    </w:p>
    <w:p w:rsidR="003037A2" w:rsidRPr="0054044F" w:rsidP="003037A2">
      <w:pPr>
        <w:bidi w:val="0"/>
        <w:jc w:val="both"/>
        <w:rPr>
          <w:rFonts w:ascii="Arial" w:hAnsi="Arial" w:cs="Arial"/>
          <w:sz w:val="20"/>
          <w:szCs w:val="20"/>
        </w:rPr>
      </w:pPr>
      <w:r>
        <w:rPr>
          <w:rFonts w:ascii="Arial" w:hAnsi="Arial" w:cs="Arial"/>
          <w:sz w:val="20"/>
          <w:szCs w:val="20"/>
        </w:rPr>
        <w:t>predsedovi</w:t>
      </w:r>
      <w:r w:rsidRPr="0054044F">
        <w:rPr>
          <w:rFonts w:ascii="Arial" w:hAnsi="Arial" w:cs="Arial"/>
          <w:sz w:val="20"/>
          <w:szCs w:val="20"/>
        </w:rPr>
        <w:t xml:space="preserve"> výboru</w:t>
      </w:r>
      <w:r>
        <w:rPr>
          <w:rFonts w:ascii="Arial" w:hAnsi="Arial" w:cs="Arial"/>
          <w:sz w:val="20"/>
          <w:szCs w:val="20"/>
        </w:rPr>
        <w:t xml:space="preserve"> informovať gestorský Výbor Národnej rady Slovenskej republiky pre </w:t>
      </w:r>
      <w:r w:rsidR="00370517">
        <w:rPr>
          <w:rFonts w:ascii="Arial" w:hAnsi="Arial" w:cs="Arial"/>
          <w:sz w:val="20"/>
          <w:szCs w:val="20"/>
        </w:rPr>
        <w:t>verejnú správu a regionálny rozvoj</w:t>
      </w:r>
      <w:r>
        <w:rPr>
          <w:rFonts w:ascii="Arial" w:hAnsi="Arial" w:cs="Arial"/>
          <w:sz w:val="20"/>
          <w:szCs w:val="20"/>
        </w:rPr>
        <w:t xml:space="preserve">. </w:t>
      </w:r>
    </w:p>
    <w:p w:rsidR="003037A2" w:rsidP="003037A2">
      <w:pPr>
        <w:bidi w:val="0"/>
        <w:jc w:val="both"/>
        <w:rPr>
          <w:rFonts w:ascii="Arial" w:hAnsi="Arial" w:cs="Arial"/>
          <w:sz w:val="20"/>
          <w:szCs w:val="20"/>
        </w:rPr>
      </w:pPr>
    </w:p>
    <w:p w:rsidR="003037A2" w:rsidP="003037A2">
      <w:pPr>
        <w:bidi w:val="0"/>
        <w:jc w:val="both"/>
        <w:rPr>
          <w:rFonts w:ascii="Arial" w:hAnsi="Arial" w:cs="Arial"/>
          <w:sz w:val="20"/>
          <w:szCs w:val="20"/>
        </w:rPr>
      </w:pPr>
    </w:p>
    <w:p w:rsidR="003037A2" w:rsidP="003037A2">
      <w:pPr>
        <w:bidi w:val="0"/>
        <w:jc w:val="both"/>
        <w:rPr>
          <w:rFonts w:ascii="Arial" w:hAnsi="Arial" w:cs="Arial"/>
          <w:sz w:val="20"/>
          <w:szCs w:val="20"/>
        </w:rPr>
      </w:pPr>
    </w:p>
    <w:p w:rsidR="003037A2" w:rsidP="003037A2">
      <w:pPr>
        <w:bidi w:val="0"/>
        <w:jc w:val="both"/>
        <w:rPr>
          <w:rFonts w:ascii="Arial" w:hAnsi="Arial" w:cs="Arial"/>
          <w:sz w:val="20"/>
          <w:szCs w:val="20"/>
        </w:rPr>
      </w:pPr>
    </w:p>
    <w:p w:rsidR="003037A2" w:rsidP="003037A2">
      <w:pPr>
        <w:bidi w:val="0"/>
        <w:jc w:val="both"/>
        <w:rPr>
          <w:rFonts w:ascii="Arial" w:hAnsi="Arial" w:cs="Arial"/>
          <w:sz w:val="20"/>
          <w:szCs w:val="20"/>
        </w:rPr>
      </w:pPr>
    </w:p>
    <w:p w:rsidR="003037A2" w:rsidP="003037A2">
      <w:pPr>
        <w:bidi w:val="0"/>
        <w:jc w:val="both"/>
        <w:rPr>
          <w:rFonts w:ascii="Arial" w:hAnsi="Arial" w:cs="Arial"/>
          <w:sz w:val="20"/>
          <w:szCs w:val="20"/>
        </w:rPr>
      </w:pPr>
    </w:p>
    <w:p w:rsidR="003037A2" w:rsidP="003037A2">
      <w:pPr>
        <w:bidi w:val="0"/>
        <w:jc w:val="both"/>
        <w:rPr>
          <w:rFonts w:ascii="Arial" w:hAnsi="Arial" w:cs="Arial"/>
          <w:sz w:val="20"/>
          <w:szCs w:val="20"/>
        </w:rPr>
      </w:pPr>
    </w:p>
    <w:p w:rsidR="003037A2" w:rsidP="003037A2">
      <w:pPr>
        <w:bidi w:val="0"/>
        <w:jc w:val="both"/>
        <w:rPr>
          <w:rFonts w:ascii="Arial" w:hAnsi="Arial" w:cs="Arial"/>
          <w:sz w:val="20"/>
          <w:szCs w:val="20"/>
        </w:rPr>
      </w:pPr>
    </w:p>
    <w:p w:rsidR="003037A2" w:rsidP="003037A2">
      <w:pPr>
        <w:bidi w:val="0"/>
        <w:jc w:val="both"/>
        <w:rPr>
          <w:rFonts w:ascii="Arial" w:hAnsi="Arial" w:cs="Arial"/>
          <w:sz w:val="20"/>
          <w:szCs w:val="20"/>
        </w:rPr>
      </w:pPr>
      <w:r>
        <w:rPr>
          <w:rFonts w:ascii="Arial" w:hAnsi="Arial" w:cs="Arial"/>
          <w:sz w:val="20"/>
          <w:szCs w:val="20"/>
        </w:rPr>
        <w:t>Ľubomír Želiezka</w:t>
        <w:tab/>
        <w:t xml:space="preserve">  </w:t>
        <w:tab/>
        <w:tab/>
        <w:tab/>
        <w:tab/>
        <w:tab/>
        <w:tab/>
        <w:tab/>
        <w:t>Rudolf Chmel</w:t>
      </w:r>
    </w:p>
    <w:p w:rsidR="003037A2" w:rsidP="003037A2">
      <w:pPr>
        <w:bidi w:val="0"/>
        <w:jc w:val="both"/>
        <w:rPr>
          <w:rFonts w:ascii="Arial" w:hAnsi="Arial" w:cs="Arial"/>
          <w:sz w:val="20"/>
          <w:szCs w:val="20"/>
        </w:rPr>
      </w:pPr>
      <w:r>
        <w:rPr>
          <w:rFonts w:ascii="Arial" w:hAnsi="Arial" w:cs="Arial"/>
          <w:sz w:val="20"/>
          <w:szCs w:val="20"/>
        </w:rPr>
        <w:t xml:space="preserve">overovateľ  </w:t>
        <w:tab/>
        <w:tab/>
        <w:tab/>
        <w:tab/>
        <w:tab/>
        <w:tab/>
        <w:tab/>
        <w:tab/>
        <w:tab/>
        <w:t>predseda výboru</w:t>
      </w:r>
    </w:p>
    <w:p w:rsidR="003037A2" w:rsidP="003037A2">
      <w:pPr>
        <w:bidi w:val="0"/>
        <w:rPr>
          <w:rFonts w:ascii="Arial" w:hAnsi="Arial" w:cs="Arial"/>
          <w:sz w:val="20"/>
          <w:szCs w:val="20"/>
        </w:rPr>
      </w:pPr>
    </w:p>
    <w:p w:rsidR="003037A2" w:rsidP="003037A2">
      <w:pPr>
        <w:bidi w:val="0"/>
        <w:rPr>
          <w:rFonts w:ascii="Arial" w:hAnsi="Arial" w:cs="Arial"/>
          <w:sz w:val="20"/>
          <w:szCs w:val="20"/>
        </w:rPr>
      </w:pPr>
    </w:p>
    <w:p w:rsidR="003037A2" w:rsidP="003037A2">
      <w:pPr>
        <w:bidi w:val="0"/>
        <w:rPr>
          <w:rFonts w:ascii="Arial" w:hAnsi="Arial" w:cs="Arial"/>
          <w:sz w:val="20"/>
          <w:szCs w:val="20"/>
        </w:rPr>
      </w:pPr>
    </w:p>
    <w:p w:rsidR="003037A2" w:rsidP="003037A2">
      <w:pPr>
        <w:bidi w:val="0"/>
        <w:rPr>
          <w:rFonts w:ascii="Arial" w:hAnsi="Arial" w:cs="Arial"/>
          <w:sz w:val="20"/>
          <w:szCs w:val="20"/>
        </w:rPr>
      </w:pPr>
    </w:p>
    <w:p w:rsidR="003037A2" w:rsidP="003037A2">
      <w:pPr>
        <w:bidi w:val="0"/>
        <w:rPr>
          <w:rFonts w:ascii="Arial" w:hAnsi="Arial" w:cs="Arial"/>
          <w:sz w:val="20"/>
          <w:szCs w:val="20"/>
        </w:rPr>
      </w:pPr>
    </w:p>
    <w:p w:rsidR="003037A2" w:rsidP="003037A2">
      <w:pPr>
        <w:bidi w:val="0"/>
        <w:rPr>
          <w:rFonts w:ascii="Arial" w:hAnsi="Arial" w:cs="Arial"/>
          <w:sz w:val="20"/>
          <w:szCs w:val="20"/>
        </w:rPr>
      </w:pPr>
    </w:p>
    <w:p w:rsidR="003037A2" w:rsidP="003037A2">
      <w:pPr>
        <w:bidi w:val="0"/>
        <w:rPr>
          <w:rFonts w:ascii="Arial" w:hAnsi="Arial" w:cs="Arial"/>
          <w:sz w:val="20"/>
          <w:szCs w:val="20"/>
        </w:rPr>
      </w:pPr>
    </w:p>
    <w:p w:rsidR="003037A2" w:rsidP="003037A2">
      <w:pPr>
        <w:bidi w:val="0"/>
        <w:rPr>
          <w:rFonts w:ascii="Arial" w:hAnsi="Arial" w:cs="Arial"/>
          <w:sz w:val="20"/>
          <w:szCs w:val="20"/>
        </w:rPr>
      </w:pPr>
    </w:p>
    <w:p w:rsidR="003037A2" w:rsidP="003037A2">
      <w:pPr>
        <w:widowControl/>
        <w:bidi w:val="0"/>
        <w:ind w:left="3540" w:firstLine="708"/>
        <w:rPr>
          <w:rFonts w:ascii="Arial" w:hAnsi="Arial" w:cs="Arial"/>
          <w:b/>
          <w:sz w:val="20"/>
          <w:szCs w:val="20"/>
        </w:rPr>
      </w:pPr>
    </w:p>
    <w:p w:rsidR="00370517" w:rsidP="003037A2">
      <w:pPr>
        <w:widowControl/>
        <w:bidi w:val="0"/>
        <w:ind w:left="3540" w:firstLine="708"/>
        <w:rPr>
          <w:rFonts w:ascii="Arial" w:hAnsi="Arial" w:cs="Arial"/>
          <w:b/>
          <w:sz w:val="20"/>
          <w:szCs w:val="20"/>
        </w:rPr>
      </w:pPr>
    </w:p>
    <w:p w:rsidR="00370517" w:rsidP="003037A2">
      <w:pPr>
        <w:widowControl/>
        <w:bidi w:val="0"/>
        <w:ind w:left="3540" w:firstLine="708"/>
        <w:rPr>
          <w:rFonts w:ascii="Arial" w:hAnsi="Arial" w:cs="Arial"/>
          <w:b/>
          <w:sz w:val="20"/>
          <w:szCs w:val="20"/>
        </w:rPr>
      </w:pPr>
    </w:p>
    <w:p w:rsidR="00370517" w:rsidP="003037A2">
      <w:pPr>
        <w:widowControl/>
        <w:bidi w:val="0"/>
        <w:ind w:left="3540" w:firstLine="708"/>
        <w:rPr>
          <w:rFonts w:ascii="Arial" w:hAnsi="Arial" w:cs="Arial"/>
          <w:b/>
          <w:sz w:val="20"/>
          <w:szCs w:val="20"/>
        </w:rPr>
      </w:pPr>
    </w:p>
    <w:p w:rsidR="003037A2" w:rsidP="003037A2">
      <w:pPr>
        <w:widowControl/>
        <w:bidi w:val="0"/>
        <w:ind w:left="3540" w:firstLine="708"/>
        <w:rPr>
          <w:rFonts w:ascii="Arial" w:hAnsi="Arial" w:cs="Arial"/>
          <w:b/>
          <w:sz w:val="20"/>
          <w:szCs w:val="20"/>
        </w:rPr>
      </w:pPr>
      <w:r>
        <w:rPr>
          <w:rFonts w:ascii="Arial" w:hAnsi="Arial" w:cs="Arial"/>
          <w:b/>
          <w:sz w:val="20"/>
          <w:szCs w:val="20"/>
        </w:rPr>
        <w:t>Príloha</w:t>
      </w:r>
    </w:p>
    <w:p w:rsidR="003037A2" w:rsidP="003037A2">
      <w:pPr>
        <w:widowControl/>
        <w:bidi w:val="0"/>
        <w:jc w:val="center"/>
        <w:rPr>
          <w:rFonts w:ascii="Arial" w:hAnsi="Arial" w:cs="Arial"/>
          <w:b/>
          <w:sz w:val="20"/>
          <w:szCs w:val="20"/>
        </w:rPr>
      </w:pPr>
      <w:r>
        <w:rPr>
          <w:rFonts w:ascii="Arial" w:hAnsi="Arial" w:cs="Arial"/>
          <w:b/>
          <w:sz w:val="20"/>
          <w:szCs w:val="20"/>
        </w:rPr>
        <w:t>k uzneseniu Výboru Národnej rady Slovenskej republiky pre ľudské p</w:t>
      </w:r>
      <w:r w:rsidR="000A1C4E">
        <w:rPr>
          <w:rFonts w:ascii="Arial" w:hAnsi="Arial" w:cs="Arial"/>
          <w:b/>
          <w:sz w:val="20"/>
          <w:szCs w:val="20"/>
        </w:rPr>
        <w:t>ráva a národnostné menšiny č. 89</w:t>
      </w:r>
    </w:p>
    <w:p w:rsidR="003037A2" w:rsidP="003037A2">
      <w:pPr>
        <w:widowControl/>
        <w:bidi w:val="0"/>
        <w:rPr>
          <w:rFonts w:ascii="Arial" w:hAnsi="Arial" w:cs="Arial"/>
          <w:b/>
          <w:sz w:val="20"/>
          <w:szCs w:val="20"/>
        </w:rPr>
      </w:pPr>
    </w:p>
    <w:p w:rsidR="003037A2" w:rsidP="003037A2">
      <w:pPr>
        <w:widowControl/>
        <w:bidi w:val="0"/>
        <w:rPr>
          <w:rFonts w:ascii="Arial" w:hAnsi="Arial" w:cs="Arial"/>
          <w:b/>
          <w:sz w:val="20"/>
          <w:szCs w:val="20"/>
        </w:rPr>
      </w:pPr>
    </w:p>
    <w:p w:rsidR="00370517" w:rsidP="00370517">
      <w:pPr>
        <w:bidi w:val="0"/>
        <w:rPr>
          <w:rFonts w:ascii="Arial" w:hAnsi="Arial" w:cs="Arial"/>
          <w:bCs/>
          <w:sz w:val="20"/>
          <w:szCs w:val="20"/>
        </w:rPr>
      </w:pPr>
      <w:r w:rsidR="003037A2">
        <w:rPr>
          <w:rFonts w:ascii="Arial" w:hAnsi="Arial" w:cs="Arial"/>
          <w:sz w:val="20"/>
          <w:szCs w:val="20"/>
        </w:rPr>
        <w:t>Pripomienky k</w:t>
      </w:r>
      <w:r>
        <w:rPr>
          <w:rFonts w:ascii="Arial" w:hAnsi="Arial" w:cs="Arial"/>
          <w:sz w:val="20"/>
          <w:szCs w:val="20"/>
        </w:rPr>
        <w:t xml:space="preserve"> vládnemu </w:t>
      </w:r>
      <w:r w:rsidR="003037A2">
        <w:rPr>
          <w:rFonts w:ascii="Arial" w:hAnsi="Arial" w:cs="Arial"/>
          <w:sz w:val="20"/>
          <w:szCs w:val="20"/>
        </w:rPr>
        <w:t xml:space="preserve">návrhu </w:t>
      </w:r>
      <w:r w:rsidRPr="00370517">
        <w:rPr>
          <w:rFonts w:ascii="Arial" w:hAnsi="Arial" w:cs="Arial"/>
          <w:bCs/>
          <w:sz w:val="20"/>
          <w:szCs w:val="20"/>
        </w:rPr>
        <w:t>zákona o elektronickej podobe výkonu pôsobnosti orgánov verejnej moci a o zmene a doplnení niektorých zákonov (zákon o e-Governmente) (tlač 545)</w:t>
      </w:r>
    </w:p>
    <w:p w:rsidR="000A1C4E" w:rsidP="00370517">
      <w:pPr>
        <w:bidi w:val="0"/>
        <w:rPr>
          <w:rFonts w:ascii="Arial" w:hAnsi="Arial" w:cs="Arial"/>
          <w:bCs/>
          <w:sz w:val="20"/>
          <w:szCs w:val="20"/>
        </w:rPr>
      </w:pP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 xml:space="preserve">V čl. I, § 7 ods. 7 písm. c) znie: </w:t>
      </w:r>
    </w:p>
    <w:p w:rsidR="000A1C4E" w:rsidRPr="000A1C4E" w:rsidP="000A1C4E">
      <w:pPr>
        <w:bidi w:val="0"/>
        <w:rPr>
          <w:rFonts w:ascii="Arial" w:hAnsi="Arial" w:cs="Arial"/>
          <w:bCs/>
          <w:sz w:val="20"/>
          <w:szCs w:val="20"/>
        </w:rPr>
      </w:pPr>
      <w:r w:rsidRPr="000A1C4E">
        <w:rPr>
          <w:rFonts w:ascii="Arial" w:hAnsi="Arial" w:cs="Arial"/>
          <w:bCs/>
          <w:sz w:val="20"/>
          <w:szCs w:val="20"/>
        </w:rPr>
        <w:t>„c) ktorej prevádzkovateľ zanikol, zomrel alebo bol vyhlásený za mŕtveho.““.</w:t>
      </w:r>
    </w:p>
    <w:p w:rsidR="000A1C4E" w:rsidRPr="000A1C4E" w:rsidP="000A1C4E">
      <w:pPr>
        <w:bidi w:val="0"/>
        <w:rPr>
          <w:rFonts w:ascii="Arial" w:hAnsi="Arial" w:cs="Arial"/>
          <w:bCs/>
          <w:sz w:val="20"/>
          <w:szCs w:val="20"/>
        </w:rPr>
      </w:pPr>
    </w:p>
    <w:p w:rsidR="000A1C4E" w:rsidRPr="000A1C4E" w:rsidP="00AC6BE2">
      <w:pPr>
        <w:bidi w:val="0"/>
        <w:ind w:left="3402" w:hanging="3402"/>
        <w:jc w:val="both"/>
        <w:rPr>
          <w:rFonts w:ascii="Arial" w:hAnsi="Arial" w:cs="Arial"/>
          <w:bCs/>
          <w:sz w:val="20"/>
          <w:szCs w:val="20"/>
        </w:rPr>
      </w:pPr>
      <w:r>
        <w:rPr>
          <w:rFonts w:ascii="Arial" w:hAnsi="Arial" w:cs="Arial"/>
          <w:bCs/>
          <w:sz w:val="20"/>
          <w:szCs w:val="20"/>
        </w:rPr>
        <w:tab/>
      </w:r>
      <w:r w:rsidRPr="000A1C4E">
        <w:rPr>
          <w:rFonts w:ascii="Arial" w:hAnsi="Arial" w:cs="Arial"/>
          <w:bCs/>
          <w:sz w:val="20"/>
          <w:szCs w:val="20"/>
        </w:rPr>
        <w:t xml:space="preserve">Legislatívno-technická úprava. </w:t>
      </w: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 § 12 ods. 9 sa vypúšťajú slová „a adries elektronických schránok podľa odseku 6“.</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Vypustenie sa navrhuje z dôvodu nadbytočnosti, keďže v  súlade s uvedeným ustanovením úrad vlády sprístupňuje zoznam adries všetkých elektronických schránok, t. j. aj tých, ktoré sú zriadené podľa odseku 6.</w:t>
      </w: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 xml:space="preserve">V čl. I, § 13 ods. 4 písm. g)  sa v úvodnej vete slová „písmen a) až d)“ nahrádzajú slovami „písmen a) až e)“. </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Zosúladenie úvodnej vety § 13 ods. 4 písm. g) so štvrtým bodom tohto písmena, ktorý zahŕňa  zapísanú organizačnú zložku, ktorá je upravená v odseku 4 písm. e).  </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 § 37 ods. 1 písm. f) a ods. 2 písm. c) sa slová „oprávnenej osoby“ nahrádzajú slovami „osoby vykonávajúcej konverziu“.</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Legislatívno-technická úprava; zosúladenie so zavedenou legislatívnou skratkou v čl. I § 35 ods. 2. </w:t>
      </w: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 § 37 ods. 1 písm. h) a ods. 2 písm. e) sa za slovo „vykonala“ vkladá slovo „zaručenú“.</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Spresnenie ustanovenia, keďže v danom prípade ide o vykonanie zaručenej konverzie. </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 § 60 ods. 1 sa za slová „orgánu verejnej moci“ vkladá slovo „povinnosť“.</w:t>
      </w:r>
    </w:p>
    <w:p w:rsidR="000A1C4E" w:rsidRPr="000A1C4E" w:rsidP="000A1C4E">
      <w:pPr>
        <w:bidi w:val="0"/>
        <w:rPr>
          <w:rFonts w:ascii="Arial" w:hAnsi="Arial" w:cs="Arial"/>
          <w:bCs/>
          <w:sz w:val="20"/>
          <w:szCs w:val="20"/>
        </w:rPr>
      </w:pPr>
    </w:p>
    <w:p w:rsidR="000A1C4E" w:rsidRPr="000A1C4E" w:rsidP="00AC6BE2">
      <w:pPr>
        <w:bidi w:val="0"/>
        <w:ind w:firstLine="3402"/>
        <w:jc w:val="both"/>
        <w:rPr>
          <w:rFonts w:ascii="Arial" w:hAnsi="Arial" w:cs="Arial"/>
          <w:bCs/>
          <w:sz w:val="20"/>
          <w:szCs w:val="20"/>
        </w:rPr>
      </w:pPr>
      <w:r w:rsidRPr="000A1C4E">
        <w:rPr>
          <w:rFonts w:ascii="Arial" w:hAnsi="Arial" w:cs="Arial"/>
          <w:bCs/>
          <w:sz w:val="20"/>
          <w:szCs w:val="20"/>
        </w:rPr>
        <w:t>Spresnenie ustanovenia.</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III, 15. bode sa v § 10 ods. 2 písm. e) slová „nečlenským certifikačným autoritám podľa § 17 ods. 1 písm. a) a c)“ nahrádzajú slovami „poskytovateľom certifikačných služieb podľa § 17 ods. 3 písm. a) a c)“.</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Zosúladenie ustanovenia s § 17 (čl. III 22. bod); v navrhovanom znení § 17 sa už nepoužíva pojem nečlenská certifikačná autorita, ale poskytovateľ certifikačných služieb. Rovnako prívlastok „nečlenský“ nie je vhodné použiť, keďže návrh zákona nemá zavedený takýto pojem. Úplne postačuje odkaz na § 17 ods. 3, z ktorého jednoznačne vyplýva, že ide o iných poskytovateľov certifikačných služieb, ako sú uvedení v § 17 ods. 1. Súčasne sa navrhuje oprava chybného vnútorného odkazu. </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III, 19. bod znie:</w:t>
      </w:r>
    </w:p>
    <w:p w:rsidR="000A1C4E" w:rsidRPr="000A1C4E" w:rsidP="000A1C4E">
      <w:pPr>
        <w:bidi w:val="0"/>
        <w:rPr>
          <w:rFonts w:ascii="Arial" w:hAnsi="Arial" w:cs="Arial"/>
          <w:bCs/>
          <w:sz w:val="20"/>
          <w:szCs w:val="20"/>
        </w:rPr>
      </w:pPr>
      <w:r w:rsidRPr="000A1C4E">
        <w:rPr>
          <w:rFonts w:ascii="Arial" w:hAnsi="Arial" w:cs="Arial"/>
          <w:bCs/>
          <w:sz w:val="20"/>
          <w:szCs w:val="20"/>
        </w:rPr>
        <w:t>„19. V § 14 ods. 3 písm. c) sa slová „§ 10 ods. 2 písm. j)“ nahrádzajú slovami „§ 10 ods. 2 písm. i)“ a  slová „pre elektronický podpis vhodné na vyhotovovanie a overovanie zaručeného elektronického podpisu“ sa nahrádzajú slovami „vhodné na vyhotovovanie a overovanie zaručeného elektronického podpisu  alebo zaručenej elektronickej pečate“.“.</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Legislatívno-technická úprava; doplnenie bodu o potrebu opravy vnútorného odkazu z dôvodu zmeny § 10 ods. 2 (čl. III, 15. bod) a spresnenie ustanovenia.</w:t>
      </w: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III sa za 19. bod vkladá nový 20. bod, ktorý znie:</w:t>
      </w:r>
    </w:p>
    <w:p w:rsidR="000A1C4E" w:rsidRPr="000A1C4E" w:rsidP="000A1C4E">
      <w:pPr>
        <w:bidi w:val="0"/>
        <w:rPr>
          <w:rFonts w:ascii="Arial" w:hAnsi="Arial" w:cs="Arial"/>
          <w:bCs/>
          <w:sz w:val="20"/>
          <w:szCs w:val="20"/>
        </w:rPr>
      </w:pPr>
      <w:r w:rsidRPr="000A1C4E">
        <w:rPr>
          <w:rFonts w:ascii="Arial" w:hAnsi="Arial" w:cs="Arial"/>
          <w:bCs/>
          <w:sz w:val="20"/>
          <w:szCs w:val="20"/>
        </w:rPr>
        <w:t>„20. V § 14 ods. 3 písm. d) sa slová „§ 17 ods. 1 písm. b)“ nahrádzajú slovami „§ 17 ods. 3 písm. b)“.</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r w:rsidRPr="000A1C4E">
        <w:rPr>
          <w:rFonts w:ascii="Arial" w:hAnsi="Arial" w:cs="Arial"/>
          <w:bCs/>
          <w:sz w:val="20"/>
          <w:szCs w:val="20"/>
        </w:rPr>
        <w:t xml:space="preserve">Ďalšie body sa primerane prečíslujú. </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Legislatívno-technická úprava súvisiaca so zmenou § 17 v čl. III, 22. bode. </w:t>
      </w: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III, 22. bode sa v § 17 ods. 1 slová „v inom štáte,“ nahrádzajú slovami „v inom členskom štáte Európskej únie, v štáte,“.</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Doplnenie „iných členských štátov EÚ“ vyplýva z čl. 2 rozhodnutia Komisie č. 2009/767/ES, ktorým sa ustanovujú opatrenia na uľahčenie postupov elektronickými spôsobmi prostredníctvom „miest jednotného kontaktu“ podľa smernice EP a Rady 2006/123/ES o službách na vnútornom trhu  a čl. 7 ods. 1 smernice č. 1999/93/ES. </w:t>
      </w: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III, 25. bode sa v § 24 ods. 16 slová „orgánom podľa čl. 3 ods. 4 smernice Európskeho parlamentu a Rady 1999/93/ES o rámci spoločenstva pre elektronické podpisy“ nahrádzajú slovami „príslušným orgánom iného členského štátu Európskej únie,  štátu, ktorý je zmluvnou stranou Dohody o Európskom hospodárskom priestore, alebo Švajčiarska“.</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Nakoľko citované ustanovenie smernice rovnako ako aj samotná smernica je síce všeobecne záväzným právnym aktom ale nemá priamy účinok, navrhuje sa nahradiť ho slovným vyjadrením obsahu dotknutého článku smernice č. 1999/93/ES. </w:t>
      </w: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IV, 1. bode sa v § 16a ods. 6 označenie odkazu „30d)“ nahrádza označením „30ba)“.  Rovnako sa upraví aj označenie poznámky pod čiarou k tomuto odkazu. </w:t>
      </w:r>
    </w:p>
    <w:p w:rsidR="000A1C4E" w:rsidRPr="000A1C4E" w:rsidP="000A1C4E">
      <w:pPr>
        <w:bidi w:val="0"/>
        <w:rPr>
          <w:rFonts w:ascii="Arial" w:hAnsi="Arial" w:cs="Arial"/>
          <w:bCs/>
          <w:sz w:val="20"/>
          <w:szCs w:val="20"/>
        </w:rPr>
      </w:pPr>
    </w:p>
    <w:p w:rsidR="000A1C4E" w:rsidRPr="000A1C4E" w:rsidP="00AC6BE2">
      <w:pPr>
        <w:bidi w:val="0"/>
        <w:ind w:firstLine="3402"/>
        <w:rPr>
          <w:rFonts w:ascii="Arial" w:hAnsi="Arial" w:cs="Arial"/>
          <w:bCs/>
          <w:sz w:val="20"/>
          <w:szCs w:val="20"/>
        </w:rPr>
      </w:pPr>
      <w:r w:rsidRPr="000A1C4E">
        <w:rPr>
          <w:rFonts w:ascii="Arial" w:hAnsi="Arial" w:cs="Arial"/>
          <w:bCs/>
          <w:sz w:val="20"/>
          <w:szCs w:val="20"/>
        </w:rPr>
        <w:t xml:space="preserve">Legislatívno-technická úprava číslovania odkazov. </w:t>
      </w: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IV, 2. bode sa slová „§ 16a ods. 8“ nahrádzajú slovami „§ 16a ods. 7“.</w:t>
      </w:r>
    </w:p>
    <w:p w:rsidR="000A1C4E" w:rsidRPr="000A1C4E" w:rsidP="000A1C4E">
      <w:pPr>
        <w:bidi w:val="0"/>
        <w:rPr>
          <w:rFonts w:ascii="Arial" w:hAnsi="Arial" w:cs="Arial"/>
          <w:bCs/>
          <w:sz w:val="20"/>
          <w:szCs w:val="20"/>
        </w:rPr>
      </w:pPr>
    </w:p>
    <w:p w:rsidR="000A1C4E" w:rsidRPr="000A1C4E" w:rsidP="00AC6BE2">
      <w:pPr>
        <w:bidi w:val="0"/>
        <w:ind w:firstLine="3402"/>
        <w:jc w:val="both"/>
        <w:rPr>
          <w:rFonts w:ascii="Arial" w:hAnsi="Arial" w:cs="Arial"/>
          <w:bCs/>
          <w:sz w:val="20"/>
          <w:szCs w:val="20"/>
        </w:rPr>
      </w:pPr>
      <w:r w:rsidRPr="000A1C4E">
        <w:rPr>
          <w:rFonts w:ascii="Arial" w:hAnsi="Arial" w:cs="Arial"/>
          <w:bCs/>
          <w:sz w:val="20"/>
          <w:szCs w:val="20"/>
        </w:rPr>
        <w:t xml:space="preserve">Oprava chybného označenia ustanovenia. </w:t>
      </w:r>
    </w:p>
    <w:p w:rsidR="000A1C4E" w:rsidRPr="000A1C4E" w:rsidP="00AC6BE2">
      <w:pPr>
        <w:bidi w:val="0"/>
        <w:jc w:val="both"/>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V sa v § 52 ods. 1 označenie odkazu „22c)“ nahrádza označením „22aa)“.  Rovnako sa upraví aj označenie poznámky pod čiarou k tomuto odkazu. </w:t>
      </w:r>
    </w:p>
    <w:p w:rsidR="000A1C4E" w:rsidRPr="000A1C4E" w:rsidP="000A1C4E">
      <w:pPr>
        <w:bidi w:val="0"/>
        <w:rPr>
          <w:rFonts w:ascii="Arial" w:hAnsi="Arial" w:cs="Arial"/>
          <w:bCs/>
          <w:sz w:val="20"/>
          <w:szCs w:val="20"/>
        </w:rPr>
      </w:pPr>
    </w:p>
    <w:p w:rsidR="000A1C4E" w:rsidRPr="000A1C4E" w:rsidP="00AC6BE2">
      <w:pPr>
        <w:bidi w:val="0"/>
        <w:ind w:firstLine="3402"/>
        <w:jc w:val="both"/>
        <w:rPr>
          <w:rFonts w:ascii="Arial" w:hAnsi="Arial" w:cs="Arial"/>
          <w:bCs/>
          <w:sz w:val="20"/>
          <w:szCs w:val="20"/>
        </w:rPr>
      </w:pPr>
      <w:r w:rsidRPr="000A1C4E">
        <w:rPr>
          <w:rFonts w:ascii="Arial" w:hAnsi="Arial" w:cs="Arial"/>
          <w:bCs/>
          <w:sz w:val="20"/>
          <w:szCs w:val="20"/>
        </w:rPr>
        <w:t xml:space="preserve">Legislatívno-technická úprava číslovania odkazov. </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r w:rsidRPr="000A1C4E">
        <w:rPr>
          <w:rFonts w:ascii="Arial" w:hAnsi="Arial" w:cs="Arial"/>
          <w:bCs/>
          <w:sz w:val="20"/>
          <w:szCs w:val="20"/>
        </w:rPr>
        <w:tab/>
        <w:tab/>
      </w: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VIII, 3. bod znie:</w:t>
      </w:r>
    </w:p>
    <w:p w:rsidR="000A1C4E" w:rsidRPr="000A1C4E" w:rsidP="000A1C4E">
      <w:pPr>
        <w:bidi w:val="0"/>
        <w:rPr>
          <w:rFonts w:ascii="Arial" w:hAnsi="Arial" w:cs="Arial"/>
          <w:bCs/>
          <w:sz w:val="20"/>
          <w:szCs w:val="20"/>
        </w:rPr>
      </w:pPr>
      <w:r w:rsidRPr="000A1C4E">
        <w:rPr>
          <w:rFonts w:ascii="Arial" w:hAnsi="Arial" w:cs="Arial"/>
          <w:bCs/>
          <w:sz w:val="20"/>
          <w:szCs w:val="20"/>
        </w:rPr>
        <w:t>„3. V § 2 sa vypúšťajú písmená o) a p).</w:t>
      </w:r>
    </w:p>
    <w:p w:rsidR="000A1C4E" w:rsidRPr="000A1C4E" w:rsidP="000A1C4E">
      <w:pPr>
        <w:bidi w:val="0"/>
        <w:rPr>
          <w:rFonts w:ascii="Arial" w:hAnsi="Arial" w:cs="Arial"/>
          <w:bCs/>
          <w:sz w:val="20"/>
          <w:szCs w:val="20"/>
        </w:rPr>
      </w:pPr>
      <w:r w:rsidRPr="000A1C4E">
        <w:rPr>
          <w:rFonts w:ascii="Arial" w:hAnsi="Arial" w:cs="Arial"/>
          <w:bCs/>
          <w:sz w:val="20"/>
          <w:szCs w:val="20"/>
        </w:rPr>
        <w:t>Doterajšie písmená q) až z) sa označujú ako písmená o) až x).“.</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Legislatívno-technická úprava v nadväznosti na novelu zákona č. 202/2013 Z. z., ktorou sa menil § 2 zákona č. 275/2006 Z. z. </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VIII sa 6. bod vypúšťa.</w:t>
      </w:r>
    </w:p>
    <w:p w:rsidR="000A1C4E" w:rsidRPr="000A1C4E" w:rsidP="000A1C4E">
      <w:pPr>
        <w:bidi w:val="0"/>
        <w:rPr>
          <w:rFonts w:ascii="Arial" w:hAnsi="Arial" w:cs="Arial"/>
          <w:bCs/>
          <w:sz w:val="20"/>
          <w:szCs w:val="20"/>
        </w:rPr>
      </w:pPr>
      <w:r w:rsidRPr="000A1C4E">
        <w:rPr>
          <w:rFonts w:ascii="Arial" w:hAnsi="Arial" w:cs="Arial"/>
          <w:bCs/>
          <w:sz w:val="20"/>
          <w:szCs w:val="20"/>
        </w:rPr>
        <w:t>Ďalšie body sa primerane prečíslujú.</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Úprava navrhovaná v tomto ustanovení, už bola schválená v zákone č. 202/2013 Z. z. (§ 4a ods. 1).</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VIII sa 8. bod vypúšťa.</w:t>
      </w:r>
    </w:p>
    <w:p w:rsidR="000A1C4E" w:rsidRPr="000A1C4E" w:rsidP="000A1C4E">
      <w:pPr>
        <w:bidi w:val="0"/>
        <w:rPr>
          <w:rFonts w:ascii="Arial" w:hAnsi="Arial" w:cs="Arial"/>
          <w:bCs/>
          <w:sz w:val="20"/>
          <w:szCs w:val="20"/>
        </w:rPr>
      </w:pPr>
      <w:r w:rsidRPr="000A1C4E">
        <w:rPr>
          <w:rFonts w:ascii="Arial" w:hAnsi="Arial" w:cs="Arial"/>
          <w:bCs/>
          <w:sz w:val="20"/>
          <w:szCs w:val="20"/>
        </w:rPr>
        <w:t>Ďalšie body sa primerane prečíslujú.</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Úprava navrhovaná v tomto ustanovení, už bola schválená v zákone č. 202/2013 Z. z. </w:t>
      </w: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VIII sa 9. bod vypúšťa.</w:t>
      </w:r>
    </w:p>
    <w:p w:rsidR="000A1C4E" w:rsidRPr="000A1C4E" w:rsidP="000A1C4E">
      <w:pPr>
        <w:bidi w:val="0"/>
        <w:rPr>
          <w:rFonts w:ascii="Arial" w:hAnsi="Arial" w:cs="Arial"/>
          <w:bCs/>
          <w:sz w:val="20"/>
          <w:szCs w:val="20"/>
        </w:rPr>
      </w:pPr>
      <w:r w:rsidRPr="000A1C4E">
        <w:rPr>
          <w:rFonts w:ascii="Arial" w:hAnsi="Arial" w:cs="Arial"/>
          <w:bCs/>
          <w:sz w:val="20"/>
          <w:szCs w:val="20"/>
        </w:rPr>
        <w:t>Ďalšie body sa primerane prečíslujú.</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Úprava navrhovaná v tomto ustanovení sa navrhuje presunúť do § 2 písm. i), kde v súlade s Legislatívnymi pravidlami tvorby zákonov patrí.   </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VIII sa za 10. bod vkladá nový 11. bod, ktorý znie:</w:t>
      </w:r>
    </w:p>
    <w:p w:rsidR="000A1C4E" w:rsidRPr="000A1C4E" w:rsidP="000A1C4E">
      <w:pPr>
        <w:bidi w:val="0"/>
        <w:rPr>
          <w:rFonts w:ascii="Arial" w:hAnsi="Arial" w:cs="Arial"/>
          <w:bCs/>
          <w:sz w:val="20"/>
          <w:szCs w:val="20"/>
        </w:rPr>
      </w:pPr>
      <w:r w:rsidRPr="000A1C4E">
        <w:rPr>
          <w:rFonts w:ascii="Arial" w:hAnsi="Arial" w:cs="Arial"/>
          <w:bCs/>
          <w:sz w:val="20"/>
          <w:szCs w:val="20"/>
        </w:rPr>
        <w:t>„11. V § 4a ods. 1 sa vypúšťajú slová „a ústredného portálu“.“.</w:t>
      </w:r>
    </w:p>
    <w:p w:rsidR="000A1C4E" w:rsidRPr="000A1C4E" w:rsidP="000A1C4E">
      <w:pPr>
        <w:bidi w:val="0"/>
        <w:rPr>
          <w:rFonts w:ascii="Arial" w:hAnsi="Arial" w:cs="Arial"/>
          <w:bCs/>
          <w:sz w:val="20"/>
          <w:szCs w:val="20"/>
        </w:rPr>
      </w:pPr>
    </w:p>
    <w:p w:rsidR="000A1C4E" w:rsidRPr="000A1C4E" w:rsidP="000A1C4E">
      <w:pPr>
        <w:bidi w:val="0"/>
        <w:rPr>
          <w:rFonts w:ascii="Arial" w:hAnsi="Arial" w:cs="Arial"/>
          <w:bCs/>
          <w:sz w:val="20"/>
          <w:szCs w:val="20"/>
        </w:rPr>
      </w:pPr>
      <w:r w:rsidRPr="000A1C4E">
        <w:rPr>
          <w:rFonts w:ascii="Arial" w:hAnsi="Arial" w:cs="Arial"/>
          <w:bCs/>
          <w:sz w:val="20"/>
          <w:szCs w:val="20"/>
        </w:rPr>
        <w:t>Ďalšie body sa primerane prečíslujú.</w:t>
      </w:r>
    </w:p>
    <w:p w:rsidR="000A1C4E" w:rsidRPr="000A1C4E"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 xml:space="preserve">Legislatívno-technická úprava súvisiaca s presunutím ústredného portálu do zákona o elektronickej podobe výkonu pôsobnosti verejnej moci a o zmene a doplnení niektorých zákonov (zákon o e- Governmente) (čl. I). </w:t>
      </w:r>
    </w:p>
    <w:p w:rsidR="000A1C4E" w:rsidRPr="000A1C4E" w:rsidP="000A1C4E">
      <w:pPr>
        <w:bidi w:val="0"/>
        <w:rPr>
          <w:rFonts w:ascii="Arial" w:hAnsi="Arial" w:cs="Arial"/>
          <w:bCs/>
          <w:sz w:val="20"/>
          <w:szCs w:val="20"/>
        </w:rPr>
      </w:pPr>
      <w:r w:rsidRPr="000A1C4E">
        <w:rPr>
          <w:rFonts w:ascii="Arial" w:hAnsi="Arial" w:cs="Arial"/>
          <w:bCs/>
          <w:sz w:val="20"/>
          <w:szCs w:val="20"/>
        </w:rPr>
        <w:t xml:space="preserve"> </w:t>
      </w:r>
    </w:p>
    <w:p w:rsidR="000A1C4E" w:rsidRPr="000A1C4E" w:rsidP="000A1C4E">
      <w:pPr>
        <w:numPr>
          <w:numId w:val="4"/>
        </w:numPr>
        <w:bidi w:val="0"/>
        <w:rPr>
          <w:rFonts w:ascii="Arial" w:hAnsi="Arial" w:cs="Arial"/>
          <w:bCs/>
          <w:sz w:val="20"/>
          <w:szCs w:val="20"/>
        </w:rPr>
      </w:pPr>
      <w:r w:rsidRPr="000A1C4E">
        <w:rPr>
          <w:rFonts w:ascii="Arial" w:hAnsi="Arial" w:cs="Arial"/>
          <w:bCs/>
          <w:sz w:val="20"/>
          <w:szCs w:val="20"/>
        </w:rPr>
        <w:t>V čl. X sa slová „1. októbra“ nahrádzajú slovami „1. novembra“ a v tejto súvislosti sa vykonajú nasledovné úpravy:</w:t>
      </w:r>
    </w:p>
    <w:p w:rsidR="000A1C4E" w:rsidRPr="000A1C4E" w:rsidP="000A1C4E">
      <w:pPr>
        <w:numPr>
          <w:numId w:val="5"/>
        </w:numPr>
        <w:bidi w:val="0"/>
        <w:rPr>
          <w:rFonts w:ascii="Arial" w:hAnsi="Arial" w:cs="Arial"/>
          <w:bCs/>
          <w:sz w:val="20"/>
          <w:szCs w:val="20"/>
        </w:rPr>
      </w:pPr>
      <w:r w:rsidRPr="000A1C4E">
        <w:rPr>
          <w:rFonts w:ascii="Arial" w:hAnsi="Arial" w:cs="Arial"/>
          <w:bCs/>
          <w:sz w:val="20"/>
          <w:szCs w:val="20"/>
        </w:rPr>
        <w:t>v čl. VIII sa v nadpise § 12b slová „1. októbra“ nahrádzajú slovami „1. novembra“,</w:t>
      </w:r>
    </w:p>
    <w:p w:rsidR="000A1C4E" w:rsidRPr="000A1C4E" w:rsidP="000A1C4E">
      <w:pPr>
        <w:numPr>
          <w:numId w:val="5"/>
        </w:numPr>
        <w:bidi w:val="0"/>
        <w:rPr>
          <w:rFonts w:ascii="Arial" w:hAnsi="Arial" w:cs="Arial"/>
          <w:bCs/>
          <w:sz w:val="20"/>
          <w:szCs w:val="20"/>
        </w:rPr>
      </w:pPr>
      <w:r w:rsidRPr="000A1C4E">
        <w:rPr>
          <w:rFonts w:ascii="Arial" w:hAnsi="Arial" w:cs="Arial"/>
          <w:bCs/>
          <w:sz w:val="20"/>
          <w:szCs w:val="20"/>
        </w:rPr>
        <w:t xml:space="preserve">v čl. VIII sa v § 12b slová „30. septembra“ nahrádzajú slovami „31. októbra“. </w:t>
      </w:r>
    </w:p>
    <w:p w:rsidR="00AC6BE2" w:rsidP="000A1C4E">
      <w:pPr>
        <w:bidi w:val="0"/>
        <w:rPr>
          <w:rFonts w:ascii="Arial" w:hAnsi="Arial" w:cs="Arial"/>
          <w:bCs/>
          <w:sz w:val="20"/>
          <w:szCs w:val="20"/>
        </w:rPr>
      </w:pPr>
    </w:p>
    <w:p w:rsidR="000A1C4E" w:rsidRPr="000A1C4E" w:rsidP="00AC6BE2">
      <w:pPr>
        <w:bidi w:val="0"/>
        <w:ind w:left="3402"/>
        <w:jc w:val="both"/>
        <w:rPr>
          <w:rFonts w:ascii="Arial" w:hAnsi="Arial" w:cs="Arial"/>
          <w:bCs/>
          <w:sz w:val="20"/>
          <w:szCs w:val="20"/>
        </w:rPr>
      </w:pPr>
      <w:r w:rsidRPr="000A1C4E">
        <w:rPr>
          <w:rFonts w:ascii="Arial" w:hAnsi="Arial" w:cs="Arial"/>
          <w:bCs/>
          <w:sz w:val="20"/>
          <w:szCs w:val="20"/>
        </w:rPr>
        <w:t>Zmena účinnosti sa navrhuje z dôvodu trvania legislatívneho procesu, zabezpečenia aspoň minimálnej legisvakancie a  vytvorenia časového priestoru na vydanie potrebných vykonávacích predpisov. Z uvedených dôvodov je potrebné zmeniť účinnosť zákona tak, aby boli  dodržané požiadavky a lehoty stanovené Ústavou Slovenskej republiky [čl. 87 ods. 2 až 4 a čl. 102 ods. 1 písm. o)].</w:t>
      </w:r>
    </w:p>
    <w:p w:rsidR="000A1C4E" w:rsidRPr="000A1C4E" w:rsidP="000A1C4E">
      <w:pPr>
        <w:bidi w:val="0"/>
        <w:rPr>
          <w:rFonts w:ascii="Arial" w:hAnsi="Arial" w:cs="Arial"/>
          <w:bCs/>
          <w:sz w:val="20"/>
          <w:szCs w:val="20"/>
        </w:rPr>
      </w:pPr>
    </w:p>
    <w:p w:rsidR="000A1C4E" w:rsidRPr="00370517" w:rsidP="00370517">
      <w:pPr>
        <w:bidi w:val="0"/>
        <w:rPr>
          <w:rFonts w:ascii="Arial" w:hAnsi="Arial" w:cs="Arial"/>
          <w:bCs/>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25FE1"/>
    <w:multiLevelType w:val="hybridMultilevel"/>
    <w:tmpl w:val="6A803388"/>
    <w:lvl w:ilvl="0">
      <w:start w:val="1"/>
      <w:numFmt w:val="upperLetter"/>
      <w:lvlText w:val="%1."/>
      <w:lvlJc w:val="left"/>
      <w:pPr>
        <w:ind w:left="1637" w:hanging="360"/>
      </w:pPr>
      <w:rPr>
        <w:rFonts w:ascii="Arial" w:hAnsi="Arial" w:cs="Times New Roman"/>
        <w:b/>
        <w:sz w:val="2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488432EC"/>
    <w:multiLevelType w:val="hybridMultilevel"/>
    <w:tmpl w:val="E60C05FE"/>
    <w:lvl w:ilvl="0">
      <w:start w:val="0"/>
      <w:numFmt w:val="bullet"/>
      <w:lvlText w:val="-"/>
      <w:lvlJc w:val="left"/>
      <w:pPr>
        <w:ind w:left="1080" w:hanging="360"/>
      </w:pPr>
      <w:rPr>
        <w:rFonts w:ascii="Times New Roman" w:hAnsi="Times New Roman" w:eastAsiaTheme="minorHAnsi"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4F9F4553"/>
    <w:multiLevelType w:val="hybridMultilevel"/>
    <w:tmpl w:val="F9F858E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56007F11"/>
    <w:multiLevelType w:val="hybridMultilevel"/>
    <w:tmpl w:val="067285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6DEA7593"/>
    <w:multiLevelType w:val="hybridMultilevel"/>
    <w:tmpl w:val="836C41E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643CC"/>
    <w:rsid w:val="000A1C4E"/>
    <w:rsid w:val="002C00F7"/>
    <w:rsid w:val="003037A2"/>
    <w:rsid w:val="00370517"/>
    <w:rsid w:val="003D7E3C"/>
    <w:rsid w:val="0054044F"/>
    <w:rsid w:val="008643CC"/>
    <w:rsid w:val="008912A6"/>
    <w:rsid w:val="00AC6BE2"/>
    <w:rsid w:val="00D066D5"/>
    <w:rsid w:val="00E8159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7A2"/>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3037A2"/>
    <w:pPr>
      <w:ind w:left="720"/>
      <w:contextualSpacing/>
      <w:jc w:val="left"/>
    </w:pPr>
  </w:style>
  <w:style w:type="paragraph" w:styleId="BodyText">
    <w:name w:val="Body Text"/>
    <w:basedOn w:val="Normal"/>
    <w:link w:val="ZkladntextChar"/>
    <w:uiPriority w:val="99"/>
    <w:semiHidden/>
    <w:unhideWhenUsed/>
    <w:rsid w:val="00370517"/>
    <w:pPr>
      <w:spacing w:after="120"/>
      <w:jc w:val="left"/>
    </w:pPr>
  </w:style>
  <w:style w:type="character" w:customStyle="1" w:styleId="ZkladntextChar">
    <w:name w:val="Základný text Char"/>
    <w:basedOn w:val="DefaultParagraphFont"/>
    <w:link w:val="BodyText"/>
    <w:uiPriority w:val="99"/>
    <w:semiHidden/>
    <w:locked/>
    <w:rsid w:val="00370517"/>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1147</Words>
  <Characters>6538</Characters>
  <Application>Microsoft Office Word</Application>
  <DocSecurity>0</DocSecurity>
  <Lines>0</Lines>
  <Paragraphs>0</Paragraphs>
  <ScaleCrop>false</ScaleCrop>
  <Company>Kancelaria NR SR</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SandEleo</dc:creator>
  <cp:lastModifiedBy>Birova, Marta</cp:lastModifiedBy>
  <cp:revision>2</cp:revision>
  <dcterms:created xsi:type="dcterms:W3CDTF">2013-08-28T11:49:00Z</dcterms:created>
  <dcterms:modified xsi:type="dcterms:W3CDTF">2013-08-28T11:49:00Z</dcterms:modified>
</cp:coreProperties>
</file>