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5D62" w:rsidRPr="0068339D">
      <w:pPr>
        <w:pStyle w:val="BodyText"/>
        <w:bidi w:val="0"/>
        <w:ind w:left="3540" w:firstLine="708"/>
        <w:rPr>
          <w:b w:val="0"/>
          <w:bCs w:val="0"/>
        </w:rPr>
      </w:pPr>
      <w:r w:rsidRPr="0068339D" w:rsidR="0068339D">
        <w:rPr>
          <w:rFonts w:hint="default"/>
          <w:b w:val="0"/>
          <w:bCs w:val="0"/>
        </w:rPr>
        <w:t>NÁ</w:t>
      </w:r>
      <w:r w:rsidRPr="0068339D" w:rsidR="0068339D">
        <w:rPr>
          <w:rFonts w:hint="default"/>
          <w:b w:val="0"/>
          <w:bCs w:val="0"/>
        </w:rPr>
        <w:t>VRH</w:t>
      </w:r>
    </w:p>
    <w:p w:rsidR="00E05D62" w:rsidRPr="00A56F1F">
      <w:pPr>
        <w:pStyle w:val="BodyText"/>
        <w:bidi w:val="0"/>
        <w:jc w:val="center"/>
        <w:rPr>
          <w:rFonts w:ascii="Arial Narrow" w:hAnsi="Arial Narrow" w:cs="Arial Narrow"/>
          <w:b w:val="0"/>
          <w:sz w:val="22"/>
          <w:szCs w:val="22"/>
        </w:rPr>
      </w:pPr>
    </w:p>
    <w:p w:rsidR="00E05D62" w:rsidRPr="00BE73B9">
      <w:pPr>
        <w:pStyle w:val="BodyText"/>
        <w:bidi w:val="0"/>
        <w:ind w:left="3540"/>
        <w:jc w:val="both"/>
      </w:pPr>
      <w:r w:rsidRPr="004B7829">
        <w:rPr>
          <w:rFonts w:ascii="Arial Narrow" w:hAnsi="Arial Narrow" w:cs="Arial Narrow"/>
          <w:sz w:val="22"/>
          <w:szCs w:val="22"/>
        </w:rPr>
        <w:tab/>
      </w:r>
      <w:r w:rsidRPr="00BE73B9">
        <w:t>Opatrenie</w:t>
      </w:r>
    </w:p>
    <w:p w:rsidR="00E05D62" w:rsidRPr="00BE73B9">
      <w:pPr>
        <w:pStyle w:val="BodyText"/>
        <w:bidi w:val="0"/>
        <w:jc w:val="center"/>
        <w:rPr>
          <w:rFonts w:hint="default"/>
        </w:rPr>
      </w:pPr>
      <w:r w:rsidRPr="00BE73B9">
        <w:rPr>
          <w:rFonts w:hint="default"/>
        </w:rPr>
        <w:t>Ministerstva financií</w:t>
      </w:r>
      <w:r w:rsidRPr="00BE73B9">
        <w:rPr>
          <w:rFonts w:hint="default"/>
        </w:rPr>
        <w:t xml:space="preserve"> Slovenskej republiky</w:t>
      </w:r>
    </w:p>
    <w:p w:rsidR="00E05D62" w:rsidRPr="00BE73B9">
      <w:pPr>
        <w:pStyle w:val="BodyText"/>
        <w:bidi w:val="0"/>
        <w:jc w:val="center"/>
      </w:pPr>
      <w:r w:rsidRPr="00BE73B9" w:rsidR="00F6682A">
        <w:t>z</w:t>
      </w:r>
      <w:r w:rsidRPr="00BE73B9" w:rsidR="0024220F">
        <w:t xml:space="preserve"> ......</w:t>
      </w:r>
      <w:r w:rsidRPr="00BE73B9" w:rsidR="000934BB">
        <w:t xml:space="preserve"> 2013</w:t>
      </w:r>
    </w:p>
    <w:p w:rsidR="00E05D62" w:rsidRPr="00BE73B9">
      <w:pPr>
        <w:pStyle w:val="BodyText"/>
        <w:bidi w:val="0"/>
        <w:jc w:val="center"/>
      </w:pPr>
      <w:r w:rsidRPr="00BE73B9">
        <w:rPr>
          <w:rFonts w:hint="default"/>
        </w:rPr>
        <w:t xml:space="preserve"> č</w:t>
      </w:r>
      <w:r w:rsidRPr="00BE73B9">
        <w:rPr>
          <w:rFonts w:hint="default"/>
        </w:rPr>
        <w:t>. MF/</w:t>
      </w:r>
      <w:r w:rsidRPr="00BE73B9" w:rsidR="00F6682A">
        <w:t>17922</w:t>
      </w:r>
      <w:r w:rsidRPr="00BE73B9" w:rsidR="000934BB">
        <w:t>/2013</w:t>
      </w:r>
      <w:r w:rsidRPr="00BE73B9">
        <w:t>-74,</w:t>
      </w:r>
    </w:p>
    <w:p w:rsidR="00E05D62" w:rsidRPr="00BE73B9">
      <w:pPr>
        <w:pStyle w:val="BodyText"/>
        <w:bidi w:val="0"/>
        <w:jc w:val="both"/>
        <w:rPr>
          <w:rFonts w:hint="default"/>
        </w:rPr>
      </w:pPr>
      <w:r w:rsidRPr="00BE73B9">
        <w:rPr>
          <w:rFonts w:hint="default"/>
        </w:rPr>
        <w:t>ktorý</w:t>
      </w:r>
      <w:r w:rsidRPr="00BE73B9">
        <w:rPr>
          <w:rFonts w:hint="default"/>
        </w:rPr>
        <w:t>m sa</w:t>
      </w:r>
      <w:r w:rsidRPr="00BE73B9" w:rsidR="00A56F1F">
        <w:t xml:space="preserve"> </w:t>
      </w:r>
      <w:r w:rsidRPr="00BE73B9">
        <w:rPr>
          <w:rFonts w:hint="default"/>
        </w:rPr>
        <w:t>dopĺň</w:t>
      </w:r>
      <w:r w:rsidRPr="00BE73B9">
        <w:rPr>
          <w:rFonts w:hint="default"/>
        </w:rPr>
        <w:t>a opatrenie Ministerstva financií</w:t>
      </w:r>
      <w:r w:rsidRPr="00BE73B9">
        <w:rPr>
          <w:rFonts w:hint="default"/>
        </w:rPr>
        <w:t xml:space="preserve"> Slovenskej republiky zo 16. decembra 2002 č</w:t>
      </w:r>
      <w:r w:rsidRPr="00BE73B9">
        <w:rPr>
          <w:rFonts w:hint="default"/>
        </w:rPr>
        <w:t>. 23054/2002-92, ktorý</w:t>
      </w:r>
      <w:r w:rsidRPr="00BE73B9">
        <w:rPr>
          <w:rFonts w:hint="default"/>
        </w:rPr>
        <w:t>m sa ustanovujú</w:t>
      </w:r>
      <w:r w:rsidRPr="00BE73B9">
        <w:rPr>
          <w:rFonts w:hint="default"/>
        </w:rPr>
        <w:t xml:space="preserve"> podrobnosti o postupoch </w:t>
      </w:r>
      <w:r w:rsidRPr="00BE73B9">
        <w:rPr>
          <w:rFonts w:hint="default"/>
        </w:rPr>
        <w:t>úč</w:t>
      </w:r>
      <w:r w:rsidRPr="00BE73B9">
        <w:rPr>
          <w:rFonts w:hint="default"/>
        </w:rPr>
        <w:t>tovania a </w:t>
      </w:r>
      <w:r w:rsidRPr="00BE73B9">
        <w:rPr>
          <w:rFonts w:hint="default"/>
        </w:rPr>
        <w:t>rá</w:t>
      </w:r>
      <w:r w:rsidRPr="00BE73B9">
        <w:rPr>
          <w:rFonts w:hint="default"/>
        </w:rPr>
        <w:t>mcovej úč</w:t>
      </w:r>
      <w:r w:rsidRPr="00BE73B9">
        <w:rPr>
          <w:rFonts w:hint="default"/>
        </w:rPr>
        <w:t>tovej osnove pre podnikateľ</w:t>
      </w:r>
      <w:r w:rsidRPr="00BE73B9">
        <w:rPr>
          <w:rFonts w:hint="default"/>
        </w:rPr>
        <w:t>ov úč</w:t>
      </w:r>
      <w:r w:rsidRPr="00BE73B9">
        <w:rPr>
          <w:rFonts w:hint="default"/>
        </w:rPr>
        <w:t>tujú</w:t>
      </w:r>
      <w:r w:rsidRPr="00BE73B9">
        <w:rPr>
          <w:rFonts w:hint="default"/>
        </w:rPr>
        <w:t>cich v </w:t>
      </w:r>
      <w:r w:rsidRPr="00BE73B9">
        <w:rPr>
          <w:rFonts w:hint="default"/>
        </w:rPr>
        <w:t>sú</w:t>
      </w:r>
      <w:r w:rsidRPr="00BE73B9">
        <w:rPr>
          <w:rFonts w:hint="default"/>
        </w:rPr>
        <w:t>stave podvojné</w:t>
      </w:r>
      <w:r w:rsidRPr="00BE73B9">
        <w:rPr>
          <w:rFonts w:hint="default"/>
        </w:rPr>
        <w:t>ho úč</w:t>
      </w:r>
      <w:r w:rsidRPr="00BE73B9">
        <w:rPr>
          <w:rFonts w:hint="default"/>
        </w:rPr>
        <w:t>tovní</w:t>
      </w:r>
      <w:r w:rsidRPr="00BE73B9">
        <w:rPr>
          <w:rFonts w:hint="default"/>
        </w:rPr>
        <w:t>ctva v </w:t>
      </w:r>
      <w:r w:rsidRPr="00BE73B9">
        <w:rPr>
          <w:rFonts w:hint="default"/>
        </w:rPr>
        <w:t>znení</w:t>
      </w:r>
      <w:r w:rsidRPr="00BE73B9">
        <w:rPr>
          <w:rFonts w:hint="default"/>
        </w:rPr>
        <w:t xml:space="preserve"> neskorší</w:t>
      </w:r>
      <w:r w:rsidRPr="00BE73B9">
        <w:rPr>
          <w:rFonts w:hint="default"/>
        </w:rPr>
        <w:t>ch predpisov</w:t>
      </w:r>
    </w:p>
    <w:p w:rsidR="00E05D62" w:rsidRPr="00BE73B9">
      <w:pPr>
        <w:bidi w:val="0"/>
        <w:jc w:val="center"/>
      </w:pPr>
    </w:p>
    <w:p w:rsidR="00E05D62" w:rsidRPr="00BE73B9">
      <w:pPr>
        <w:bidi w:val="0"/>
        <w:jc w:val="both"/>
      </w:pPr>
      <w:r w:rsidRPr="00BE73B9">
        <w:rPr>
          <w:rFonts w:hint="default"/>
        </w:rPr>
        <w:t>Ministerstvo financií</w:t>
      </w:r>
      <w:r w:rsidRPr="00BE73B9">
        <w:rPr>
          <w:rFonts w:hint="default"/>
        </w:rPr>
        <w:t xml:space="preserve"> Slovenskej republiky podľ</w:t>
      </w:r>
      <w:r w:rsidRPr="00BE73B9">
        <w:rPr>
          <w:rFonts w:hint="default"/>
        </w:rPr>
        <w:t>a §</w:t>
      </w:r>
      <w:r w:rsidRPr="00BE73B9">
        <w:rPr>
          <w:rFonts w:hint="default"/>
        </w:rPr>
        <w:t xml:space="preserve"> 4 ods. 2 zá</w:t>
      </w:r>
      <w:r w:rsidRPr="00BE73B9">
        <w:rPr>
          <w:rFonts w:hint="default"/>
        </w:rPr>
        <w:t>kona č</w:t>
      </w:r>
      <w:r w:rsidRPr="00BE73B9">
        <w:rPr>
          <w:rFonts w:hint="default"/>
        </w:rPr>
        <w:t>. 431/2002 Z. z. o </w:t>
      </w:r>
      <w:r w:rsidRPr="00BE73B9">
        <w:rPr>
          <w:rFonts w:hint="default"/>
        </w:rPr>
        <w:t>úč</w:t>
      </w:r>
      <w:r w:rsidRPr="00BE73B9">
        <w:rPr>
          <w:rFonts w:hint="default"/>
        </w:rPr>
        <w:t>tovní</w:t>
      </w:r>
      <w:r w:rsidRPr="00BE73B9">
        <w:rPr>
          <w:rFonts w:hint="default"/>
        </w:rPr>
        <w:t>ctve v </w:t>
      </w:r>
      <w:r w:rsidRPr="00BE73B9">
        <w:rPr>
          <w:rFonts w:hint="default"/>
        </w:rPr>
        <w:t>znení</w:t>
      </w:r>
      <w:r w:rsidRPr="00BE73B9">
        <w:rPr>
          <w:rFonts w:hint="default"/>
        </w:rPr>
        <w:t xml:space="preserve"> neskorší</w:t>
      </w:r>
      <w:r w:rsidRPr="00BE73B9">
        <w:rPr>
          <w:rFonts w:hint="default"/>
        </w:rPr>
        <w:t xml:space="preserve">ch predpisov </w:t>
      </w:r>
      <w:r w:rsidRPr="00BE73B9" w:rsidR="00F6682A">
        <w:t xml:space="preserve"> </w:t>
      </w:r>
      <w:r w:rsidRPr="00BE73B9" w:rsidR="00F6682A">
        <w:rPr>
          <w:rFonts w:hint="default"/>
        </w:rPr>
        <w:t>(ď</w:t>
      </w:r>
      <w:r w:rsidRPr="00BE73B9" w:rsidR="00F6682A">
        <w:rPr>
          <w:rFonts w:hint="default"/>
        </w:rPr>
        <w:t>alej len „</w:t>
      </w:r>
      <w:r w:rsidRPr="00BE73B9" w:rsidR="00F6682A">
        <w:rPr>
          <w:rFonts w:hint="default"/>
        </w:rPr>
        <w:t>zá</w:t>
      </w:r>
      <w:r w:rsidRPr="00BE73B9" w:rsidR="00F6682A">
        <w:rPr>
          <w:rFonts w:hint="default"/>
        </w:rPr>
        <w:t>kon“</w:t>
      </w:r>
      <w:r w:rsidRPr="00BE73B9" w:rsidR="00F6682A">
        <w:rPr>
          <w:rFonts w:hint="default"/>
        </w:rPr>
        <w:t>)</w:t>
      </w:r>
      <w:r w:rsidRPr="00BE73B9">
        <w:t xml:space="preserve"> ustanovuje:</w:t>
      </w:r>
    </w:p>
    <w:p w:rsidR="00E05D62" w:rsidRPr="00BE73B9">
      <w:pPr>
        <w:bidi w:val="0"/>
        <w:jc w:val="both"/>
      </w:pPr>
    </w:p>
    <w:p w:rsidR="00E05D62" w:rsidRPr="00BE73B9">
      <w:pPr>
        <w:bidi w:val="0"/>
        <w:jc w:val="center"/>
        <w:rPr>
          <w:rFonts w:hint="default"/>
          <w:b/>
          <w:bCs/>
        </w:rPr>
      </w:pPr>
      <w:r w:rsidRPr="00BE73B9">
        <w:rPr>
          <w:rFonts w:hint="default"/>
          <w:b/>
          <w:bCs/>
        </w:rPr>
        <w:t>Č</w:t>
      </w:r>
      <w:r w:rsidRPr="00BE73B9">
        <w:rPr>
          <w:rFonts w:hint="default"/>
          <w:b/>
          <w:bCs/>
        </w:rPr>
        <w:t>l. I</w:t>
      </w:r>
    </w:p>
    <w:p w:rsidR="00E05D62" w:rsidRPr="00BE73B9">
      <w:pPr>
        <w:bidi w:val="0"/>
        <w:jc w:val="both"/>
      </w:pPr>
    </w:p>
    <w:p w:rsidR="00E05D62" w:rsidRPr="00BE73B9">
      <w:pPr>
        <w:bidi w:val="0"/>
        <w:jc w:val="both"/>
        <w:rPr>
          <w:rFonts w:hint="default"/>
        </w:rPr>
      </w:pPr>
      <w:r w:rsidRPr="00BE73B9">
        <w:tab/>
      </w:r>
      <w:r w:rsidRPr="00BE73B9">
        <w:rPr>
          <w:rFonts w:hint="default"/>
        </w:rPr>
        <w:t>Opatrenie Ministerstva financií</w:t>
      </w:r>
      <w:r w:rsidRPr="00BE73B9">
        <w:rPr>
          <w:rFonts w:hint="default"/>
        </w:rPr>
        <w:t xml:space="preserve"> Slovenskej republiky zo 16. decembra 2002 č</w:t>
      </w:r>
      <w:r w:rsidRPr="00BE73B9">
        <w:rPr>
          <w:rFonts w:hint="default"/>
        </w:rPr>
        <w:t>. 23054/2002-92, ktorý</w:t>
      </w:r>
      <w:r w:rsidRPr="00BE73B9">
        <w:rPr>
          <w:rFonts w:hint="default"/>
        </w:rPr>
        <w:t>m sa ustanovujú</w:t>
      </w:r>
      <w:r w:rsidRPr="00BE73B9">
        <w:rPr>
          <w:rFonts w:hint="default"/>
        </w:rPr>
        <w:t xml:space="preserve"> podrobnosti o </w:t>
      </w:r>
      <w:r w:rsidRPr="00BE73B9">
        <w:rPr>
          <w:rFonts w:hint="default"/>
        </w:rPr>
        <w:t>postupoch úč</w:t>
      </w:r>
      <w:r w:rsidRPr="00BE73B9">
        <w:rPr>
          <w:rFonts w:hint="default"/>
        </w:rPr>
        <w:t>tovania a </w:t>
      </w:r>
      <w:r w:rsidRPr="00BE73B9">
        <w:rPr>
          <w:rFonts w:hint="default"/>
        </w:rPr>
        <w:t>rá</w:t>
      </w:r>
      <w:r w:rsidRPr="00BE73B9">
        <w:rPr>
          <w:rFonts w:hint="default"/>
        </w:rPr>
        <w:t>mcovej úč</w:t>
      </w:r>
      <w:r w:rsidRPr="00BE73B9">
        <w:rPr>
          <w:rFonts w:hint="default"/>
        </w:rPr>
        <w:t>tovej osnove pre podnikateľ</w:t>
      </w:r>
      <w:r w:rsidRPr="00BE73B9">
        <w:rPr>
          <w:rFonts w:hint="default"/>
        </w:rPr>
        <w:t>ov úč</w:t>
      </w:r>
      <w:r w:rsidRPr="00BE73B9">
        <w:rPr>
          <w:rFonts w:hint="default"/>
        </w:rPr>
        <w:t>tujú</w:t>
      </w:r>
      <w:r w:rsidRPr="00BE73B9">
        <w:rPr>
          <w:rFonts w:hint="default"/>
        </w:rPr>
        <w:t>cich v </w:t>
      </w:r>
      <w:r w:rsidRPr="00BE73B9">
        <w:rPr>
          <w:rFonts w:hint="default"/>
        </w:rPr>
        <w:t>sú</w:t>
      </w:r>
      <w:r w:rsidRPr="00BE73B9">
        <w:rPr>
          <w:rFonts w:hint="default"/>
        </w:rPr>
        <w:t>stave podv</w:t>
      </w:r>
      <w:r w:rsidRPr="00BE73B9">
        <w:rPr>
          <w:rFonts w:hint="default"/>
        </w:rPr>
        <w:t>ojné</w:t>
      </w:r>
      <w:r w:rsidRPr="00BE73B9">
        <w:rPr>
          <w:rFonts w:hint="default"/>
        </w:rPr>
        <w:t>ho úč</w:t>
      </w:r>
      <w:r w:rsidRPr="00BE73B9">
        <w:rPr>
          <w:rFonts w:hint="default"/>
        </w:rPr>
        <w:t>tovní</w:t>
      </w:r>
      <w:r w:rsidRPr="00BE73B9">
        <w:rPr>
          <w:rFonts w:hint="default"/>
        </w:rPr>
        <w:t>ctva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740/2002 Z. z.) v </w:t>
      </w:r>
      <w:r w:rsidRPr="00BE73B9">
        <w:rPr>
          <w:rFonts w:hint="default"/>
        </w:rPr>
        <w:t>znení</w:t>
      </w:r>
      <w:r w:rsidRPr="00BE73B9">
        <w:rPr>
          <w:rFonts w:hint="default"/>
        </w:rPr>
        <w:t xml:space="preserve"> opatrenia z </w:t>
      </w:r>
      <w:r w:rsidRPr="00BE73B9">
        <w:rPr>
          <w:rFonts w:hint="default"/>
        </w:rPr>
        <w:t>11. decembra 2003 č</w:t>
      </w:r>
      <w:r w:rsidRPr="00BE73B9">
        <w:rPr>
          <w:rFonts w:hint="default"/>
        </w:rPr>
        <w:t>. 25167/2003-92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560/2003 Z. z.), opatrenia z </w:t>
      </w:r>
      <w:r w:rsidRPr="00BE73B9">
        <w:rPr>
          <w:rFonts w:hint="default"/>
        </w:rPr>
        <w:t xml:space="preserve"> 24. novembra 2004 č</w:t>
      </w:r>
      <w:r w:rsidRPr="00BE73B9">
        <w:rPr>
          <w:rFonts w:hint="default"/>
        </w:rPr>
        <w:t>. MF/10069/2004-74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 xml:space="preserve">. 689/2004 </w:t>
      </w:r>
      <w:r w:rsidRPr="00BE73B9" w:rsidR="00E810C7">
        <w:t xml:space="preserve">  </w:t>
      </w:r>
      <w:r w:rsidRPr="00BE73B9">
        <w:t>Z. z.),  opatrenia zo 14. decembra  </w:t>
      </w:r>
      <w:r w:rsidRPr="00BE73B9">
        <w:rPr>
          <w:rFonts w:hint="default"/>
        </w:rPr>
        <w:t xml:space="preserve"> 2005 č</w:t>
      </w:r>
      <w:r w:rsidRPr="00BE73B9">
        <w:rPr>
          <w:rFonts w:hint="default"/>
        </w:rPr>
        <w:t xml:space="preserve">. </w:t>
      </w:r>
      <w:r w:rsidRPr="00BE73B9">
        <w:rPr>
          <w:rFonts w:hint="default"/>
        </w:rPr>
        <w:t>MF/26670/2005-74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616/2005 Z. z.), opatrenia z </w:t>
      </w:r>
      <w:r w:rsidRPr="00BE73B9">
        <w:rPr>
          <w:rFonts w:hint="default"/>
        </w:rPr>
        <w:t>12. decembra 2006 č</w:t>
      </w:r>
      <w:r w:rsidRPr="00BE73B9">
        <w:rPr>
          <w:rFonts w:hint="default"/>
        </w:rPr>
        <w:t>. MF/25814/2006-74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671/2006 Z. z.),  opatrenia z </w:t>
      </w:r>
      <w:r w:rsidRPr="00BE73B9">
        <w:rPr>
          <w:rFonts w:hint="default"/>
        </w:rPr>
        <w:t xml:space="preserve"> 5. decembra 2007 č</w:t>
      </w:r>
      <w:r w:rsidRPr="00BE73B9">
        <w:rPr>
          <w:rFonts w:hint="default"/>
        </w:rPr>
        <w:t>. MF/16317/2007-74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602/2007 Z. z.), opatrenia z </w:t>
      </w:r>
      <w:r w:rsidRPr="00BE73B9">
        <w:rPr>
          <w:rFonts w:hint="default"/>
        </w:rPr>
        <w:t xml:space="preserve"> 27. novembra 2008 č</w:t>
      </w:r>
      <w:r w:rsidRPr="00BE73B9">
        <w:rPr>
          <w:rFonts w:hint="default"/>
        </w:rPr>
        <w:t>. MF/23535/20</w:t>
      </w:r>
      <w:r w:rsidRPr="00BE73B9">
        <w:rPr>
          <w:rFonts w:hint="default"/>
        </w:rPr>
        <w:t>08-74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509/2008 Z. z.), opatrenia z </w:t>
      </w:r>
      <w:r w:rsidRPr="00BE73B9">
        <w:rPr>
          <w:rFonts w:hint="default"/>
        </w:rPr>
        <w:t>12. marca 2009 č</w:t>
      </w:r>
      <w:r w:rsidRPr="00BE73B9">
        <w:rPr>
          <w:rFonts w:hint="default"/>
        </w:rPr>
        <w:t>. MF/10531/2009-74 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.104/2009 Z. z.)</w:t>
      </w:r>
      <w:r w:rsidR="00BE73B9">
        <w:t>,</w:t>
      </w:r>
      <w:r w:rsidRPr="00BE73B9" w:rsidR="008112F5">
        <w:t>opatrenia z </w:t>
      </w:r>
      <w:r w:rsidR="00BE73B9">
        <w:t xml:space="preserve"> 3. decembra 2009 </w:t>
      </w:r>
      <w:r w:rsidRPr="00BE73B9">
        <w:rPr>
          <w:rFonts w:hint="default"/>
        </w:rPr>
        <w:t>č</w:t>
      </w:r>
      <w:r w:rsidRPr="00BE73B9">
        <w:rPr>
          <w:rFonts w:hint="default"/>
        </w:rPr>
        <w:t>. MF/26312/2009-74 (ozná</w:t>
      </w:r>
      <w:r w:rsidRPr="00BE73B9">
        <w:rPr>
          <w:rFonts w:hint="default"/>
        </w:rPr>
        <w:t>menie č</w:t>
      </w:r>
      <w:r w:rsidRPr="00BE73B9">
        <w:rPr>
          <w:rFonts w:hint="default"/>
        </w:rPr>
        <w:t>. 518/2009 Z. z.)</w:t>
      </w:r>
      <w:r w:rsidRPr="00BE73B9" w:rsidR="000934BB">
        <w:t>,</w:t>
      </w:r>
      <w:r w:rsidRPr="00BE73B9" w:rsidR="0024220F">
        <w:t> </w:t>
      </w:r>
      <w:r w:rsidRPr="00BE73B9" w:rsidR="0024220F">
        <w:t xml:space="preserve">opatrenia </w:t>
      </w:r>
      <w:r w:rsidR="00BE73B9">
        <w:rPr>
          <w:rFonts w:hint="default"/>
        </w:rPr>
        <w:t xml:space="preserve"> zo 16. jú</w:t>
      </w:r>
      <w:r w:rsidR="00BE73B9">
        <w:rPr>
          <w:rFonts w:hint="default"/>
        </w:rPr>
        <w:t xml:space="preserve">na 2010 </w:t>
      </w:r>
      <w:r w:rsidRPr="00BE73B9" w:rsidR="0024220F">
        <w:rPr>
          <w:rFonts w:hint="default"/>
        </w:rPr>
        <w:t>č</w:t>
      </w:r>
      <w:r w:rsidRPr="00BE73B9" w:rsidR="0024220F">
        <w:rPr>
          <w:rFonts w:hint="default"/>
        </w:rPr>
        <w:t>. MF/156</w:t>
      </w:r>
      <w:r w:rsidR="00BE73B9">
        <w:rPr>
          <w:rFonts w:hint="default"/>
        </w:rPr>
        <w:t>53/2010-74 (ozná</w:t>
      </w:r>
      <w:r w:rsidR="00BE73B9">
        <w:rPr>
          <w:rFonts w:hint="default"/>
        </w:rPr>
        <w:t>menie č.</w:t>
      </w:r>
      <w:r w:rsidR="00BE73B9">
        <w:rPr>
          <w:rFonts w:hint="default"/>
        </w:rPr>
        <w:t xml:space="preserve"> 295/2010)</w:t>
      </w:r>
      <w:r w:rsidRPr="00BE73B9" w:rsidR="000934BB">
        <w:t>, opatrenie z </w:t>
      </w:r>
      <w:r w:rsidRPr="00BE73B9" w:rsidR="000934BB">
        <w:rPr>
          <w:rFonts w:hint="default"/>
        </w:rPr>
        <w:t>13. decembra 2010 č</w:t>
      </w:r>
      <w:r w:rsidRPr="00BE73B9" w:rsidR="000934BB">
        <w:rPr>
          <w:rFonts w:hint="default"/>
        </w:rPr>
        <w:t>. MF/25822/2010</w:t>
      </w:r>
      <w:r w:rsidRPr="00BE73B9" w:rsidR="009530F6">
        <w:t>-74</w:t>
      </w:r>
      <w:r w:rsidR="00BE73B9">
        <w:rPr>
          <w:rFonts w:hint="default"/>
        </w:rPr>
        <w:t xml:space="preserve"> (ozná</w:t>
      </w:r>
      <w:r w:rsidR="00BE73B9">
        <w:rPr>
          <w:rFonts w:hint="default"/>
        </w:rPr>
        <w:t>menie č</w:t>
      </w:r>
      <w:r w:rsidR="00BE73B9">
        <w:rPr>
          <w:rFonts w:hint="default"/>
        </w:rPr>
        <w:t xml:space="preserve">. 534/2010 Z. z.) </w:t>
      </w:r>
      <w:r w:rsidRPr="00BE73B9" w:rsidR="009530F6">
        <w:t xml:space="preserve"> a </w:t>
      </w:r>
      <w:r w:rsidRPr="00BE73B9" w:rsidR="000934BB">
        <w:t>opatreni</w:t>
      </w:r>
      <w:r w:rsidR="00BE73B9">
        <w:t>a</w:t>
      </w:r>
      <w:r w:rsidRPr="00BE73B9" w:rsidR="000934BB">
        <w:rPr>
          <w:rFonts w:hint="default"/>
        </w:rPr>
        <w:t xml:space="preserve"> zo 14. decembra 2011 č</w:t>
      </w:r>
      <w:r w:rsidRPr="00BE73B9" w:rsidR="000934BB">
        <w:rPr>
          <w:rFonts w:hint="default"/>
        </w:rPr>
        <w:t>. MF/27262/2011-74</w:t>
      </w:r>
      <w:r w:rsidR="00A27410">
        <w:rPr>
          <w:rFonts w:hint="default"/>
        </w:rPr>
        <w:t xml:space="preserve"> (ozná</w:t>
      </w:r>
      <w:r w:rsidR="00A27410">
        <w:rPr>
          <w:rFonts w:hint="default"/>
        </w:rPr>
        <w:t>menie č</w:t>
      </w:r>
      <w:r w:rsidR="00A27410">
        <w:rPr>
          <w:rFonts w:hint="default"/>
        </w:rPr>
        <w:t>. 562/2011 Z. z)</w:t>
      </w:r>
      <w:r w:rsidRPr="00BE73B9" w:rsidR="009530F6">
        <w:t xml:space="preserve"> </w:t>
      </w:r>
      <w:r w:rsidRPr="00BE73B9">
        <w:t>sa</w:t>
      </w:r>
      <w:r w:rsidRPr="00BE73B9" w:rsidR="000934BB">
        <w:t xml:space="preserve"> </w:t>
      </w:r>
      <w:r w:rsidRPr="00BE73B9">
        <w:rPr>
          <w:rFonts w:hint="default"/>
        </w:rPr>
        <w:t>dopĺň</w:t>
      </w:r>
      <w:r w:rsidRPr="00BE73B9">
        <w:rPr>
          <w:rFonts w:hint="default"/>
        </w:rPr>
        <w:t>a takto:</w:t>
      </w:r>
    </w:p>
    <w:p w:rsidR="00E05D62" w:rsidRPr="00BE73B9">
      <w:pPr>
        <w:bidi w:val="0"/>
        <w:ind w:left="360"/>
        <w:rPr>
          <w:b/>
          <w:bCs/>
          <w:u w:val="single"/>
        </w:rPr>
      </w:pPr>
    </w:p>
    <w:p w:rsidR="00E05D62" w:rsidRPr="00BE73B9" w:rsidP="000934BB">
      <w:pPr>
        <w:numPr>
          <w:numId w:val="1"/>
        </w:numPr>
        <w:bidi w:val="0"/>
      </w:pPr>
      <w:r w:rsidRPr="00BE73B9" w:rsidR="000934BB">
        <w:rPr>
          <w:rFonts w:hint="default"/>
        </w:rPr>
        <w:t xml:space="preserve"> §</w:t>
      </w:r>
      <w:r w:rsidRPr="00BE73B9" w:rsidR="000934BB">
        <w:rPr>
          <w:rFonts w:hint="default"/>
        </w:rPr>
        <w:t xml:space="preserve"> 14  sa  dopĺň</w:t>
      </w:r>
      <w:r w:rsidRPr="00BE73B9" w:rsidR="000934BB">
        <w:rPr>
          <w:rFonts w:hint="default"/>
        </w:rPr>
        <w:t>a odsekom 18, ktorý</w:t>
      </w:r>
      <w:r w:rsidRPr="00BE73B9" w:rsidR="000934BB">
        <w:rPr>
          <w:rFonts w:hint="default"/>
        </w:rPr>
        <w:t xml:space="preserve"> znie:</w:t>
      </w:r>
    </w:p>
    <w:p w:rsidR="000934BB" w:rsidRPr="00BE73B9" w:rsidP="000934BB">
      <w:pPr>
        <w:bidi w:val="0"/>
        <w:ind w:left="502"/>
      </w:pPr>
      <w:r w:rsidRPr="00BE73B9">
        <w:rPr>
          <w:rFonts w:hint="default"/>
        </w:rPr>
        <w:t>„</w:t>
      </w:r>
      <w:r w:rsidRPr="00BE73B9">
        <w:rPr>
          <w:rFonts w:hint="default"/>
        </w:rPr>
        <w:t xml:space="preserve">(18) </w:t>
      </w:r>
      <w:r w:rsidRPr="00BE73B9" w:rsidR="002A046A">
        <w:t>Mikro</w:t>
      </w:r>
      <w:r w:rsidRPr="00BE73B9" w:rsidR="002A046A">
        <w:rPr>
          <w:rFonts w:hint="default"/>
        </w:rPr>
        <w:t xml:space="preserve"> úč</w:t>
      </w:r>
      <w:r w:rsidRPr="00BE73B9" w:rsidR="002A046A">
        <w:rPr>
          <w:rFonts w:hint="default"/>
        </w:rPr>
        <w:t>tovná</w:t>
      </w:r>
      <w:r w:rsidRPr="00BE73B9" w:rsidR="002A046A">
        <w:rPr>
          <w:rFonts w:hint="default"/>
        </w:rPr>
        <w:t xml:space="preserve"> jednotka podľ</w:t>
      </w:r>
      <w:r w:rsidRPr="00BE73B9" w:rsidR="002A046A">
        <w:rPr>
          <w:rFonts w:hint="default"/>
        </w:rPr>
        <w:t>a §</w:t>
      </w:r>
      <w:r w:rsidRPr="00BE73B9" w:rsidR="002A046A">
        <w:rPr>
          <w:rFonts w:hint="default"/>
        </w:rPr>
        <w:t xml:space="preserve"> 25 ods. 7 a §</w:t>
      </w:r>
      <w:r w:rsidRPr="00BE73B9" w:rsidR="002A046A">
        <w:rPr>
          <w:rFonts w:hint="default"/>
        </w:rPr>
        <w:t xml:space="preserve"> 27 ods. 11 </w:t>
      </w:r>
      <w:r w:rsidRPr="00BE73B9" w:rsidR="00023D02">
        <w:rPr>
          <w:rFonts w:hint="default"/>
        </w:rPr>
        <w:t>zá</w:t>
      </w:r>
      <w:r w:rsidRPr="00BE73B9" w:rsidR="00023D02">
        <w:rPr>
          <w:rFonts w:hint="default"/>
        </w:rPr>
        <w:t xml:space="preserve">kona </w:t>
      </w:r>
      <w:r w:rsidRPr="00BE73B9" w:rsidR="002A046A">
        <w:rPr>
          <w:rFonts w:hint="default"/>
        </w:rPr>
        <w:t>neoceň</w:t>
      </w:r>
      <w:r w:rsidRPr="00BE73B9" w:rsidR="002A046A">
        <w:rPr>
          <w:rFonts w:hint="default"/>
        </w:rPr>
        <w:t>uje majetok a </w:t>
      </w:r>
      <w:r w:rsidRPr="00BE73B9" w:rsidR="002A046A">
        <w:rPr>
          <w:rFonts w:hint="default"/>
        </w:rPr>
        <w:t>zá</w:t>
      </w:r>
      <w:r w:rsidRPr="00BE73B9" w:rsidR="002A046A">
        <w:rPr>
          <w:rFonts w:hint="default"/>
        </w:rPr>
        <w:t>vä</w:t>
      </w:r>
      <w:r w:rsidRPr="00BE73B9" w:rsidR="002A046A">
        <w:rPr>
          <w:rFonts w:hint="default"/>
        </w:rPr>
        <w:t>zky reá</w:t>
      </w:r>
      <w:r w:rsidRPr="00BE73B9" w:rsidR="002A046A">
        <w:rPr>
          <w:rFonts w:hint="default"/>
        </w:rPr>
        <w:t xml:space="preserve">lnou hodnotou </w:t>
      </w:r>
      <w:r w:rsidRPr="00BE73B9" w:rsidR="00730EC1">
        <w:t xml:space="preserve"> </w:t>
      </w:r>
      <w:r w:rsidRPr="00BE73B9" w:rsidR="00023D02">
        <w:t xml:space="preserve">a </w:t>
      </w:r>
      <w:r w:rsidRPr="00BE73B9" w:rsidR="002A046A">
        <w:t xml:space="preserve"> v </w:t>
      </w:r>
      <w:r w:rsidRPr="00BE73B9" w:rsidR="002A046A">
        <w:rPr>
          <w:rFonts w:hint="default"/>
        </w:rPr>
        <w:t>úč</w:t>
      </w:r>
      <w:r w:rsidRPr="00BE73B9" w:rsidR="002A046A">
        <w:rPr>
          <w:rFonts w:hint="default"/>
        </w:rPr>
        <w:t>tovní</w:t>
      </w:r>
      <w:r w:rsidRPr="00BE73B9" w:rsidR="002A046A">
        <w:rPr>
          <w:rFonts w:hint="default"/>
        </w:rPr>
        <w:t>ctve mikro úč</w:t>
      </w:r>
      <w:r w:rsidRPr="00BE73B9" w:rsidR="002A046A">
        <w:rPr>
          <w:rFonts w:hint="default"/>
        </w:rPr>
        <w:t xml:space="preserve">tovnej jednotky </w:t>
      </w:r>
      <w:r w:rsidRPr="00BE73B9" w:rsidR="00730EC1">
        <w:t xml:space="preserve">sa </w:t>
      </w:r>
      <w:r w:rsidRPr="00BE73B9" w:rsidR="002A046A">
        <w:rPr>
          <w:rFonts w:hint="default"/>
        </w:rPr>
        <w:t>neúč</w:t>
      </w:r>
      <w:r w:rsidRPr="00BE73B9" w:rsidR="002A046A">
        <w:rPr>
          <w:rFonts w:hint="default"/>
        </w:rPr>
        <w:t>tuje v </w:t>
      </w:r>
      <w:r w:rsidRPr="00BE73B9" w:rsidR="002A046A">
        <w:rPr>
          <w:rFonts w:hint="default"/>
        </w:rPr>
        <w:t>ocenení</w:t>
      </w:r>
      <w:r w:rsidRPr="00BE73B9" w:rsidR="002A046A">
        <w:rPr>
          <w:rFonts w:hint="default"/>
        </w:rPr>
        <w:t xml:space="preserve"> reá</w:t>
      </w:r>
      <w:r w:rsidRPr="00BE73B9" w:rsidR="002A046A">
        <w:rPr>
          <w:rFonts w:hint="default"/>
        </w:rPr>
        <w:t>lno</w:t>
      </w:r>
      <w:r w:rsidRPr="00BE73B9" w:rsidR="00730EC1">
        <w:rPr>
          <w:rFonts w:hint="default"/>
        </w:rPr>
        <w:t>u hodnotou podľ</w:t>
      </w:r>
      <w:r w:rsidRPr="00BE73B9" w:rsidR="00730EC1">
        <w:rPr>
          <w:rFonts w:hint="default"/>
        </w:rPr>
        <w:t>a tohto para</w:t>
      </w:r>
      <w:r w:rsidRPr="00BE73B9" w:rsidR="002A046A">
        <w:t>grafu.</w:t>
      </w:r>
      <w:r w:rsidRPr="00BE73B9" w:rsidR="00023D02">
        <w:rPr>
          <w:rFonts w:hint="default"/>
        </w:rPr>
        <w:t>“.</w:t>
      </w:r>
      <w:r w:rsidRPr="00BE73B9" w:rsidR="00730EC1">
        <w:t xml:space="preserve"> </w:t>
      </w:r>
    </w:p>
    <w:p w:rsidR="00E05D62" w:rsidRPr="00BE73B9">
      <w:pPr>
        <w:bidi w:val="0"/>
      </w:pPr>
    </w:p>
    <w:p w:rsidR="000934BB" w:rsidRPr="00BE73B9" w:rsidP="00BF53EC">
      <w:pPr>
        <w:numPr>
          <w:numId w:val="1"/>
        </w:numPr>
        <w:bidi w:val="0"/>
        <w:jc w:val="both"/>
        <w:rPr>
          <w:rFonts w:hint="default"/>
        </w:rPr>
      </w:pPr>
      <w:r w:rsidRPr="00BE73B9">
        <w:rPr>
          <w:rFonts w:hint="default"/>
        </w:rPr>
        <w:t xml:space="preserve"> §</w:t>
      </w:r>
      <w:r w:rsidRPr="00BE73B9">
        <w:rPr>
          <w:rFonts w:hint="default"/>
        </w:rPr>
        <w:t xml:space="preserve"> 16 sa dopĺň</w:t>
      </w:r>
      <w:r w:rsidRPr="00BE73B9">
        <w:rPr>
          <w:rFonts w:hint="default"/>
        </w:rPr>
        <w:t>a odsekom 31, ktorý</w:t>
      </w:r>
      <w:r w:rsidRPr="00BE73B9">
        <w:rPr>
          <w:rFonts w:hint="default"/>
        </w:rPr>
        <w:t xml:space="preserve"> znie:</w:t>
      </w:r>
    </w:p>
    <w:p w:rsidR="000802CF" w:rsidRPr="00BE73B9" w:rsidP="00BF53EC">
      <w:pPr>
        <w:bidi w:val="0"/>
        <w:ind w:left="502"/>
        <w:jc w:val="both"/>
      </w:pPr>
      <w:r w:rsidRPr="00BE73B9" w:rsidR="000934BB">
        <w:rPr>
          <w:rFonts w:hint="default"/>
        </w:rPr>
        <w:t>„</w:t>
      </w:r>
      <w:r w:rsidRPr="00BE73B9" w:rsidR="000934BB">
        <w:rPr>
          <w:rFonts w:hint="default"/>
        </w:rPr>
        <w:t>(31)</w:t>
      </w:r>
      <w:r w:rsidRPr="00BE73B9" w:rsidR="000934BB">
        <w:rPr>
          <w:rFonts w:hint="default"/>
        </w:rPr>
        <w:t xml:space="preserve"> </w:t>
      </w:r>
      <w:r w:rsidRPr="00BE73B9" w:rsidR="00023D02">
        <w:rPr>
          <w:rFonts w:hint="default"/>
        </w:rPr>
        <w:t>Mikro úč</w:t>
      </w:r>
      <w:r w:rsidRPr="00BE73B9" w:rsidR="00023D02">
        <w:rPr>
          <w:rFonts w:hint="default"/>
        </w:rPr>
        <w:t>tovná</w:t>
      </w:r>
      <w:r w:rsidRPr="00BE73B9" w:rsidR="00023D02">
        <w:rPr>
          <w:rFonts w:hint="default"/>
        </w:rPr>
        <w:t xml:space="preserve"> jednotka podľ</w:t>
      </w:r>
      <w:r w:rsidRPr="00BE73B9" w:rsidR="00023D02">
        <w:rPr>
          <w:rFonts w:hint="default"/>
        </w:rPr>
        <w:t>a §</w:t>
      </w:r>
      <w:r w:rsidRPr="00BE73B9" w:rsidR="00023D02">
        <w:rPr>
          <w:rFonts w:hint="default"/>
        </w:rPr>
        <w:t xml:space="preserve"> 25 ods. 7 a §</w:t>
      </w:r>
      <w:r w:rsidRPr="00BE73B9" w:rsidR="00023D02">
        <w:rPr>
          <w:rFonts w:hint="default"/>
        </w:rPr>
        <w:t xml:space="preserve"> 27 ods. 11 zá</w:t>
      </w:r>
      <w:r w:rsidRPr="00BE73B9" w:rsidR="00023D02">
        <w:rPr>
          <w:rFonts w:hint="default"/>
        </w:rPr>
        <w:t>kona neoceň</w:t>
      </w:r>
      <w:r w:rsidRPr="00BE73B9" w:rsidR="00023D02">
        <w:rPr>
          <w:rFonts w:hint="default"/>
        </w:rPr>
        <w:t>uje derivá</w:t>
      </w:r>
      <w:r w:rsidRPr="00BE73B9" w:rsidR="00023D02">
        <w:rPr>
          <w:rFonts w:hint="default"/>
        </w:rPr>
        <w:t>ty reá</w:t>
      </w:r>
      <w:r w:rsidRPr="00BE73B9" w:rsidR="00023D02">
        <w:rPr>
          <w:rFonts w:hint="default"/>
        </w:rPr>
        <w:t>lnou hodnotou a v </w:t>
      </w:r>
      <w:r w:rsidRPr="00BE73B9" w:rsidR="00023D02">
        <w:rPr>
          <w:rFonts w:hint="default"/>
        </w:rPr>
        <w:t>úč</w:t>
      </w:r>
      <w:r w:rsidRPr="00BE73B9" w:rsidR="00023D02">
        <w:rPr>
          <w:rFonts w:hint="default"/>
        </w:rPr>
        <w:t>tovní</w:t>
      </w:r>
      <w:r w:rsidRPr="00BE73B9" w:rsidR="00023D02">
        <w:rPr>
          <w:rFonts w:hint="default"/>
        </w:rPr>
        <w:t>ctve mikro úč</w:t>
      </w:r>
      <w:r w:rsidRPr="00BE73B9" w:rsidR="00023D02">
        <w:rPr>
          <w:rFonts w:hint="default"/>
        </w:rPr>
        <w:t>tovnej jednotky sa neúč</w:t>
      </w:r>
      <w:r w:rsidRPr="00BE73B9" w:rsidR="00023D02">
        <w:rPr>
          <w:rFonts w:hint="default"/>
        </w:rPr>
        <w:t>tuje v </w:t>
      </w:r>
      <w:r w:rsidRPr="00BE73B9" w:rsidR="00023D02">
        <w:rPr>
          <w:rFonts w:hint="default"/>
        </w:rPr>
        <w:t>ocenení</w:t>
      </w:r>
      <w:r w:rsidRPr="00BE73B9" w:rsidR="00023D02">
        <w:rPr>
          <w:rFonts w:hint="default"/>
        </w:rPr>
        <w:t xml:space="preserve"> reá</w:t>
      </w:r>
      <w:r w:rsidRPr="00BE73B9" w:rsidR="00023D02">
        <w:rPr>
          <w:rFonts w:hint="default"/>
        </w:rPr>
        <w:t>lnou hodnotou podľ</w:t>
      </w:r>
      <w:r w:rsidRPr="00BE73B9" w:rsidR="00023D02">
        <w:rPr>
          <w:rFonts w:hint="default"/>
        </w:rPr>
        <w:t>a tohto paragrafu</w:t>
      </w:r>
      <w:r w:rsidRPr="00BE73B9" w:rsidR="000934BB">
        <w:rPr>
          <w:rFonts w:hint="default"/>
        </w:rPr>
        <w:t>.“.</w:t>
      </w:r>
    </w:p>
    <w:p w:rsidR="00BF53EC" w:rsidRPr="00BE73B9" w:rsidP="00BF53EC">
      <w:pPr>
        <w:bidi w:val="0"/>
        <w:ind w:left="502"/>
        <w:jc w:val="both"/>
      </w:pPr>
    </w:p>
    <w:p w:rsidR="009530F6" w:rsidRPr="00BE73B9" w:rsidP="00BF53EC">
      <w:pPr>
        <w:numPr>
          <w:numId w:val="1"/>
        </w:numPr>
        <w:bidi w:val="0"/>
        <w:jc w:val="both"/>
        <w:rPr>
          <w:rFonts w:hint="default"/>
        </w:rPr>
      </w:pPr>
      <w:r w:rsidRPr="00BE73B9">
        <w:rPr>
          <w:rFonts w:hint="default"/>
        </w:rPr>
        <w:t>§</w:t>
      </w:r>
      <w:r w:rsidRPr="00BE73B9">
        <w:rPr>
          <w:rFonts w:hint="default"/>
        </w:rPr>
        <w:t xml:space="preserve"> 56 sa dopĺň</w:t>
      </w:r>
      <w:r w:rsidRPr="00BE73B9">
        <w:rPr>
          <w:rFonts w:hint="default"/>
        </w:rPr>
        <w:t>a odsekom 14, ktorý</w:t>
      </w:r>
      <w:r w:rsidRPr="00BE73B9">
        <w:rPr>
          <w:rFonts w:hint="default"/>
        </w:rPr>
        <w:t xml:space="preserve"> znie:</w:t>
      </w:r>
    </w:p>
    <w:p w:rsidR="00BF53EC" w:rsidRPr="00BE73B9" w:rsidP="00BF53EC">
      <w:pPr>
        <w:bidi w:val="0"/>
        <w:ind w:left="502"/>
        <w:jc w:val="both"/>
      </w:pPr>
      <w:r w:rsidRPr="00BE73B9" w:rsidR="009530F6">
        <w:rPr>
          <w:rFonts w:hint="default"/>
        </w:rPr>
        <w:t>„</w:t>
      </w:r>
      <w:r w:rsidRPr="00BE73B9" w:rsidR="009530F6">
        <w:rPr>
          <w:rFonts w:hint="default"/>
        </w:rPr>
        <w:t xml:space="preserve">(14) </w:t>
      </w:r>
      <w:r w:rsidRPr="00BE73B9" w:rsidR="00C8131F">
        <w:t>V </w:t>
      </w:r>
      <w:r w:rsidRPr="00BE73B9" w:rsidR="00C8131F">
        <w:rPr>
          <w:rFonts w:hint="default"/>
        </w:rPr>
        <w:t>úč</w:t>
      </w:r>
      <w:r w:rsidRPr="00BE73B9" w:rsidR="00C8131F">
        <w:rPr>
          <w:rFonts w:hint="default"/>
        </w:rPr>
        <w:t>tovní</w:t>
      </w:r>
      <w:r w:rsidRPr="00BE73B9" w:rsidR="00C8131F">
        <w:rPr>
          <w:rFonts w:hint="default"/>
        </w:rPr>
        <w:t>ctve mikro úč</w:t>
      </w:r>
      <w:r w:rsidRPr="00BE73B9" w:rsidR="00C8131F">
        <w:rPr>
          <w:rFonts w:hint="default"/>
        </w:rPr>
        <w:t xml:space="preserve">tovnej jednotky sa </w:t>
      </w:r>
      <w:r w:rsidRPr="00BE73B9" w:rsidR="00F50160">
        <w:rPr>
          <w:rFonts w:hint="default"/>
        </w:rPr>
        <w:t>ná</w:t>
      </w:r>
      <w:r w:rsidRPr="00BE73B9" w:rsidR="00F50160">
        <w:rPr>
          <w:rFonts w:hint="default"/>
        </w:rPr>
        <w:t>klady, ktoré</w:t>
      </w:r>
      <w:r w:rsidRPr="00BE73B9" w:rsidR="00F50160">
        <w:rPr>
          <w:rFonts w:hint="default"/>
        </w:rPr>
        <w:t xml:space="preserve"> z </w:t>
      </w:r>
      <w:r w:rsidRPr="00BE73B9" w:rsidR="00F50160">
        <w:rPr>
          <w:rFonts w:hint="default"/>
        </w:rPr>
        <w:t>vecné</w:t>
      </w:r>
      <w:r w:rsidRPr="00BE73B9" w:rsidR="00F50160">
        <w:rPr>
          <w:rFonts w:hint="default"/>
        </w:rPr>
        <w:t>ho a </w:t>
      </w:r>
      <w:r w:rsidRPr="00BE73B9" w:rsidR="00F50160">
        <w:rPr>
          <w:rFonts w:hint="default"/>
        </w:rPr>
        <w:t>č</w:t>
      </w:r>
      <w:r w:rsidRPr="00BE73B9" w:rsidR="00F50160">
        <w:rPr>
          <w:rFonts w:hint="default"/>
        </w:rPr>
        <w:t>asové</w:t>
      </w:r>
      <w:r w:rsidRPr="00BE73B9" w:rsidR="00F50160">
        <w:rPr>
          <w:rFonts w:hint="default"/>
        </w:rPr>
        <w:t>ho hľ</w:t>
      </w:r>
      <w:r w:rsidRPr="00BE73B9" w:rsidR="00F50160">
        <w:rPr>
          <w:rFonts w:hint="default"/>
        </w:rPr>
        <w:t>adiska patria do ná</w:t>
      </w:r>
      <w:r w:rsidRPr="00BE73B9" w:rsidR="00F50160">
        <w:rPr>
          <w:rFonts w:hint="default"/>
        </w:rPr>
        <w:t>kladov budú</w:t>
      </w:r>
      <w:r w:rsidRPr="00BE73B9" w:rsidR="00F50160">
        <w:rPr>
          <w:rFonts w:hint="default"/>
        </w:rPr>
        <w:t>cich období</w:t>
      </w:r>
      <w:r w:rsidRPr="00BE73B9" w:rsidR="00BD69C5">
        <w:t>,</w:t>
      </w:r>
      <w:r w:rsidRPr="00BE73B9" w:rsidR="00F50160">
        <w:rPr>
          <w:rFonts w:hint="default"/>
        </w:rPr>
        <w:t xml:space="preserve"> úč</w:t>
      </w:r>
      <w:r w:rsidRPr="00BE73B9" w:rsidR="00F50160">
        <w:rPr>
          <w:rFonts w:hint="default"/>
        </w:rPr>
        <w:t>tujú</w:t>
      </w:r>
      <w:r w:rsidRPr="00BE73B9" w:rsidR="00F50160">
        <w:rPr>
          <w:rFonts w:hint="default"/>
        </w:rPr>
        <w:t xml:space="preserve"> v </w:t>
      </w:r>
      <w:r w:rsidRPr="00BE73B9" w:rsidR="00F50160">
        <w:rPr>
          <w:rFonts w:hint="default"/>
        </w:rPr>
        <w:t>ná</w:t>
      </w:r>
      <w:r w:rsidRPr="00BE73B9" w:rsidR="00F50160">
        <w:rPr>
          <w:rFonts w:hint="default"/>
        </w:rPr>
        <w:t>kladoch bež</w:t>
      </w:r>
      <w:r w:rsidRPr="00BE73B9" w:rsidR="00F50160">
        <w:rPr>
          <w:rFonts w:hint="default"/>
        </w:rPr>
        <w:t>né</w:t>
      </w:r>
      <w:r w:rsidRPr="00BE73B9" w:rsidR="00F50160">
        <w:rPr>
          <w:rFonts w:hint="default"/>
        </w:rPr>
        <w:t>ho úč</w:t>
      </w:r>
      <w:r w:rsidRPr="00BE73B9" w:rsidR="00F50160">
        <w:rPr>
          <w:rFonts w:hint="default"/>
        </w:rPr>
        <w:t>tovné</w:t>
      </w:r>
      <w:r w:rsidRPr="00BE73B9" w:rsidR="00F50160">
        <w:rPr>
          <w:rFonts w:hint="default"/>
        </w:rPr>
        <w:t>ho obdobia, ak  jednotlivo vý</w:t>
      </w:r>
      <w:r w:rsidRPr="00BE73B9" w:rsidR="00F50160">
        <w:rPr>
          <w:rFonts w:hint="default"/>
        </w:rPr>
        <w:t>znamne neovplyvň</w:t>
      </w:r>
      <w:r w:rsidRPr="00BE73B9" w:rsidR="00F50160">
        <w:rPr>
          <w:rFonts w:hint="default"/>
        </w:rPr>
        <w:t>ujú</w:t>
      </w:r>
      <w:r w:rsidRPr="00BE73B9" w:rsidR="00F50160">
        <w:rPr>
          <w:rFonts w:hint="default"/>
        </w:rPr>
        <w:t xml:space="preserve"> vý</w:t>
      </w:r>
      <w:r w:rsidRPr="00BE73B9" w:rsidR="00F50160">
        <w:rPr>
          <w:rFonts w:hint="default"/>
        </w:rPr>
        <w:t>sledok hospodá</w:t>
      </w:r>
      <w:r w:rsidRPr="00BE73B9" w:rsidR="00F50160">
        <w:rPr>
          <w:rFonts w:hint="default"/>
        </w:rPr>
        <w:t>renia.</w:t>
      </w:r>
      <w:r w:rsidRPr="00BE73B9" w:rsidR="00696053">
        <w:rPr>
          <w:rFonts w:hint="default"/>
        </w:rPr>
        <w:t>“.</w:t>
      </w:r>
    </w:p>
    <w:p w:rsidR="00696053" w:rsidRPr="00BE73B9" w:rsidP="00BF53EC">
      <w:pPr>
        <w:bidi w:val="0"/>
        <w:ind w:left="502"/>
        <w:jc w:val="both"/>
      </w:pPr>
    </w:p>
    <w:p w:rsidR="00696053" w:rsidRPr="00BE73B9" w:rsidP="00696053">
      <w:pPr>
        <w:numPr>
          <w:numId w:val="1"/>
        </w:numPr>
        <w:bidi w:val="0"/>
        <w:jc w:val="both"/>
        <w:rPr>
          <w:rFonts w:hint="default"/>
        </w:rPr>
      </w:pPr>
      <w:r w:rsidRPr="00BE73B9" w:rsidR="00114965">
        <w:rPr>
          <w:rFonts w:hint="default"/>
        </w:rPr>
        <w:t>Za §</w:t>
      </w:r>
      <w:r w:rsidRPr="00BE73B9" w:rsidR="00114965">
        <w:rPr>
          <w:rFonts w:hint="default"/>
        </w:rPr>
        <w:t xml:space="preserve"> 85e sa vkladá</w:t>
      </w:r>
      <w:r w:rsidRPr="00BE73B9" w:rsidR="00114965">
        <w:rPr>
          <w:rFonts w:hint="default"/>
        </w:rPr>
        <w:t xml:space="preserve"> §</w:t>
      </w:r>
      <w:r w:rsidRPr="00BE73B9" w:rsidR="00114965">
        <w:rPr>
          <w:rFonts w:hint="default"/>
        </w:rPr>
        <w:t xml:space="preserve"> 85f,</w:t>
      </w:r>
      <w:r w:rsidRPr="00BE73B9" w:rsidR="00114965">
        <w:rPr>
          <w:rFonts w:hint="default"/>
        </w:rPr>
        <w:t xml:space="preserve"> ktorý</w:t>
      </w:r>
      <w:r w:rsidRPr="00BE73B9" w:rsidR="00114965">
        <w:rPr>
          <w:rFonts w:hint="default"/>
        </w:rPr>
        <w:t xml:space="preserve"> </w:t>
      </w:r>
      <w:r w:rsidRPr="00BE73B9">
        <w:rPr>
          <w:rFonts w:hint="default"/>
        </w:rPr>
        <w:t>vrá</w:t>
      </w:r>
      <w:r w:rsidRPr="00BE73B9">
        <w:rPr>
          <w:rFonts w:hint="default"/>
        </w:rPr>
        <w:t>tane nadpisu znie:</w:t>
      </w:r>
    </w:p>
    <w:p w:rsidR="007F56A3" w:rsidRPr="00BE73B9" w:rsidP="007F56A3">
      <w:pPr>
        <w:bidi w:val="0"/>
        <w:ind w:left="502"/>
        <w:jc w:val="both"/>
      </w:pPr>
      <w:r w:rsidRPr="00BE73B9">
        <w:tab/>
        <w:tab/>
        <w:tab/>
        <w:tab/>
      </w:r>
    </w:p>
    <w:p w:rsidR="007F56A3" w:rsidRPr="00BE73B9" w:rsidP="00BD69C5">
      <w:pPr>
        <w:bidi w:val="0"/>
        <w:ind w:left="502"/>
        <w:jc w:val="center"/>
        <w:rPr>
          <w:rFonts w:hint="default"/>
        </w:rPr>
      </w:pPr>
      <w:r w:rsidRPr="00BE73B9" w:rsidR="00BD69C5">
        <w:rPr>
          <w:rFonts w:hint="default"/>
        </w:rPr>
        <w:t>„</w:t>
      </w:r>
      <w:r w:rsidRPr="00BE73B9">
        <w:rPr>
          <w:rFonts w:hint="default"/>
        </w:rPr>
        <w:t>§</w:t>
      </w:r>
      <w:r w:rsidRPr="00BE73B9">
        <w:rPr>
          <w:rFonts w:hint="default"/>
        </w:rPr>
        <w:t xml:space="preserve"> 85f</w:t>
      </w:r>
    </w:p>
    <w:p w:rsidR="00BD69C5" w:rsidRPr="00BE73B9" w:rsidP="00BD69C5">
      <w:pPr>
        <w:bidi w:val="0"/>
        <w:ind w:left="502"/>
        <w:jc w:val="center"/>
        <w:rPr>
          <w:rFonts w:hint="default"/>
        </w:rPr>
      </w:pPr>
      <w:r w:rsidRPr="00BE73B9">
        <w:rPr>
          <w:rFonts w:hint="default"/>
        </w:rPr>
        <w:t>Osobitosti úč</w:t>
      </w:r>
      <w:r w:rsidRPr="00BE73B9">
        <w:rPr>
          <w:rFonts w:hint="default"/>
        </w:rPr>
        <w:t>tovania stá</w:t>
      </w:r>
      <w:r w:rsidRPr="00BE73B9">
        <w:rPr>
          <w:rFonts w:hint="default"/>
        </w:rPr>
        <w:t>lej prevá</w:t>
      </w:r>
      <w:r w:rsidRPr="00BE73B9">
        <w:rPr>
          <w:rFonts w:hint="default"/>
        </w:rPr>
        <w:t>dzkarne</w:t>
      </w:r>
    </w:p>
    <w:p w:rsidR="007F56A3" w:rsidRPr="00BE73B9" w:rsidP="007F56A3">
      <w:pPr>
        <w:pStyle w:val="ListParagraph"/>
        <w:numPr>
          <w:numId w:val="15"/>
        </w:numPr>
        <w:bidi w:val="0"/>
        <w:jc w:val="both"/>
      </w:pPr>
      <w:r w:rsidRPr="00BE73B9" w:rsidR="009845E4">
        <w:t>U d</w:t>
      </w:r>
      <w:r w:rsidRPr="00BE73B9">
        <w:rPr>
          <w:rFonts w:hint="default"/>
        </w:rPr>
        <w:t>aň</w:t>
      </w:r>
      <w:r w:rsidRPr="00BE73B9">
        <w:rPr>
          <w:rFonts w:hint="default"/>
        </w:rPr>
        <w:t>ovní</w:t>
      </w:r>
      <w:r w:rsidRPr="00BE73B9">
        <w:rPr>
          <w:rFonts w:hint="default"/>
        </w:rPr>
        <w:t>k</w:t>
      </w:r>
      <w:r w:rsidRPr="00BE73B9" w:rsidR="009845E4">
        <w:t xml:space="preserve">a, </w:t>
      </w:r>
      <w:r w:rsidRPr="00BE73B9">
        <w:rPr>
          <w:rFonts w:hint="default"/>
        </w:rPr>
        <w:t>ktorý</w:t>
      </w:r>
      <w:r w:rsidRPr="00BE73B9">
        <w:rPr>
          <w:rFonts w:hint="default"/>
        </w:rPr>
        <w:t>m je prá</w:t>
      </w:r>
      <w:r w:rsidRPr="00BE73B9">
        <w:rPr>
          <w:rFonts w:hint="default"/>
        </w:rPr>
        <w:t>vnická</w:t>
      </w:r>
      <w:r w:rsidRPr="00BE73B9">
        <w:rPr>
          <w:rFonts w:hint="default"/>
        </w:rPr>
        <w:t xml:space="preserve"> osoba s ob</w:t>
      </w:r>
      <w:r w:rsidRPr="00BE73B9" w:rsidR="00114965">
        <w:rPr>
          <w:rFonts w:hint="default"/>
        </w:rPr>
        <w:t>medzenou daň</w:t>
      </w:r>
      <w:r w:rsidRPr="00BE73B9" w:rsidR="00114965">
        <w:rPr>
          <w:rFonts w:hint="default"/>
        </w:rPr>
        <w:t>ovou povinnosť</w:t>
      </w:r>
      <w:r w:rsidRPr="00BE73B9" w:rsidR="00114965">
        <w:rPr>
          <w:rFonts w:hint="default"/>
        </w:rPr>
        <w:t>ou, ktorý</w:t>
      </w:r>
      <w:r w:rsidRPr="00BE73B9">
        <w:rPr>
          <w:rFonts w:hint="default"/>
        </w:rPr>
        <w:t xml:space="preserve"> na ú</w:t>
      </w:r>
      <w:r w:rsidRPr="00BE73B9">
        <w:rPr>
          <w:rFonts w:hint="default"/>
        </w:rPr>
        <w:t>zemí</w:t>
      </w:r>
      <w:r w:rsidRPr="00BE73B9">
        <w:rPr>
          <w:rFonts w:hint="default"/>
        </w:rPr>
        <w:t xml:space="preserve"> Slovenskej republiky vykoná</w:t>
      </w:r>
      <w:r w:rsidRPr="00BE73B9">
        <w:rPr>
          <w:rFonts w:hint="default"/>
        </w:rPr>
        <w:t>va č</w:t>
      </w:r>
      <w:r w:rsidRPr="00BE73B9">
        <w:rPr>
          <w:rFonts w:hint="default"/>
        </w:rPr>
        <w:t>innosť</w:t>
      </w:r>
      <w:r w:rsidRPr="00BE73B9">
        <w:rPr>
          <w:rFonts w:hint="default"/>
        </w:rPr>
        <w:t xml:space="preserve"> prostrední</w:t>
      </w:r>
      <w:r w:rsidRPr="00BE73B9">
        <w:rPr>
          <w:rFonts w:hint="default"/>
        </w:rPr>
        <w:t>ctvom stá</w:t>
      </w:r>
      <w:r w:rsidRPr="00BE73B9">
        <w:rPr>
          <w:rFonts w:hint="default"/>
        </w:rPr>
        <w:t>lej prevá</w:t>
      </w:r>
      <w:r w:rsidRPr="00BE73B9">
        <w:rPr>
          <w:rFonts w:hint="default"/>
        </w:rPr>
        <w:t>dzkarne (ď</w:t>
      </w:r>
      <w:r w:rsidRPr="00BE73B9">
        <w:rPr>
          <w:rFonts w:hint="default"/>
        </w:rPr>
        <w:t>alej len „</w:t>
      </w:r>
      <w:r w:rsidRPr="00BE73B9" w:rsidR="009845E4">
        <w:rPr>
          <w:rFonts w:hint="default"/>
        </w:rPr>
        <w:t>daň</w:t>
      </w:r>
      <w:r w:rsidRPr="00BE73B9" w:rsidR="009845E4">
        <w:rPr>
          <w:rFonts w:hint="default"/>
        </w:rPr>
        <w:t>ovní</w:t>
      </w:r>
      <w:r w:rsidRPr="00BE73B9" w:rsidR="009845E4">
        <w:rPr>
          <w:rFonts w:hint="default"/>
        </w:rPr>
        <w:t>k so stá</w:t>
      </w:r>
      <w:r w:rsidRPr="00BE73B9" w:rsidR="009845E4">
        <w:rPr>
          <w:rFonts w:hint="default"/>
        </w:rPr>
        <w:t>lou prevá</w:t>
      </w:r>
      <w:r w:rsidRPr="00BE73B9" w:rsidR="009845E4">
        <w:rPr>
          <w:rFonts w:hint="default"/>
        </w:rPr>
        <w:t>dzkarň</w:t>
      </w:r>
      <w:r w:rsidRPr="00BE73B9" w:rsidR="009845E4">
        <w:rPr>
          <w:rFonts w:hint="default"/>
        </w:rPr>
        <w:t>ou“</w:t>
      </w:r>
      <w:r w:rsidRPr="00BE73B9" w:rsidR="009845E4">
        <w:rPr>
          <w:rFonts w:hint="default"/>
        </w:rPr>
        <w:t>) sa na úč</w:t>
      </w:r>
      <w:r w:rsidRPr="00BE73B9" w:rsidR="009845E4">
        <w:rPr>
          <w:rFonts w:hint="default"/>
        </w:rPr>
        <w:t>ely osobitné</w:t>
      </w:r>
      <w:r w:rsidRPr="00BE73B9" w:rsidR="009845E4">
        <w:rPr>
          <w:rFonts w:hint="default"/>
        </w:rPr>
        <w:t>ho predpisu</w:t>
      </w:r>
      <w:r w:rsidRPr="00BE73B9" w:rsidR="00114965">
        <w:rPr>
          <w:vertAlign w:val="superscript"/>
        </w:rPr>
        <w:t>4</w:t>
      </w:r>
      <w:r w:rsidRPr="00BE73B9" w:rsidR="00A80C5F">
        <w:rPr>
          <w:vertAlign w:val="superscript"/>
        </w:rPr>
        <w:t>6</w:t>
      </w:r>
      <w:r w:rsidRPr="00BE73B9" w:rsidR="00114965">
        <w:rPr>
          <w:vertAlign w:val="superscript"/>
        </w:rPr>
        <w:t>)</w:t>
      </w:r>
      <w:r w:rsidRPr="00BE73B9" w:rsidR="009845E4">
        <w:rPr>
          <w:rFonts w:hint="default"/>
        </w:rPr>
        <w:t xml:space="preserve"> vedie úč</w:t>
      </w:r>
      <w:r w:rsidRPr="00BE73B9" w:rsidR="009845E4">
        <w:rPr>
          <w:rFonts w:hint="default"/>
        </w:rPr>
        <w:t>tovní</w:t>
      </w:r>
      <w:r w:rsidRPr="00BE73B9" w:rsidR="009845E4">
        <w:rPr>
          <w:rFonts w:hint="default"/>
        </w:rPr>
        <w:t>ctvo podľ</w:t>
      </w:r>
      <w:r w:rsidRPr="00BE73B9" w:rsidR="009845E4">
        <w:rPr>
          <w:rFonts w:hint="default"/>
        </w:rPr>
        <w:t>a tohto opatrenia.</w:t>
      </w:r>
    </w:p>
    <w:p w:rsidR="00E20FB8" w:rsidRPr="00BE73B9" w:rsidP="00E20FB8">
      <w:pPr>
        <w:pStyle w:val="ListParagraph"/>
        <w:bidi w:val="0"/>
        <w:ind w:left="1068"/>
        <w:jc w:val="both"/>
      </w:pPr>
    </w:p>
    <w:p w:rsidR="009845E4" w:rsidRPr="00BE73B9" w:rsidP="009845E4">
      <w:pPr>
        <w:pStyle w:val="ListParagraph"/>
        <w:numPr>
          <w:numId w:val="15"/>
        </w:numPr>
        <w:bidi w:val="0"/>
        <w:jc w:val="both"/>
        <w:rPr>
          <w:rFonts w:hint="default"/>
        </w:rPr>
      </w:pPr>
      <w:r w:rsidRPr="00BE73B9">
        <w:t>V </w:t>
      </w:r>
      <w:r w:rsidRPr="00BE73B9">
        <w:rPr>
          <w:rFonts w:hint="default"/>
        </w:rPr>
        <w:t>úč</w:t>
      </w:r>
      <w:r w:rsidRPr="00BE73B9">
        <w:rPr>
          <w:rFonts w:hint="default"/>
        </w:rPr>
        <w:t>tovní</w:t>
      </w:r>
      <w:r w:rsidRPr="00BE73B9">
        <w:rPr>
          <w:rFonts w:hint="default"/>
        </w:rPr>
        <w:t>ctve daň</w:t>
      </w:r>
      <w:r w:rsidRPr="00BE73B9">
        <w:rPr>
          <w:rFonts w:hint="default"/>
        </w:rPr>
        <w:t>ovní</w:t>
      </w:r>
      <w:r w:rsidRPr="00BE73B9">
        <w:rPr>
          <w:rFonts w:hint="default"/>
        </w:rPr>
        <w:t>ka so stá</w:t>
      </w:r>
      <w:r w:rsidRPr="00BE73B9">
        <w:rPr>
          <w:rFonts w:hint="default"/>
        </w:rPr>
        <w:t xml:space="preserve">lou </w:t>
      </w:r>
      <w:r w:rsidRPr="00BE73B9" w:rsidR="006D2361">
        <w:rPr>
          <w:rFonts w:hint="default"/>
        </w:rPr>
        <w:t>prevá</w:t>
      </w:r>
      <w:r w:rsidRPr="00BE73B9" w:rsidR="006D2361">
        <w:rPr>
          <w:rFonts w:hint="default"/>
        </w:rPr>
        <w:t>dzkarň</w:t>
      </w:r>
      <w:r w:rsidRPr="00BE73B9" w:rsidR="006D2361">
        <w:rPr>
          <w:rFonts w:hint="default"/>
        </w:rPr>
        <w:t>ou</w:t>
      </w:r>
      <w:r w:rsidRPr="00BE73B9">
        <w:rPr>
          <w:rFonts w:hint="default"/>
        </w:rPr>
        <w:t xml:space="preserve"> sa úč</w:t>
      </w:r>
      <w:r w:rsidRPr="00BE73B9">
        <w:rPr>
          <w:rFonts w:hint="default"/>
        </w:rPr>
        <w:t>tuje za vš</w:t>
      </w:r>
      <w:r w:rsidRPr="00BE73B9">
        <w:rPr>
          <w:rFonts w:hint="default"/>
        </w:rPr>
        <w:t>etky stá</w:t>
      </w:r>
      <w:r w:rsidRPr="00BE73B9">
        <w:rPr>
          <w:rFonts w:hint="default"/>
        </w:rPr>
        <w:t>le prevá</w:t>
      </w:r>
      <w:r w:rsidRPr="00BE73B9">
        <w:rPr>
          <w:rFonts w:hint="default"/>
        </w:rPr>
        <w:t>dzkarne umiestnené</w:t>
      </w:r>
      <w:r w:rsidRPr="00BE73B9">
        <w:rPr>
          <w:rFonts w:hint="default"/>
        </w:rPr>
        <w:t xml:space="preserve"> na ú</w:t>
      </w:r>
      <w:r w:rsidRPr="00BE73B9">
        <w:rPr>
          <w:rFonts w:hint="default"/>
        </w:rPr>
        <w:t>zemí</w:t>
      </w:r>
      <w:r w:rsidRPr="00BE73B9">
        <w:rPr>
          <w:rFonts w:hint="default"/>
        </w:rPr>
        <w:t xml:space="preserve"> Slovenskej republiky.</w:t>
      </w:r>
    </w:p>
    <w:p w:rsidR="00E20FB8" w:rsidRPr="00BE73B9" w:rsidP="00E20FB8">
      <w:pPr>
        <w:pStyle w:val="ListParagraph"/>
        <w:bidi w:val="0"/>
        <w:ind w:left="1068"/>
        <w:jc w:val="both"/>
      </w:pPr>
    </w:p>
    <w:p w:rsidR="009845E4" w:rsidRPr="00BE73B9" w:rsidP="009845E4">
      <w:pPr>
        <w:pStyle w:val="ListParagraph"/>
        <w:numPr>
          <w:numId w:val="15"/>
        </w:numPr>
        <w:bidi w:val="0"/>
        <w:jc w:val="both"/>
      </w:pPr>
      <w:r w:rsidRPr="00BE73B9" w:rsidR="00E20FB8">
        <w:rPr>
          <w:rFonts w:hint="default"/>
        </w:rPr>
        <w:t>Na úč</w:t>
      </w:r>
      <w:r w:rsidRPr="00BE73B9" w:rsidR="00E20FB8">
        <w:rPr>
          <w:rFonts w:hint="default"/>
        </w:rPr>
        <w:t xml:space="preserve">ely </w:t>
      </w:r>
      <w:r w:rsidRPr="00BE73B9" w:rsidR="00E20FB8">
        <w:rPr>
          <w:rFonts w:hint="default"/>
        </w:rPr>
        <w:t>zistenia zá</w:t>
      </w:r>
      <w:r w:rsidRPr="00BE73B9" w:rsidR="00E20FB8">
        <w:rPr>
          <w:rFonts w:hint="default"/>
        </w:rPr>
        <w:t>kladu dane z </w:t>
      </w:r>
      <w:r w:rsidRPr="00BE73B9" w:rsidR="00E20FB8">
        <w:rPr>
          <w:rFonts w:hint="default"/>
        </w:rPr>
        <w:t>prí</w:t>
      </w:r>
      <w:r w:rsidRPr="00BE73B9" w:rsidR="00E20FB8">
        <w:rPr>
          <w:rFonts w:hint="default"/>
        </w:rPr>
        <w:t>jmov sa otvoria úč</w:t>
      </w:r>
      <w:r w:rsidRPr="00BE73B9" w:rsidR="00E20FB8">
        <w:rPr>
          <w:rFonts w:hint="default"/>
        </w:rPr>
        <w:t>tovné</w:t>
      </w:r>
      <w:r w:rsidRPr="00BE73B9" w:rsidR="00E20FB8">
        <w:rPr>
          <w:rFonts w:hint="default"/>
        </w:rPr>
        <w:t xml:space="preserve"> knihy podľ</w:t>
      </w:r>
      <w:r w:rsidRPr="00BE73B9" w:rsidR="00E20FB8">
        <w:rPr>
          <w:rFonts w:hint="default"/>
        </w:rPr>
        <w:t>a §</w:t>
      </w:r>
      <w:r w:rsidRPr="00BE73B9" w:rsidR="00E20FB8">
        <w:rPr>
          <w:rFonts w:hint="default"/>
        </w:rPr>
        <w:t xml:space="preserve"> 7 ku dň</w:t>
      </w:r>
      <w:r w:rsidRPr="00BE73B9" w:rsidR="00E20FB8">
        <w:rPr>
          <w:rFonts w:hint="default"/>
        </w:rPr>
        <w:t>u vzniku stá</w:t>
      </w:r>
      <w:r w:rsidRPr="00BE73B9" w:rsidR="00E20FB8">
        <w:rPr>
          <w:rFonts w:hint="default"/>
        </w:rPr>
        <w:t>lej prevá</w:t>
      </w:r>
      <w:r w:rsidRPr="00BE73B9" w:rsidR="00E20FB8">
        <w:rPr>
          <w:rFonts w:hint="default"/>
        </w:rPr>
        <w:t>dzkarne daň</w:t>
      </w:r>
      <w:r w:rsidRPr="00BE73B9" w:rsidR="00E20FB8">
        <w:rPr>
          <w:rFonts w:hint="default"/>
        </w:rPr>
        <w:t>ovní</w:t>
      </w:r>
      <w:r w:rsidRPr="00BE73B9" w:rsidR="00E20FB8">
        <w:rPr>
          <w:rFonts w:hint="default"/>
        </w:rPr>
        <w:t>k</w:t>
      </w:r>
      <w:r w:rsidRPr="00BE73B9" w:rsidR="00114965">
        <w:rPr>
          <w:rFonts w:hint="default"/>
        </w:rPr>
        <w:t>a so stá</w:t>
      </w:r>
      <w:r w:rsidRPr="00BE73B9" w:rsidR="00114965">
        <w:rPr>
          <w:rFonts w:hint="default"/>
        </w:rPr>
        <w:t>lou prevá</w:t>
      </w:r>
      <w:r w:rsidRPr="00BE73B9" w:rsidR="00114965">
        <w:rPr>
          <w:rFonts w:hint="default"/>
        </w:rPr>
        <w:t>dzkarň</w:t>
      </w:r>
      <w:r w:rsidRPr="00BE73B9" w:rsidR="00114965">
        <w:rPr>
          <w:rFonts w:hint="default"/>
        </w:rPr>
        <w:t>ou. Ako</w:t>
      </w:r>
      <w:r w:rsidRPr="00BE73B9" w:rsidR="00E20FB8">
        <w:rPr>
          <w:rFonts w:hint="default"/>
        </w:rPr>
        <w:t xml:space="preserve"> prvé</w:t>
      </w:r>
      <w:r w:rsidRPr="00BE73B9" w:rsidR="00E20FB8">
        <w:rPr>
          <w:rFonts w:hint="default"/>
        </w:rPr>
        <w:t xml:space="preserve"> úč</w:t>
      </w:r>
      <w:r w:rsidRPr="00BE73B9" w:rsidR="00E20FB8">
        <w:rPr>
          <w:rFonts w:hint="default"/>
        </w:rPr>
        <w:t>tovné</w:t>
      </w:r>
      <w:r w:rsidRPr="00BE73B9" w:rsidR="00E20FB8">
        <w:rPr>
          <w:rFonts w:hint="default"/>
        </w:rPr>
        <w:t xml:space="preserve"> prí</w:t>
      </w:r>
      <w:r w:rsidRPr="00BE73B9" w:rsidR="00E20FB8">
        <w:rPr>
          <w:rFonts w:hint="default"/>
        </w:rPr>
        <w:t>pady po otvorení</w:t>
      </w:r>
      <w:r w:rsidRPr="00BE73B9" w:rsidR="00E20FB8">
        <w:rPr>
          <w:rFonts w:hint="default"/>
        </w:rPr>
        <w:t xml:space="preserve"> úč</w:t>
      </w:r>
      <w:r w:rsidRPr="00BE73B9" w:rsidR="00E20FB8">
        <w:rPr>
          <w:rFonts w:hint="default"/>
        </w:rPr>
        <w:t>tovný</w:t>
      </w:r>
      <w:r w:rsidRPr="00BE73B9" w:rsidR="00E20FB8">
        <w:rPr>
          <w:rFonts w:hint="default"/>
        </w:rPr>
        <w:t>ch kní</w:t>
      </w:r>
      <w:r w:rsidRPr="00BE73B9" w:rsidR="00E20FB8">
        <w:rPr>
          <w:rFonts w:hint="default"/>
        </w:rPr>
        <w:t>h sa úč</w:t>
      </w:r>
      <w:r w:rsidRPr="00BE73B9" w:rsidR="00E20FB8">
        <w:rPr>
          <w:rFonts w:hint="default"/>
        </w:rPr>
        <w:t>tujú</w:t>
      </w:r>
      <w:r w:rsidRPr="00BE73B9" w:rsidR="00E20FB8">
        <w:rPr>
          <w:rFonts w:hint="default"/>
        </w:rPr>
        <w:t xml:space="preserve"> skutoč</w:t>
      </w:r>
      <w:r w:rsidRPr="00BE73B9" w:rsidR="00E20FB8">
        <w:rPr>
          <w:rFonts w:hint="default"/>
        </w:rPr>
        <w:t>nosti, ktoré</w:t>
      </w:r>
      <w:r w:rsidRPr="00BE73B9" w:rsidR="00E20FB8">
        <w:rPr>
          <w:rFonts w:hint="default"/>
        </w:rPr>
        <w:t xml:space="preserve"> sú</w:t>
      </w:r>
      <w:r w:rsidRPr="00BE73B9" w:rsidR="00E20FB8">
        <w:rPr>
          <w:rFonts w:hint="default"/>
        </w:rPr>
        <w:t xml:space="preserve"> predmetom úč</w:t>
      </w:r>
      <w:r w:rsidRPr="00BE73B9" w:rsidR="00E20FB8">
        <w:rPr>
          <w:rFonts w:hint="default"/>
        </w:rPr>
        <w:t>tovní</w:t>
      </w:r>
      <w:r w:rsidRPr="00BE73B9" w:rsidR="00E20FB8">
        <w:rPr>
          <w:rFonts w:hint="default"/>
        </w:rPr>
        <w:t>ctva od zač</w:t>
      </w:r>
      <w:r w:rsidRPr="00BE73B9" w:rsidR="00E20FB8">
        <w:rPr>
          <w:rFonts w:hint="default"/>
        </w:rPr>
        <w:t>iatku zd</w:t>
      </w:r>
      <w:r w:rsidRPr="00BE73B9" w:rsidR="00E20FB8">
        <w:rPr>
          <w:rFonts w:hint="default"/>
        </w:rPr>
        <w:t>aň</w:t>
      </w:r>
      <w:r w:rsidRPr="00BE73B9" w:rsidR="00E20FB8">
        <w:rPr>
          <w:rFonts w:hint="default"/>
        </w:rPr>
        <w:t xml:space="preserve">ovacieho obdobia. </w:t>
      </w:r>
    </w:p>
    <w:p w:rsidR="00E20FB8" w:rsidRPr="00BE73B9" w:rsidP="00E20FB8">
      <w:pPr>
        <w:pStyle w:val="ListParagraph"/>
        <w:bidi w:val="0"/>
        <w:ind w:left="1068"/>
        <w:jc w:val="both"/>
      </w:pPr>
    </w:p>
    <w:p w:rsidR="00E20FB8" w:rsidRPr="00BE73B9" w:rsidP="009845E4">
      <w:pPr>
        <w:pStyle w:val="ListParagraph"/>
        <w:numPr>
          <w:numId w:val="15"/>
        </w:numPr>
        <w:bidi w:val="0"/>
        <w:jc w:val="both"/>
      </w:pPr>
      <w:r w:rsidRPr="00BE73B9">
        <w:rPr>
          <w:rFonts w:hint="default"/>
        </w:rPr>
        <w:t>Ak podľ</w:t>
      </w:r>
      <w:r w:rsidRPr="00BE73B9">
        <w:rPr>
          <w:rFonts w:hint="default"/>
        </w:rPr>
        <w:t>a osobitné</w:t>
      </w:r>
      <w:r w:rsidRPr="00BE73B9">
        <w:rPr>
          <w:rFonts w:hint="default"/>
        </w:rPr>
        <w:t>ho predpisu vzniká</w:t>
      </w:r>
      <w:r w:rsidRPr="00BE73B9">
        <w:rPr>
          <w:rFonts w:hint="default"/>
        </w:rPr>
        <w:t xml:space="preserve"> povinnosť</w:t>
      </w:r>
      <w:r w:rsidRPr="00BE73B9">
        <w:rPr>
          <w:rFonts w:hint="default"/>
        </w:rPr>
        <w:t xml:space="preserve"> podať</w:t>
      </w:r>
      <w:r w:rsidRPr="00BE73B9">
        <w:rPr>
          <w:rFonts w:hint="default"/>
        </w:rPr>
        <w:t xml:space="preserve"> daň</w:t>
      </w:r>
      <w:r w:rsidRPr="00BE73B9">
        <w:rPr>
          <w:rFonts w:hint="default"/>
        </w:rPr>
        <w:t>ové</w:t>
      </w:r>
      <w:r w:rsidRPr="00BE73B9">
        <w:rPr>
          <w:rFonts w:hint="default"/>
        </w:rPr>
        <w:t xml:space="preserve"> priznanie za predchá</w:t>
      </w:r>
      <w:r w:rsidRPr="00BE73B9">
        <w:rPr>
          <w:rFonts w:hint="default"/>
        </w:rPr>
        <w:t>dzajú</w:t>
      </w:r>
      <w:r w:rsidRPr="00BE73B9">
        <w:rPr>
          <w:rFonts w:hint="default"/>
        </w:rPr>
        <w:t>ce zdaň</w:t>
      </w:r>
      <w:r w:rsidRPr="00BE73B9">
        <w:rPr>
          <w:rFonts w:hint="default"/>
        </w:rPr>
        <w:t xml:space="preserve">ovacie </w:t>
      </w:r>
      <w:r w:rsidRPr="00BE73B9" w:rsidR="00A87BAB">
        <w:t>obdobie</w:t>
      </w:r>
      <w:r w:rsidRPr="00BE73B9" w:rsidR="00114965">
        <w:t>,</w:t>
      </w:r>
      <w:r w:rsidRPr="00BE73B9" w:rsidR="00A87BAB">
        <w:rPr>
          <w:vertAlign w:val="superscript"/>
        </w:rPr>
        <w:t xml:space="preserve"> </w:t>
      </w:r>
      <w:r w:rsidRPr="00BE73B9" w:rsidR="00F6682A">
        <w:rPr>
          <w:vertAlign w:val="superscript"/>
        </w:rPr>
        <w:t>4</w:t>
      </w:r>
      <w:r w:rsidRPr="00BE73B9" w:rsidR="00A80C5F">
        <w:rPr>
          <w:vertAlign w:val="superscript"/>
        </w:rPr>
        <w:t>7</w:t>
      </w:r>
      <w:r w:rsidRPr="00BE73B9" w:rsidR="00F6682A">
        <w:rPr>
          <w:vertAlign w:val="superscript"/>
        </w:rPr>
        <w:t>)</w:t>
      </w:r>
      <w:r w:rsidRPr="00BE73B9">
        <w:t xml:space="preserve"> </w:t>
      </w:r>
      <w:r w:rsidRPr="00BE73B9" w:rsidR="00114965">
        <w:t xml:space="preserve"> v </w:t>
      </w:r>
      <w:r w:rsidRPr="00BE73B9" w:rsidR="00114965">
        <w:rPr>
          <w:rFonts w:hint="default"/>
        </w:rPr>
        <w:t>deň</w:t>
      </w:r>
      <w:r w:rsidRPr="00BE73B9" w:rsidR="00114965">
        <w:rPr>
          <w:rFonts w:hint="default"/>
        </w:rPr>
        <w:t xml:space="preserve"> kedy boli splnené</w:t>
      </w:r>
      <w:r w:rsidRPr="00BE73B9" w:rsidR="00A87BAB">
        <w:rPr>
          <w:rFonts w:hint="default"/>
        </w:rPr>
        <w:t xml:space="preserve"> podmienky vzniku stá</w:t>
      </w:r>
      <w:r w:rsidRPr="00BE73B9" w:rsidR="00A87BAB">
        <w:rPr>
          <w:rFonts w:hint="default"/>
        </w:rPr>
        <w:t>lej prevá</w:t>
      </w:r>
      <w:r w:rsidRPr="00BE73B9" w:rsidR="00A87BAB">
        <w:rPr>
          <w:rFonts w:hint="default"/>
        </w:rPr>
        <w:t>dzkarne</w:t>
      </w:r>
      <w:r w:rsidRPr="00BE73B9" w:rsidR="00F6682A">
        <w:rPr>
          <w:vertAlign w:val="superscript"/>
        </w:rPr>
        <w:t>4</w:t>
      </w:r>
      <w:r w:rsidRPr="00BE73B9" w:rsidR="00A80C5F">
        <w:rPr>
          <w:vertAlign w:val="superscript"/>
        </w:rPr>
        <w:t>8</w:t>
      </w:r>
      <w:r w:rsidRPr="00BE73B9" w:rsidR="00F6682A">
        <w:rPr>
          <w:vertAlign w:val="superscript"/>
        </w:rPr>
        <w:t>)</w:t>
      </w:r>
      <w:r w:rsidRPr="00BE73B9">
        <w:rPr>
          <w:rFonts w:hint="default"/>
        </w:rPr>
        <w:t xml:space="preserve"> daň</w:t>
      </w:r>
      <w:r w:rsidRPr="00BE73B9">
        <w:rPr>
          <w:rFonts w:hint="default"/>
        </w:rPr>
        <w:t>ovní</w:t>
      </w:r>
      <w:r w:rsidRPr="00BE73B9">
        <w:rPr>
          <w:rFonts w:hint="default"/>
        </w:rPr>
        <w:t>ka so stá</w:t>
      </w:r>
      <w:r w:rsidRPr="00BE73B9">
        <w:rPr>
          <w:rFonts w:hint="default"/>
        </w:rPr>
        <w:t>lou prevá</w:t>
      </w:r>
      <w:r w:rsidRPr="00BE73B9">
        <w:rPr>
          <w:rFonts w:hint="default"/>
        </w:rPr>
        <w:t>dzkarň</w:t>
      </w:r>
      <w:r w:rsidRPr="00BE73B9">
        <w:rPr>
          <w:rFonts w:hint="default"/>
        </w:rPr>
        <w:t>ou sa otvoria  úč</w:t>
      </w:r>
      <w:r w:rsidRPr="00BE73B9">
        <w:rPr>
          <w:rFonts w:hint="default"/>
        </w:rPr>
        <w:t>tovné</w:t>
      </w:r>
      <w:r w:rsidRPr="00BE73B9">
        <w:rPr>
          <w:rFonts w:hint="default"/>
        </w:rPr>
        <w:t xml:space="preserve"> knih</w:t>
      </w:r>
      <w:r w:rsidRPr="00BE73B9">
        <w:rPr>
          <w:rFonts w:hint="default"/>
        </w:rPr>
        <w:t>y a </w:t>
      </w:r>
      <w:r w:rsidRPr="00BE73B9">
        <w:rPr>
          <w:rFonts w:hint="default"/>
        </w:rPr>
        <w:t>zaúč</w:t>
      </w:r>
      <w:r w:rsidRPr="00BE73B9">
        <w:rPr>
          <w:rFonts w:hint="default"/>
        </w:rPr>
        <w:t>tujú</w:t>
      </w:r>
      <w:r w:rsidRPr="00BE73B9">
        <w:rPr>
          <w:rFonts w:hint="default"/>
        </w:rPr>
        <w:t xml:space="preserve">  sa úč</w:t>
      </w:r>
      <w:r w:rsidRPr="00BE73B9">
        <w:rPr>
          <w:rFonts w:hint="default"/>
        </w:rPr>
        <w:t>tovné</w:t>
      </w:r>
      <w:r w:rsidRPr="00BE73B9">
        <w:rPr>
          <w:rFonts w:hint="default"/>
        </w:rPr>
        <w:t xml:space="preserve"> prí</w:t>
      </w:r>
      <w:r w:rsidRPr="00BE73B9">
        <w:rPr>
          <w:rFonts w:hint="default"/>
        </w:rPr>
        <w:t>pady tý</w:t>
      </w:r>
      <w:r w:rsidRPr="00BE73B9">
        <w:rPr>
          <w:rFonts w:hint="default"/>
        </w:rPr>
        <w:t>kajú</w:t>
      </w:r>
      <w:r w:rsidRPr="00BE73B9">
        <w:rPr>
          <w:rFonts w:hint="default"/>
        </w:rPr>
        <w:t>ce sa tohto zda</w:t>
      </w:r>
      <w:r w:rsidRPr="00BE73B9" w:rsidR="00802B08">
        <w:rPr>
          <w:rFonts w:hint="default"/>
        </w:rPr>
        <w:t>ň</w:t>
      </w:r>
      <w:r w:rsidRPr="00BE73B9" w:rsidR="00802B08">
        <w:rPr>
          <w:rFonts w:hint="default"/>
        </w:rPr>
        <w:t>ovacieho o</w:t>
      </w:r>
      <w:r w:rsidRPr="00BE73B9" w:rsidR="00114965">
        <w:t>bdobia a to s </w:t>
      </w:r>
      <w:r w:rsidRPr="00BE73B9" w:rsidR="00114965">
        <w:rPr>
          <w:rFonts w:hint="default"/>
        </w:rPr>
        <w:t>dá</w:t>
      </w:r>
      <w:r w:rsidRPr="00BE73B9" w:rsidR="00114965">
        <w:rPr>
          <w:rFonts w:hint="default"/>
        </w:rPr>
        <w:t>tumom uskutoč</w:t>
      </w:r>
      <w:r w:rsidRPr="00BE73B9" w:rsidR="00114965">
        <w:rPr>
          <w:rFonts w:hint="default"/>
        </w:rPr>
        <w:t>nenia</w:t>
      </w:r>
      <w:r w:rsidRPr="00BE73B9" w:rsidR="00802B08">
        <w:rPr>
          <w:rFonts w:hint="default"/>
        </w:rPr>
        <w:t xml:space="preserve"> úč</w:t>
      </w:r>
      <w:r w:rsidRPr="00BE73B9" w:rsidR="00802B08">
        <w:rPr>
          <w:rFonts w:hint="default"/>
        </w:rPr>
        <w:t>tovné</w:t>
      </w:r>
      <w:r w:rsidRPr="00BE73B9" w:rsidR="00802B08">
        <w:rPr>
          <w:rFonts w:hint="default"/>
        </w:rPr>
        <w:t>ho prí</w:t>
      </w:r>
      <w:r w:rsidRPr="00BE73B9" w:rsidR="00802B08">
        <w:rPr>
          <w:rFonts w:hint="default"/>
        </w:rPr>
        <w:t>padu, ktorý</w:t>
      </w:r>
      <w:r w:rsidRPr="00BE73B9" w:rsidR="00802B08">
        <w:rPr>
          <w:rFonts w:hint="default"/>
        </w:rPr>
        <w:t>m je deň</w:t>
      </w:r>
      <w:r w:rsidRPr="00BE73B9" w:rsidR="00802B08">
        <w:rPr>
          <w:rFonts w:hint="default"/>
        </w:rPr>
        <w:t xml:space="preserve"> </w:t>
      </w:r>
      <w:r w:rsidRPr="00BE73B9" w:rsidR="00A87BAB">
        <w:rPr>
          <w:rFonts w:hint="default"/>
        </w:rPr>
        <w:t>kedy boli splnené</w:t>
      </w:r>
      <w:r w:rsidRPr="00BE73B9" w:rsidR="00A87BAB">
        <w:rPr>
          <w:rFonts w:hint="default"/>
        </w:rPr>
        <w:t xml:space="preserve"> podmienky </w:t>
      </w:r>
      <w:r w:rsidRPr="00BE73B9" w:rsidR="00802B08">
        <w:rPr>
          <w:rFonts w:hint="default"/>
        </w:rPr>
        <w:t>vzniku stá</w:t>
      </w:r>
      <w:r w:rsidRPr="00BE73B9" w:rsidR="00802B08">
        <w:rPr>
          <w:rFonts w:hint="default"/>
        </w:rPr>
        <w:t>lej prevá</w:t>
      </w:r>
      <w:r w:rsidRPr="00BE73B9" w:rsidR="00802B08">
        <w:rPr>
          <w:rFonts w:hint="default"/>
        </w:rPr>
        <w:t>dzkarne daň</w:t>
      </w:r>
      <w:r w:rsidRPr="00BE73B9" w:rsidR="00802B08">
        <w:rPr>
          <w:rFonts w:hint="default"/>
        </w:rPr>
        <w:t>ovní</w:t>
      </w:r>
      <w:r w:rsidRPr="00BE73B9" w:rsidR="00802B08">
        <w:rPr>
          <w:rFonts w:hint="default"/>
        </w:rPr>
        <w:t>ka so stá</w:t>
      </w:r>
      <w:r w:rsidRPr="00BE73B9" w:rsidR="00802B08">
        <w:rPr>
          <w:rFonts w:hint="default"/>
        </w:rPr>
        <w:t>lou prevá</w:t>
      </w:r>
      <w:r w:rsidRPr="00BE73B9" w:rsidR="00802B08">
        <w:rPr>
          <w:rFonts w:hint="default"/>
        </w:rPr>
        <w:t>dzkarň</w:t>
      </w:r>
      <w:r w:rsidRPr="00BE73B9" w:rsidR="00802B08">
        <w:rPr>
          <w:rFonts w:hint="default"/>
        </w:rPr>
        <w:t>ou. Ku dň</w:t>
      </w:r>
      <w:r w:rsidRPr="00BE73B9" w:rsidR="00802B08">
        <w:rPr>
          <w:rFonts w:hint="default"/>
        </w:rPr>
        <w:t>u nasledujú</w:t>
      </w:r>
      <w:r w:rsidRPr="00BE73B9" w:rsidR="00802B08">
        <w:rPr>
          <w:rFonts w:hint="default"/>
        </w:rPr>
        <w:t xml:space="preserve">com </w:t>
      </w:r>
      <w:r w:rsidRPr="00BE73B9" w:rsidR="00A87BAB">
        <w:t>po dni kedy b</w:t>
      </w:r>
      <w:r w:rsidRPr="00BE73B9" w:rsidR="00A87BAB">
        <w:rPr>
          <w:rFonts w:hint="default"/>
        </w:rPr>
        <w:t>oli splnené</w:t>
      </w:r>
      <w:r w:rsidRPr="00BE73B9" w:rsidR="00A87BAB">
        <w:rPr>
          <w:rFonts w:hint="default"/>
        </w:rPr>
        <w:t xml:space="preserve"> podmienky vzniku stá</w:t>
      </w:r>
      <w:r w:rsidRPr="00BE73B9" w:rsidR="00A87BAB">
        <w:rPr>
          <w:rFonts w:hint="default"/>
        </w:rPr>
        <w:t>lej prevá</w:t>
      </w:r>
      <w:r w:rsidRPr="00BE73B9" w:rsidR="00A87BAB">
        <w:rPr>
          <w:rFonts w:hint="default"/>
        </w:rPr>
        <w:t xml:space="preserve">dzkarne </w:t>
      </w:r>
      <w:r w:rsidRPr="00BE73B9" w:rsidR="00802B08">
        <w:rPr>
          <w:rFonts w:hint="default"/>
        </w:rPr>
        <w:t xml:space="preserve"> daň</w:t>
      </w:r>
      <w:r w:rsidRPr="00BE73B9" w:rsidR="00802B08">
        <w:rPr>
          <w:rFonts w:hint="default"/>
        </w:rPr>
        <w:t>ovní</w:t>
      </w:r>
      <w:r w:rsidRPr="00BE73B9" w:rsidR="00802B08">
        <w:rPr>
          <w:rFonts w:hint="default"/>
        </w:rPr>
        <w:t>ka so stá</w:t>
      </w:r>
      <w:r w:rsidRPr="00BE73B9" w:rsidR="00802B08">
        <w:rPr>
          <w:rFonts w:hint="default"/>
        </w:rPr>
        <w:t>lou prevá</w:t>
      </w:r>
      <w:r w:rsidRPr="00BE73B9" w:rsidR="00802B08">
        <w:rPr>
          <w:rFonts w:hint="default"/>
        </w:rPr>
        <w:t>dzkarň</w:t>
      </w:r>
      <w:r w:rsidRPr="00BE73B9" w:rsidR="00802B08">
        <w:rPr>
          <w:rFonts w:hint="default"/>
        </w:rPr>
        <w:t>ou sa uzatvoria úč</w:t>
      </w:r>
      <w:r w:rsidRPr="00BE73B9" w:rsidR="00802B08">
        <w:rPr>
          <w:rFonts w:hint="default"/>
        </w:rPr>
        <w:t>tovné</w:t>
      </w:r>
      <w:r w:rsidRPr="00BE73B9" w:rsidR="00802B08">
        <w:rPr>
          <w:rFonts w:hint="default"/>
        </w:rPr>
        <w:t xml:space="preserve"> knihy a </w:t>
      </w:r>
      <w:r w:rsidRPr="00BE73B9" w:rsidR="00802B08">
        <w:rPr>
          <w:rFonts w:hint="default"/>
        </w:rPr>
        <w:t>vyčí</w:t>
      </w:r>
      <w:r w:rsidRPr="00BE73B9" w:rsidR="00802B08">
        <w:rPr>
          <w:rFonts w:hint="default"/>
        </w:rPr>
        <w:t>sli sa vý</w:t>
      </w:r>
      <w:r w:rsidRPr="00BE73B9" w:rsidR="00802B08">
        <w:rPr>
          <w:rFonts w:hint="default"/>
        </w:rPr>
        <w:t>sledok hospodá</w:t>
      </w:r>
      <w:r w:rsidRPr="00BE73B9" w:rsidR="00802B08">
        <w:rPr>
          <w:rFonts w:hint="default"/>
        </w:rPr>
        <w:t>renia,</w:t>
      </w:r>
      <w:r w:rsidR="0068339D">
        <w:rPr>
          <w:rFonts w:hint="default"/>
        </w:rPr>
        <w:t xml:space="preserve"> za toto zdaň</w:t>
      </w:r>
      <w:r w:rsidR="0068339D">
        <w:rPr>
          <w:rFonts w:hint="default"/>
        </w:rPr>
        <w:t>ovacie obdobie,</w:t>
      </w:r>
      <w:r w:rsidRPr="00BE73B9" w:rsidR="00802B08">
        <w:rPr>
          <w:rFonts w:hint="default"/>
        </w:rPr>
        <w:t xml:space="preserve"> ktorý</w:t>
      </w:r>
      <w:r w:rsidRPr="00BE73B9" w:rsidR="00802B08">
        <w:rPr>
          <w:rFonts w:hint="default"/>
        </w:rPr>
        <w:t xml:space="preserve"> sa úč</w:t>
      </w:r>
      <w:r w:rsidRPr="00BE73B9" w:rsidR="00802B08">
        <w:rPr>
          <w:rFonts w:hint="default"/>
        </w:rPr>
        <w:t>tuje na úč</w:t>
      </w:r>
      <w:r w:rsidRPr="00BE73B9" w:rsidR="00802B08">
        <w:rPr>
          <w:rFonts w:hint="default"/>
        </w:rPr>
        <w:t xml:space="preserve">te 431 </w:t>
      </w:r>
      <w:r w:rsidRPr="00BE73B9" w:rsidR="00802B08">
        <w:rPr>
          <w:rFonts w:hint="default"/>
        </w:rPr>
        <w:t>–</w:t>
      </w:r>
      <w:r w:rsidRPr="00BE73B9" w:rsidR="00802B08">
        <w:rPr>
          <w:rFonts w:hint="default"/>
        </w:rPr>
        <w:t xml:space="preserve"> Vý</w:t>
      </w:r>
      <w:r w:rsidRPr="00BE73B9" w:rsidR="00802B08">
        <w:rPr>
          <w:rFonts w:hint="default"/>
        </w:rPr>
        <w:t>sledok hospodá</w:t>
      </w:r>
      <w:r w:rsidRPr="00BE73B9" w:rsidR="00802B08">
        <w:rPr>
          <w:rFonts w:hint="default"/>
        </w:rPr>
        <w:t>renia v </w:t>
      </w:r>
      <w:r w:rsidRPr="00BE73B9" w:rsidR="00802B08">
        <w:rPr>
          <w:rFonts w:hint="default"/>
        </w:rPr>
        <w:t>schvaľ</w:t>
      </w:r>
      <w:r w:rsidRPr="00BE73B9" w:rsidR="00802B08">
        <w:rPr>
          <w:rFonts w:hint="default"/>
        </w:rPr>
        <w:t>ovaní.</w:t>
      </w:r>
    </w:p>
    <w:p w:rsidR="00F6682A" w:rsidRPr="00BE73B9" w:rsidP="00F6682A">
      <w:pPr>
        <w:pStyle w:val="ListParagraph"/>
        <w:bidi w:val="0"/>
        <w:ind w:left="1068"/>
        <w:jc w:val="both"/>
      </w:pPr>
    </w:p>
    <w:p w:rsidR="00802B08" w:rsidRPr="00BE73B9" w:rsidP="009845E4">
      <w:pPr>
        <w:pStyle w:val="ListParagraph"/>
        <w:numPr>
          <w:numId w:val="15"/>
        </w:numPr>
        <w:bidi w:val="0"/>
        <w:jc w:val="both"/>
      </w:pPr>
      <w:r w:rsidRPr="00BE73B9" w:rsidR="00CF7CF2">
        <w:rPr>
          <w:rFonts w:hint="default"/>
        </w:rPr>
        <w:t>Prá</w:t>
      </w:r>
      <w:r w:rsidRPr="00BE73B9" w:rsidR="00CF7CF2">
        <w:rPr>
          <w:rFonts w:hint="default"/>
        </w:rPr>
        <w:t>vnická</w:t>
      </w:r>
      <w:r w:rsidRPr="00BE73B9" w:rsidR="00CF7CF2">
        <w:rPr>
          <w:rFonts w:hint="default"/>
        </w:rPr>
        <w:t xml:space="preserve"> oso</w:t>
      </w:r>
      <w:r w:rsidRPr="00BE73B9" w:rsidR="00CF7CF2">
        <w:rPr>
          <w:rFonts w:hint="default"/>
        </w:rPr>
        <w:t>ba  s </w:t>
      </w:r>
      <w:r w:rsidRPr="00BE73B9" w:rsidR="00CF7CF2">
        <w:rPr>
          <w:rFonts w:hint="default"/>
        </w:rPr>
        <w:t>obmedzenou daň</w:t>
      </w:r>
      <w:r w:rsidRPr="00BE73B9" w:rsidR="00CF7CF2">
        <w:rPr>
          <w:rFonts w:hint="default"/>
        </w:rPr>
        <w:t>ovou povinnosť</w:t>
      </w:r>
      <w:r w:rsidRPr="00BE73B9" w:rsidR="00CF7CF2">
        <w:rPr>
          <w:rFonts w:hint="default"/>
        </w:rPr>
        <w:t xml:space="preserve">ou </w:t>
      </w:r>
      <w:r w:rsidRPr="00BE73B9" w:rsidR="00114965">
        <w:rPr>
          <w:rFonts w:hint="default"/>
        </w:rPr>
        <w:t xml:space="preserve"> úč</w:t>
      </w:r>
      <w:r w:rsidRPr="00BE73B9" w:rsidR="00114965">
        <w:rPr>
          <w:rFonts w:hint="default"/>
        </w:rPr>
        <w:t xml:space="preserve">tuje </w:t>
      </w:r>
      <w:r w:rsidRPr="00BE73B9" w:rsidR="00CF7CF2">
        <w:rPr>
          <w:rFonts w:hint="default"/>
        </w:rPr>
        <w:t>vklady do stá</w:t>
      </w:r>
      <w:r w:rsidRPr="00BE73B9" w:rsidR="00CF7CF2">
        <w:rPr>
          <w:rFonts w:hint="default"/>
        </w:rPr>
        <w:t>lej prevá</w:t>
      </w:r>
      <w:r w:rsidRPr="00BE73B9" w:rsidR="00CF7CF2">
        <w:rPr>
          <w:rFonts w:hint="default"/>
        </w:rPr>
        <w:t>dzkarne daň</w:t>
      </w:r>
      <w:r w:rsidRPr="00BE73B9" w:rsidR="00CF7CF2">
        <w:rPr>
          <w:rFonts w:hint="default"/>
        </w:rPr>
        <w:t>ovní</w:t>
      </w:r>
      <w:r w:rsidRPr="00BE73B9" w:rsidR="00CF7CF2">
        <w:rPr>
          <w:rFonts w:hint="default"/>
        </w:rPr>
        <w:t xml:space="preserve">ka </w:t>
      </w:r>
      <w:r w:rsidRPr="00BE73B9" w:rsidR="00A87BAB">
        <w:t xml:space="preserve">so </w:t>
      </w:r>
      <w:r w:rsidRPr="00BE73B9" w:rsidR="00CF7CF2">
        <w:rPr>
          <w:rFonts w:hint="default"/>
        </w:rPr>
        <w:t>stá</w:t>
      </w:r>
      <w:r w:rsidRPr="00BE73B9" w:rsidR="00114965">
        <w:rPr>
          <w:rFonts w:hint="default"/>
        </w:rPr>
        <w:t>lou prevá</w:t>
      </w:r>
      <w:r w:rsidRPr="00BE73B9" w:rsidR="00114965">
        <w:rPr>
          <w:rFonts w:hint="default"/>
        </w:rPr>
        <w:t>dzkarň</w:t>
      </w:r>
      <w:r w:rsidRPr="00BE73B9" w:rsidR="00114965">
        <w:rPr>
          <w:rFonts w:hint="default"/>
        </w:rPr>
        <w:t>ou na úč</w:t>
      </w:r>
      <w:r w:rsidRPr="00BE73B9" w:rsidR="00114965">
        <w:rPr>
          <w:rFonts w:hint="default"/>
        </w:rPr>
        <w:t>te</w:t>
      </w:r>
      <w:r w:rsidRPr="00BE73B9" w:rsidR="00CF7CF2">
        <w:t xml:space="preserve"> 413 </w:t>
      </w:r>
      <w:r w:rsidRPr="00BE73B9" w:rsidR="00CF7CF2">
        <w:rPr>
          <w:rFonts w:hint="default"/>
        </w:rPr>
        <w:t>–</w:t>
      </w:r>
      <w:r w:rsidRPr="00BE73B9" w:rsidR="00CF7CF2">
        <w:rPr>
          <w:rFonts w:hint="default"/>
        </w:rPr>
        <w:t xml:space="preserve"> Ostatné</w:t>
      </w:r>
      <w:r w:rsidRPr="00BE73B9" w:rsidR="00CF7CF2">
        <w:rPr>
          <w:rFonts w:hint="default"/>
        </w:rPr>
        <w:t xml:space="preserve"> kapitá</w:t>
      </w:r>
      <w:r w:rsidRPr="00BE73B9" w:rsidR="00CF7CF2">
        <w:rPr>
          <w:rFonts w:hint="default"/>
        </w:rPr>
        <w:t>lové</w:t>
      </w:r>
      <w:r w:rsidRPr="00BE73B9" w:rsidR="00CF7CF2">
        <w:rPr>
          <w:rFonts w:hint="default"/>
        </w:rPr>
        <w:t xml:space="preserve"> fondy.</w:t>
      </w:r>
      <w:r w:rsidRPr="00BE73B9" w:rsidR="00A87BAB">
        <w:rPr>
          <w:rFonts w:hint="default"/>
        </w:rPr>
        <w:t>“.</w:t>
      </w:r>
    </w:p>
    <w:p w:rsidR="00A87BAB" w:rsidRPr="00BE73B9" w:rsidP="00A87BAB">
      <w:pPr>
        <w:pStyle w:val="ListParagraph"/>
        <w:bidi w:val="0"/>
        <w:ind w:left="1068"/>
        <w:jc w:val="both"/>
      </w:pPr>
    </w:p>
    <w:p w:rsidR="006D2361" w:rsidRPr="00BE73B9" w:rsidP="006D2361">
      <w:pPr>
        <w:bidi w:val="0"/>
        <w:jc w:val="both"/>
      </w:pPr>
      <w:r w:rsidRPr="00BE73B9" w:rsidR="00BD69C5">
        <w:tab/>
      </w:r>
      <w:r w:rsidRPr="00BE73B9" w:rsidR="00F6682A">
        <w:rPr>
          <w:rFonts w:hint="default"/>
        </w:rPr>
        <w:t>Pozná</w:t>
      </w:r>
      <w:r w:rsidRPr="00BE73B9" w:rsidR="00F6682A">
        <w:rPr>
          <w:rFonts w:hint="default"/>
        </w:rPr>
        <w:t xml:space="preserve">mky </w:t>
      </w:r>
      <w:r w:rsidRPr="00BE73B9">
        <w:rPr>
          <w:rFonts w:hint="default"/>
        </w:rPr>
        <w:t xml:space="preserve"> pod č</w:t>
      </w:r>
      <w:r w:rsidRPr="00BE73B9">
        <w:rPr>
          <w:rFonts w:hint="default"/>
        </w:rPr>
        <w:t>iarou k</w:t>
      </w:r>
      <w:r w:rsidRPr="00BE73B9" w:rsidR="00F6682A">
        <w:t> </w:t>
      </w:r>
      <w:r w:rsidRPr="00BE73B9">
        <w:t>od</w:t>
      </w:r>
      <w:r w:rsidRPr="00BE73B9" w:rsidR="00A80C5F">
        <w:rPr>
          <w:rFonts w:hint="default"/>
        </w:rPr>
        <w:t>kazom 46 až </w:t>
      </w:r>
      <w:r w:rsidRPr="00BE73B9" w:rsidR="00A80C5F">
        <w:rPr>
          <w:rFonts w:hint="default"/>
        </w:rPr>
        <w:t>48</w:t>
      </w:r>
      <w:r w:rsidRPr="00BE73B9" w:rsidR="00F6682A">
        <w:rPr>
          <w:rFonts w:hint="default"/>
        </w:rPr>
        <w:t xml:space="preserve"> znejú</w:t>
      </w:r>
      <w:r w:rsidRPr="00BE73B9" w:rsidR="00F6682A">
        <w:rPr>
          <w:rFonts w:hint="default"/>
        </w:rPr>
        <w:t>:</w:t>
      </w:r>
    </w:p>
    <w:p w:rsidR="00A80C5F" w:rsidRPr="00BE73B9" w:rsidP="006D2361">
      <w:pPr>
        <w:bidi w:val="0"/>
        <w:jc w:val="both"/>
        <w:rPr>
          <w:rFonts w:hint="default"/>
        </w:rPr>
      </w:pPr>
      <w:r w:rsidRPr="00BE73B9" w:rsidR="00BD69C5">
        <w:tab/>
      </w:r>
      <w:r w:rsidRPr="00BE73B9" w:rsidR="00F6682A">
        <w:rPr>
          <w:rFonts w:hint="default"/>
        </w:rPr>
        <w:t>„</w:t>
      </w:r>
      <w:r w:rsidRPr="00BE73B9">
        <w:rPr>
          <w:rFonts w:hint="default"/>
        </w:rPr>
        <w:t>46)§</w:t>
      </w:r>
      <w:r w:rsidRPr="00BE73B9">
        <w:rPr>
          <w:rFonts w:hint="default"/>
        </w:rPr>
        <w:t xml:space="preserve"> 17 ods. 1 pí</w:t>
      </w:r>
      <w:r w:rsidRPr="00BE73B9">
        <w:rPr>
          <w:rFonts w:hint="default"/>
        </w:rPr>
        <w:t>sm. e) zá</w:t>
      </w:r>
      <w:r w:rsidRPr="00BE73B9">
        <w:rPr>
          <w:rFonts w:hint="default"/>
        </w:rPr>
        <w:t>kona č</w:t>
      </w:r>
      <w:r w:rsidRPr="00BE73B9">
        <w:rPr>
          <w:rFonts w:hint="default"/>
        </w:rPr>
        <w:t xml:space="preserve">. 595/2003 Z. z. </w:t>
      </w:r>
      <w:r w:rsidRPr="00BE73B9">
        <w:rPr>
          <w:rFonts w:hint="default"/>
        </w:rPr>
        <w:t>v </w:t>
      </w:r>
      <w:r w:rsidRPr="00BE73B9">
        <w:rPr>
          <w:rFonts w:hint="default"/>
        </w:rPr>
        <w:t>znení</w:t>
      </w:r>
      <w:r w:rsidRPr="00BE73B9">
        <w:rPr>
          <w:rFonts w:hint="default"/>
        </w:rPr>
        <w:t xml:space="preserve"> zá</w:t>
      </w:r>
      <w:r w:rsidRPr="00BE73B9">
        <w:rPr>
          <w:rFonts w:hint="default"/>
        </w:rPr>
        <w:t>kona č</w:t>
      </w:r>
      <w:r w:rsidRPr="00BE73B9">
        <w:rPr>
          <w:rFonts w:hint="default"/>
        </w:rPr>
        <w:t>. ..../2013 Z. z.</w:t>
      </w:r>
    </w:p>
    <w:p w:rsidR="006D2361" w:rsidRPr="00BE73B9" w:rsidP="006D2361">
      <w:pPr>
        <w:bidi w:val="0"/>
        <w:jc w:val="both"/>
      </w:pPr>
      <w:r w:rsidRPr="00BE73B9" w:rsidR="00A80C5F">
        <w:rPr>
          <w:rFonts w:hint="default"/>
        </w:rPr>
        <w:tab/>
      </w:r>
      <w:r w:rsidRPr="00BE73B9" w:rsidR="00F6682A">
        <w:t>4</w:t>
      </w:r>
      <w:r w:rsidRPr="00BE73B9" w:rsidR="00A80C5F">
        <w:t>7</w:t>
      </w:r>
      <w:r w:rsidRPr="00BE73B9" w:rsidR="00A87BAB">
        <w:t xml:space="preserve">) </w:t>
      </w:r>
      <w:r w:rsidRPr="00BE73B9">
        <w:rPr>
          <w:rFonts w:hint="default"/>
        </w:rPr>
        <w:t>§</w:t>
      </w:r>
      <w:r w:rsidRPr="00BE73B9">
        <w:rPr>
          <w:rFonts w:hint="default"/>
        </w:rPr>
        <w:t xml:space="preserve"> 49 ods. 8 zá</w:t>
      </w:r>
      <w:r w:rsidRPr="00BE73B9">
        <w:rPr>
          <w:rFonts w:hint="default"/>
        </w:rPr>
        <w:t>kona č</w:t>
      </w:r>
      <w:r w:rsidRPr="00BE73B9">
        <w:rPr>
          <w:rFonts w:hint="default"/>
        </w:rPr>
        <w:t>. 595/2003 Z. z. v</w:t>
      </w:r>
      <w:r w:rsidRPr="00BE73B9" w:rsidR="00114965">
        <w:t> </w:t>
      </w:r>
      <w:r w:rsidRPr="00BE73B9">
        <w:rPr>
          <w:rFonts w:hint="default"/>
        </w:rPr>
        <w:t>znení</w:t>
      </w:r>
      <w:r w:rsidRPr="00BE73B9" w:rsidR="00114965">
        <w:rPr>
          <w:rFonts w:hint="default"/>
        </w:rPr>
        <w:t xml:space="preserve"> zá</w:t>
      </w:r>
      <w:r w:rsidRPr="00BE73B9" w:rsidR="00114965">
        <w:rPr>
          <w:rFonts w:hint="default"/>
        </w:rPr>
        <w:t>kona č</w:t>
      </w:r>
      <w:r w:rsidRPr="00BE73B9" w:rsidR="00114965">
        <w:rPr>
          <w:rFonts w:hint="default"/>
        </w:rPr>
        <w:t>......./2013 Z. z.</w:t>
      </w:r>
    </w:p>
    <w:p w:rsidR="006D2361" w:rsidRPr="00BE73B9" w:rsidP="006D2361">
      <w:pPr>
        <w:bidi w:val="0"/>
        <w:jc w:val="both"/>
      </w:pPr>
      <w:r w:rsidRPr="00BE73B9" w:rsidR="00BD69C5">
        <w:tab/>
      </w:r>
      <w:r w:rsidRPr="00BE73B9" w:rsidR="00F6682A">
        <w:t>4</w:t>
      </w:r>
      <w:r w:rsidRPr="00BE73B9" w:rsidR="00A80C5F">
        <w:t>8</w:t>
      </w:r>
      <w:r w:rsidRPr="00BE73B9" w:rsidR="00F6682A">
        <w:t>)</w:t>
      </w:r>
      <w:r w:rsidRPr="00BE73B9">
        <w:rPr>
          <w:rFonts w:hint="default"/>
        </w:rPr>
        <w:t xml:space="preserve"> §</w:t>
      </w:r>
      <w:r w:rsidRPr="00BE73B9">
        <w:rPr>
          <w:rFonts w:hint="default"/>
        </w:rPr>
        <w:t xml:space="preserve"> 16 ods. 2 zá</w:t>
      </w:r>
      <w:r w:rsidRPr="00BE73B9">
        <w:rPr>
          <w:rFonts w:hint="default"/>
        </w:rPr>
        <w:t xml:space="preserve">kona </w:t>
      </w:r>
      <w:r w:rsidRPr="00BE73B9" w:rsidR="00F6682A">
        <w:rPr>
          <w:rFonts w:hint="default"/>
        </w:rPr>
        <w:t>č</w:t>
      </w:r>
      <w:r w:rsidRPr="00BE73B9" w:rsidR="00F6682A">
        <w:rPr>
          <w:rFonts w:hint="default"/>
        </w:rPr>
        <w:t>. 595/2003 Z. z. v </w:t>
      </w:r>
      <w:r w:rsidRPr="00BE73B9" w:rsidR="00F6682A">
        <w:rPr>
          <w:rFonts w:hint="default"/>
        </w:rPr>
        <w:t>znení</w:t>
      </w:r>
      <w:r w:rsidRPr="00BE73B9" w:rsidR="00F6682A">
        <w:rPr>
          <w:rFonts w:hint="default"/>
        </w:rPr>
        <w:t xml:space="preserve"> </w:t>
      </w:r>
      <w:r w:rsidRPr="00BE73B9" w:rsidR="00114965">
        <w:rPr>
          <w:rFonts w:hint="default"/>
        </w:rPr>
        <w:t>zá</w:t>
      </w:r>
      <w:r w:rsidRPr="00BE73B9" w:rsidR="00114965">
        <w:rPr>
          <w:rFonts w:hint="default"/>
        </w:rPr>
        <w:t>kona č</w:t>
      </w:r>
      <w:r w:rsidRPr="00BE73B9" w:rsidR="00114965">
        <w:rPr>
          <w:rFonts w:hint="default"/>
        </w:rPr>
        <w:t>. ....../2013 Z. z.“.</w:t>
      </w:r>
    </w:p>
    <w:p w:rsidR="00696053" w:rsidRPr="00BE73B9" w:rsidP="007F56A3">
      <w:pPr>
        <w:bidi w:val="0"/>
        <w:ind w:left="502"/>
        <w:jc w:val="both"/>
      </w:pPr>
    </w:p>
    <w:p w:rsidR="00BD69C5" w:rsidRPr="00BE73B9" w:rsidP="00BD69C5">
      <w:pPr>
        <w:numPr>
          <w:numId w:val="1"/>
        </w:numPr>
        <w:bidi w:val="0"/>
        <w:jc w:val="both"/>
        <w:rPr>
          <w:rFonts w:hint="default"/>
        </w:rPr>
      </w:pPr>
      <w:r w:rsidRPr="00BE73B9">
        <w:rPr>
          <w:rFonts w:hint="default"/>
        </w:rPr>
        <w:t>§</w:t>
      </w:r>
      <w:r w:rsidRPr="00BE73B9">
        <w:rPr>
          <w:rFonts w:hint="default"/>
        </w:rPr>
        <w:t xml:space="preserve"> 86 sa dopĺň</w:t>
      </w:r>
      <w:r w:rsidRPr="00BE73B9">
        <w:rPr>
          <w:rFonts w:hint="default"/>
        </w:rPr>
        <w:t>a §</w:t>
      </w:r>
      <w:r w:rsidRPr="00BE73B9">
        <w:rPr>
          <w:rFonts w:hint="default"/>
        </w:rPr>
        <w:t xml:space="preserve"> 86j, ktorý</w:t>
      </w:r>
      <w:r w:rsidRPr="00BE73B9">
        <w:rPr>
          <w:rFonts w:hint="default"/>
        </w:rPr>
        <w:t xml:space="preserve"> vrá</w:t>
      </w:r>
      <w:r w:rsidRPr="00BE73B9">
        <w:rPr>
          <w:rFonts w:hint="default"/>
        </w:rPr>
        <w:t>tane nadpisu znie:</w:t>
      </w:r>
    </w:p>
    <w:p w:rsidR="00BD69C5" w:rsidRPr="00BE73B9" w:rsidP="00BD69C5">
      <w:pPr>
        <w:bidi w:val="0"/>
        <w:ind w:left="502"/>
        <w:jc w:val="both"/>
      </w:pPr>
    </w:p>
    <w:p w:rsidR="00BD69C5" w:rsidRPr="00BE73B9" w:rsidP="00BD69C5">
      <w:pPr>
        <w:bidi w:val="0"/>
        <w:ind w:left="502"/>
        <w:jc w:val="both"/>
        <w:rPr>
          <w:rFonts w:hint="default"/>
          <w:b/>
        </w:rPr>
      </w:pPr>
      <w:r w:rsidRPr="00BE73B9">
        <w:tab/>
        <w:tab/>
        <w:tab/>
        <w:tab/>
        <w:tab/>
      </w:r>
      <w:r w:rsidRPr="00BE73B9">
        <w:rPr>
          <w:rFonts w:hint="default"/>
          <w:b/>
        </w:rPr>
        <w:t>„</w:t>
      </w:r>
      <w:r w:rsidRPr="00BE73B9">
        <w:rPr>
          <w:rFonts w:hint="default"/>
          <w:b/>
        </w:rPr>
        <w:t>86j</w:t>
      </w:r>
    </w:p>
    <w:p w:rsidR="00BD69C5" w:rsidRPr="00BE73B9" w:rsidP="00BD69C5">
      <w:pPr>
        <w:bidi w:val="0"/>
        <w:ind w:left="502"/>
        <w:jc w:val="center"/>
        <w:rPr>
          <w:rFonts w:hint="default"/>
          <w:b/>
        </w:rPr>
      </w:pPr>
      <w:r w:rsidRPr="00BE73B9">
        <w:rPr>
          <w:rFonts w:hint="default"/>
          <w:b/>
        </w:rPr>
        <w:t>Prechodné</w:t>
      </w:r>
      <w:r w:rsidRPr="00BE73B9">
        <w:rPr>
          <w:rFonts w:hint="default"/>
          <w:b/>
        </w:rPr>
        <w:t xml:space="preserve"> ustanovenia k </w:t>
      </w:r>
      <w:r w:rsidRPr="00BE73B9">
        <w:rPr>
          <w:rFonts w:hint="default"/>
          <w:b/>
        </w:rPr>
        <w:t>ú</w:t>
      </w:r>
      <w:r w:rsidRPr="00BE73B9">
        <w:rPr>
          <w:rFonts w:hint="default"/>
          <w:b/>
        </w:rPr>
        <w:t>pravá</w:t>
      </w:r>
      <w:r w:rsidRPr="00BE73B9">
        <w:rPr>
          <w:rFonts w:hint="default"/>
          <w:b/>
        </w:rPr>
        <w:t>m úč</w:t>
      </w:r>
      <w:r w:rsidRPr="00BE73B9">
        <w:rPr>
          <w:rFonts w:hint="default"/>
          <w:b/>
        </w:rPr>
        <w:t>inný</w:t>
      </w:r>
      <w:r w:rsidRPr="00BE73B9">
        <w:rPr>
          <w:rFonts w:hint="default"/>
          <w:b/>
        </w:rPr>
        <w:t>m od 1. januá</w:t>
      </w:r>
      <w:r w:rsidRPr="00BE73B9">
        <w:rPr>
          <w:rFonts w:hint="default"/>
          <w:b/>
        </w:rPr>
        <w:t>ra 2014</w:t>
      </w:r>
    </w:p>
    <w:p w:rsidR="00BD69C5" w:rsidRPr="00BE73B9" w:rsidP="00BD69C5">
      <w:pPr>
        <w:bidi w:val="0"/>
        <w:ind w:left="502"/>
        <w:jc w:val="both"/>
      </w:pPr>
      <w:r w:rsidRPr="00BE73B9">
        <w:tab/>
        <w:tab/>
        <w:tab/>
        <w:tab/>
        <w:tab/>
      </w:r>
    </w:p>
    <w:p w:rsidR="00BD69C5" w:rsidRPr="00BE73B9" w:rsidP="00A27410">
      <w:pPr>
        <w:tabs>
          <w:tab w:val="left" w:pos="4395"/>
        </w:tabs>
        <w:bidi w:val="0"/>
        <w:jc w:val="both"/>
      </w:pPr>
      <w:r w:rsidRPr="00BE73B9" w:rsidR="0037453C">
        <w:rPr>
          <w:rFonts w:hint="default"/>
        </w:rPr>
        <w:t>Mikro úč</w:t>
      </w:r>
      <w:r w:rsidRPr="00BE73B9" w:rsidR="0037453C">
        <w:rPr>
          <w:rFonts w:hint="default"/>
        </w:rPr>
        <w:t>tovná</w:t>
      </w:r>
      <w:r w:rsidRPr="00BE73B9" w:rsidR="0037453C">
        <w:rPr>
          <w:rFonts w:hint="default"/>
        </w:rPr>
        <w:t xml:space="preserve"> jednotka k </w:t>
      </w:r>
      <w:r w:rsidRPr="00BE73B9" w:rsidR="0037453C">
        <w:rPr>
          <w:rFonts w:hint="default"/>
        </w:rPr>
        <w:t>januá</w:t>
      </w:r>
      <w:r w:rsidRPr="00BE73B9" w:rsidR="0037453C">
        <w:rPr>
          <w:rFonts w:hint="default"/>
        </w:rPr>
        <w:t>ru 2014 zostatok úč</w:t>
      </w:r>
      <w:r w:rsidRPr="00BE73B9" w:rsidR="0037453C">
        <w:rPr>
          <w:rFonts w:hint="default"/>
        </w:rPr>
        <w:t xml:space="preserve">tu 414 </w:t>
      </w:r>
      <w:r w:rsidRPr="00BE73B9" w:rsidR="0037453C">
        <w:rPr>
          <w:rFonts w:hint="default"/>
        </w:rPr>
        <w:t>–</w:t>
      </w:r>
      <w:r w:rsidRPr="00BE73B9" w:rsidR="0037453C">
        <w:rPr>
          <w:rFonts w:hint="default"/>
        </w:rPr>
        <w:t xml:space="preserve"> Oceň</w:t>
      </w:r>
      <w:r w:rsidRPr="00BE73B9" w:rsidR="0037453C">
        <w:rPr>
          <w:rFonts w:hint="default"/>
        </w:rPr>
        <w:t>ovacie rozdiely z precenenia majetku a </w:t>
      </w:r>
      <w:r w:rsidRPr="00BE73B9" w:rsidR="0037453C">
        <w:rPr>
          <w:rFonts w:hint="default"/>
        </w:rPr>
        <w:t>zá</w:t>
      </w:r>
      <w:r w:rsidRPr="00BE73B9" w:rsidR="0037453C">
        <w:rPr>
          <w:rFonts w:hint="default"/>
        </w:rPr>
        <w:t>vä</w:t>
      </w:r>
      <w:r w:rsidRPr="00BE73B9" w:rsidR="0037453C">
        <w:rPr>
          <w:rFonts w:hint="default"/>
        </w:rPr>
        <w:t>zkov úč</w:t>
      </w:r>
      <w:r w:rsidRPr="00BE73B9" w:rsidR="0037453C">
        <w:rPr>
          <w:rFonts w:hint="default"/>
        </w:rPr>
        <w:t>tovaný</w:t>
      </w:r>
      <w:r w:rsidRPr="00BE73B9" w:rsidR="0037453C">
        <w:rPr>
          <w:rFonts w:hint="default"/>
        </w:rPr>
        <w:t xml:space="preserve"> podľ</w:t>
      </w:r>
      <w:r w:rsidRPr="00BE73B9" w:rsidR="0037453C">
        <w:rPr>
          <w:rFonts w:hint="default"/>
        </w:rPr>
        <w:t>a §</w:t>
      </w:r>
      <w:r w:rsidRPr="00BE73B9" w:rsidR="0037453C">
        <w:rPr>
          <w:rFonts w:hint="default"/>
        </w:rPr>
        <w:t xml:space="preserve"> 14 a §</w:t>
      </w:r>
      <w:r w:rsidRPr="00BE73B9" w:rsidR="0037453C">
        <w:rPr>
          <w:rFonts w:hint="default"/>
        </w:rPr>
        <w:t xml:space="preserve"> 16 sa zaúč</w:t>
      </w:r>
      <w:r w:rsidRPr="00BE73B9" w:rsidR="0037453C">
        <w:rPr>
          <w:rFonts w:hint="default"/>
        </w:rPr>
        <w:t>tuje opač</w:t>
      </w:r>
      <w:r w:rsidRPr="00BE73B9" w:rsidR="0037453C">
        <w:rPr>
          <w:rFonts w:hint="default"/>
        </w:rPr>
        <w:t>ný</w:t>
      </w:r>
      <w:r w:rsidRPr="00BE73B9" w:rsidR="0037453C">
        <w:rPr>
          <w:rFonts w:hint="default"/>
        </w:rPr>
        <w:t>m úč</w:t>
      </w:r>
      <w:r w:rsidRPr="00BE73B9" w:rsidR="0037453C">
        <w:rPr>
          <w:rFonts w:hint="default"/>
        </w:rPr>
        <w:t>tovný</w:t>
      </w:r>
      <w:r w:rsidRPr="00BE73B9" w:rsidR="0037453C">
        <w:rPr>
          <w:rFonts w:hint="default"/>
        </w:rPr>
        <w:t>m zá</w:t>
      </w:r>
      <w:r w:rsidRPr="00BE73B9" w:rsidR="0037453C">
        <w:rPr>
          <w:rFonts w:hint="default"/>
        </w:rPr>
        <w:t>pisom ako jeho tvorba.</w:t>
      </w:r>
    </w:p>
    <w:p w:rsidR="0037453C" w:rsidRPr="00BE73B9" w:rsidP="00BD69C5">
      <w:pPr>
        <w:pStyle w:val="ListParagraph"/>
        <w:numPr>
          <w:numId w:val="16"/>
        </w:numPr>
        <w:tabs>
          <w:tab w:val="left" w:pos="4395"/>
        </w:tabs>
        <w:bidi w:val="0"/>
        <w:jc w:val="both"/>
      </w:pPr>
      <w:r w:rsidRPr="00BE73B9">
        <w:rPr>
          <w:rFonts w:hint="default"/>
        </w:rPr>
        <w:t>Mikro úč</w:t>
      </w:r>
      <w:r w:rsidRPr="00BE73B9">
        <w:rPr>
          <w:rFonts w:hint="default"/>
        </w:rPr>
        <w:t>tovná</w:t>
      </w:r>
      <w:r w:rsidRPr="00BE73B9">
        <w:rPr>
          <w:rFonts w:hint="default"/>
        </w:rPr>
        <w:t xml:space="preserve"> jednotka k </w:t>
      </w:r>
      <w:r w:rsidRPr="00BE73B9">
        <w:rPr>
          <w:rFonts w:hint="default"/>
        </w:rPr>
        <w:t>1. januá</w:t>
      </w:r>
      <w:r w:rsidRPr="00BE73B9">
        <w:rPr>
          <w:rFonts w:hint="default"/>
        </w:rPr>
        <w:t>ru 2014 cenné</w:t>
      </w:r>
      <w:r w:rsidRPr="00BE73B9">
        <w:rPr>
          <w:rFonts w:hint="default"/>
        </w:rPr>
        <w:t xml:space="preserve"> papiere a </w:t>
      </w:r>
      <w:r w:rsidRPr="00BE73B9">
        <w:rPr>
          <w:rFonts w:hint="default"/>
        </w:rPr>
        <w:t>derivá</w:t>
      </w:r>
      <w:r w:rsidRPr="00BE73B9">
        <w:rPr>
          <w:rFonts w:hint="default"/>
        </w:rPr>
        <w:t>ty ocenené</w:t>
      </w:r>
      <w:r w:rsidRPr="00BE73B9">
        <w:rPr>
          <w:rFonts w:hint="default"/>
        </w:rPr>
        <w:t xml:space="preserve"> reá</w:t>
      </w:r>
      <w:r w:rsidRPr="00BE73B9">
        <w:rPr>
          <w:rFonts w:hint="default"/>
        </w:rPr>
        <w:t>lnou hodnotou, ku ktorý</w:t>
      </w:r>
      <w:r w:rsidRPr="00BE73B9">
        <w:rPr>
          <w:rFonts w:hint="default"/>
        </w:rPr>
        <w:t>m sa zmena reá</w:t>
      </w:r>
      <w:r w:rsidRPr="00BE73B9">
        <w:rPr>
          <w:rFonts w:hint="default"/>
        </w:rPr>
        <w:t>lnej hodnoty úč</w:t>
      </w:r>
      <w:r w:rsidRPr="00BE73B9">
        <w:rPr>
          <w:rFonts w:hint="default"/>
        </w:rPr>
        <w:t xml:space="preserve">tovala do </w:t>
      </w:r>
      <w:r w:rsidRPr="00BE73B9" w:rsidR="00A07213">
        <w:rPr>
          <w:rFonts w:hint="default"/>
        </w:rPr>
        <w:t>ná</w:t>
      </w:r>
      <w:r w:rsidRPr="00BE73B9" w:rsidR="00A07213">
        <w:rPr>
          <w:rFonts w:hint="default"/>
        </w:rPr>
        <w:t>kladov alebo vý</w:t>
      </w:r>
      <w:r w:rsidRPr="00BE73B9" w:rsidR="00A07213">
        <w:rPr>
          <w:rFonts w:hint="default"/>
        </w:rPr>
        <w:t>nosov, úč</w:t>
      </w:r>
      <w:r w:rsidRPr="00BE73B9" w:rsidR="00A07213">
        <w:rPr>
          <w:rFonts w:hint="default"/>
        </w:rPr>
        <w:t>tuje zruš</w:t>
      </w:r>
      <w:r w:rsidRPr="00BE73B9" w:rsidR="00A07213">
        <w:rPr>
          <w:rFonts w:hint="default"/>
        </w:rPr>
        <w:t>enie ocenenia reá</w:t>
      </w:r>
      <w:r w:rsidRPr="00BE73B9" w:rsidR="00A07213">
        <w:rPr>
          <w:rFonts w:hint="default"/>
        </w:rPr>
        <w:t>lnej hodnoty na obstará</w:t>
      </w:r>
      <w:r w:rsidRPr="00BE73B9" w:rsidR="00A07213">
        <w:rPr>
          <w:rFonts w:hint="default"/>
        </w:rPr>
        <w:t>vaciu cenu v </w:t>
      </w:r>
      <w:r w:rsidRPr="00BE73B9" w:rsidR="00A07213">
        <w:rPr>
          <w:rFonts w:hint="default"/>
        </w:rPr>
        <w:t>sume zmeny reá</w:t>
      </w:r>
      <w:r w:rsidRPr="00BE73B9" w:rsidR="00A07213">
        <w:rPr>
          <w:rFonts w:hint="default"/>
        </w:rPr>
        <w:t>lnej hodnoty na</w:t>
      </w:r>
      <w:r w:rsidRPr="00BE73B9" w:rsidR="00A07213">
        <w:rPr>
          <w:rFonts w:hint="default"/>
        </w:rPr>
        <w:t xml:space="preserve"> vecne prí</w:t>
      </w:r>
      <w:r w:rsidRPr="00BE73B9" w:rsidR="00A07213">
        <w:rPr>
          <w:rFonts w:hint="default"/>
        </w:rPr>
        <w:t>sluš</w:t>
      </w:r>
      <w:r w:rsidRPr="00BE73B9" w:rsidR="00A07213">
        <w:rPr>
          <w:rFonts w:hint="default"/>
        </w:rPr>
        <w:t>ný</w:t>
      </w:r>
      <w:r w:rsidRPr="00BE73B9" w:rsidR="00A07213">
        <w:rPr>
          <w:rFonts w:hint="default"/>
        </w:rPr>
        <w:t xml:space="preserve"> úč</w:t>
      </w:r>
      <w:r w:rsidRPr="00BE73B9" w:rsidR="00A07213">
        <w:rPr>
          <w:rFonts w:hint="default"/>
        </w:rPr>
        <w:t>et majetku alebo zá</w:t>
      </w:r>
      <w:r w:rsidRPr="00BE73B9" w:rsidR="00A07213">
        <w:rPr>
          <w:rFonts w:hint="default"/>
        </w:rPr>
        <w:t>vä</w:t>
      </w:r>
      <w:r w:rsidRPr="00BE73B9" w:rsidR="00A07213">
        <w:rPr>
          <w:rFonts w:hint="default"/>
        </w:rPr>
        <w:t>zku so sú</w:t>
      </w:r>
      <w:r w:rsidRPr="00BE73B9" w:rsidR="00A07213">
        <w:rPr>
          <w:rFonts w:hint="default"/>
        </w:rPr>
        <w:t>vzť</w:t>
      </w:r>
      <w:r w:rsidRPr="00BE73B9" w:rsidR="00A07213">
        <w:rPr>
          <w:rFonts w:hint="default"/>
        </w:rPr>
        <w:t>až</w:t>
      </w:r>
      <w:r w:rsidRPr="00BE73B9" w:rsidR="00A07213">
        <w:rPr>
          <w:rFonts w:hint="default"/>
        </w:rPr>
        <w:t>ný</w:t>
      </w:r>
      <w:r w:rsidRPr="00BE73B9" w:rsidR="00A07213">
        <w:rPr>
          <w:rFonts w:hint="default"/>
        </w:rPr>
        <w:t>m zá</w:t>
      </w:r>
      <w:r w:rsidRPr="00BE73B9" w:rsidR="00A07213">
        <w:rPr>
          <w:rFonts w:hint="default"/>
        </w:rPr>
        <w:t>pisom na úč</w:t>
      </w:r>
      <w:r w:rsidRPr="00BE73B9" w:rsidR="00A07213">
        <w:rPr>
          <w:rFonts w:hint="default"/>
        </w:rPr>
        <w:t xml:space="preserve">et 428 </w:t>
      </w:r>
      <w:r w:rsidRPr="00BE73B9" w:rsidR="00A07213">
        <w:rPr>
          <w:rFonts w:hint="default"/>
        </w:rPr>
        <w:t>–</w:t>
      </w:r>
      <w:r w:rsidRPr="00BE73B9" w:rsidR="00A07213">
        <w:rPr>
          <w:rFonts w:hint="default"/>
        </w:rPr>
        <w:t xml:space="preserve"> Nerozdelený</w:t>
      </w:r>
      <w:r w:rsidRPr="00BE73B9" w:rsidR="00A07213">
        <w:rPr>
          <w:rFonts w:hint="default"/>
        </w:rPr>
        <w:t xml:space="preserve"> zisk minulý</w:t>
      </w:r>
      <w:r w:rsidRPr="00BE73B9" w:rsidR="00A07213">
        <w:rPr>
          <w:rFonts w:hint="default"/>
        </w:rPr>
        <w:t>ch rokov.“.</w:t>
      </w:r>
    </w:p>
    <w:p w:rsidR="00A07213" w:rsidRPr="00BE73B9" w:rsidP="00A07213">
      <w:pPr>
        <w:pStyle w:val="ListParagraph"/>
        <w:tabs>
          <w:tab w:val="left" w:pos="4395"/>
        </w:tabs>
        <w:bidi w:val="0"/>
        <w:ind w:left="360"/>
        <w:jc w:val="both"/>
      </w:pPr>
    </w:p>
    <w:p w:rsidR="00A07213" w:rsidP="00A07213">
      <w:pPr>
        <w:pStyle w:val="ListParagraph"/>
        <w:tabs>
          <w:tab w:val="left" w:pos="4395"/>
        </w:tabs>
        <w:bidi w:val="0"/>
        <w:ind w:left="360"/>
        <w:jc w:val="both"/>
      </w:pPr>
    </w:p>
    <w:p w:rsidR="00A27410" w:rsidP="00A07213">
      <w:pPr>
        <w:pStyle w:val="ListParagraph"/>
        <w:tabs>
          <w:tab w:val="left" w:pos="4395"/>
        </w:tabs>
        <w:bidi w:val="0"/>
        <w:ind w:left="360"/>
        <w:jc w:val="both"/>
      </w:pPr>
    </w:p>
    <w:p w:rsidR="00A27410" w:rsidP="00A07213">
      <w:pPr>
        <w:pStyle w:val="ListParagraph"/>
        <w:tabs>
          <w:tab w:val="left" w:pos="4395"/>
        </w:tabs>
        <w:bidi w:val="0"/>
        <w:ind w:left="360"/>
        <w:jc w:val="both"/>
      </w:pPr>
    </w:p>
    <w:p w:rsidR="00A27410" w:rsidRPr="00BE73B9" w:rsidP="00A07213">
      <w:pPr>
        <w:pStyle w:val="ListParagraph"/>
        <w:tabs>
          <w:tab w:val="left" w:pos="4395"/>
        </w:tabs>
        <w:bidi w:val="0"/>
        <w:ind w:left="360"/>
        <w:jc w:val="both"/>
      </w:pPr>
    </w:p>
    <w:p w:rsidR="00E05D62" w:rsidRPr="007442F5" w:rsidP="00BD69C5">
      <w:pPr>
        <w:bidi w:val="0"/>
        <w:ind w:left="502"/>
        <w:jc w:val="both"/>
        <w:rPr>
          <w:rFonts w:hint="default"/>
          <w:b/>
        </w:rPr>
      </w:pPr>
      <w:r w:rsidRPr="00BE73B9" w:rsidR="007E55BF">
        <w:tab/>
        <w:tab/>
        <w:tab/>
        <w:tab/>
        <w:tab/>
        <w:tab/>
      </w:r>
      <w:r w:rsidRPr="007442F5">
        <w:rPr>
          <w:rFonts w:hint="default"/>
          <w:b/>
        </w:rPr>
        <w:t>Č</w:t>
      </w:r>
      <w:r w:rsidRPr="007442F5">
        <w:rPr>
          <w:rFonts w:hint="default"/>
          <w:b/>
        </w:rPr>
        <w:t>l. II</w:t>
      </w:r>
    </w:p>
    <w:p w:rsidR="00E05D62" w:rsidRPr="00BE73B9">
      <w:pPr>
        <w:bidi w:val="0"/>
      </w:pPr>
    </w:p>
    <w:p w:rsidR="00E05D62" w:rsidRPr="00BE73B9">
      <w:pPr>
        <w:bidi w:val="0"/>
        <w:ind w:firstLine="708"/>
      </w:pPr>
      <w:r w:rsidRPr="00BE73B9">
        <w:rPr>
          <w:rFonts w:hint="default"/>
        </w:rPr>
        <w:t>Toto opatrenie nadobú</w:t>
      </w:r>
      <w:r w:rsidRPr="00BE73B9">
        <w:rPr>
          <w:rFonts w:hint="default"/>
        </w:rPr>
        <w:t>da úč</w:t>
      </w:r>
      <w:r w:rsidRPr="00BE73B9">
        <w:rPr>
          <w:rFonts w:hint="default"/>
        </w:rPr>
        <w:t>innosť</w:t>
      </w:r>
      <w:r w:rsidRPr="00BE73B9">
        <w:rPr>
          <w:rFonts w:hint="default"/>
        </w:rPr>
        <w:t xml:space="preserve"> </w:t>
      </w:r>
      <w:r w:rsidRPr="00BE73B9" w:rsidR="008C28E4">
        <w:rPr>
          <w:rFonts w:hint="default"/>
        </w:rPr>
        <w:t>1. januá</w:t>
      </w:r>
      <w:r w:rsidRPr="00BE73B9" w:rsidR="008C28E4">
        <w:rPr>
          <w:rFonts w:hint="default"/>
        </w:rPr>
        <w:t>ra 2014.</w:t>
      </w: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>
      <w:pPr>
        <w:bidi w:val="0"/>
        <w:rPr>
          <w:b/>
          <w:bCs/>
        </w:rPr>
      </w:pPr>
    </w:p>
    <w:p w:rsidR="00E05D62" w:rsidRPr="00BE73B9">
      <w:pPr>
        <w:bidi w:val="0"/>
      </w:pPr>
    </w:p>
    <w:p w:rsidR="00E05D62" w:rsidRPr="00BE73B9">
      <w:pPr>
        <w:bidi w:val="0"/>
      </w:pPr>
    </w:p>
    <w:p w:rsidR="00E05D62" w:rsidRPr="00BE73B9" w:rsidP="000934BB">
      <w:pPr>
        <w:bidi w:val="0"/>
      </w:pPr>
      <w:r w:rsidRPr="00BE73B9">
        <w:tab/>
        <w:tab/>
        <w:tab/>
        <w:tab/>
        <w:tab/>
        <w:tab/>
        <w:tab/>
        <w:tab/>
      </w:r>
      <w:r w:rsidRPr="00BE73B9" w:rsidR="000934BB">
        <w:rPr>
          <w:rFonts w:hint="default"/>
        </w:rPr>
        <w:t>Peter Kaž</w:t>
      </w:r>
      <w:r w:rsidRPr="00BE73B9" w:rsidR="000934BB">
        <w:rPr>
          <w:rFonts w:hint="default"/>
        </w:rPr>
        <w:t>imí</w:t>
      </w:r>
      <w:r w:rsidRPr="00BE73B9" w:rsidR="000934BB">
        <w:rPr>
          <w:rFonts w:hint="default"/>
        </w:rPr>
        <w:t>r</w:t>
      </w:r>
    </w:p>
    <w:p w:rsidR="000934BB" w:rsidRPr="00BE73B9" w:rsidP="000934BB">
      <w:pPr>
        <w:bidi w:val="0"/>
        <w:rPr>
          <w:b/>
          <w:bCs/>
        </w:rPr>
      </w:pPr>
      <w:r w:rsidRPr="00BE73B9">
        <w:tab/>
        <w:tab/>
        <w:tab/>
        <w:tab/>
        <w:tab/>
        <w:tab/>
        <w:tab/>
      </w:r>
      <w:r w:rsidRPr="00BE73B9">
        <w:rPr>
          <w:rFonts w:hint="default"/>
        </w:rPr>
        <w:t>podpredseda vlá</w:t>
      </w:r>
      <w:r w:rsidRPr="00BE73B9">
        <w:rPr>
          <w:rFonts w:hint="default"/>
        </w:rPr>
        <w:t xml:space="preserve">dy a minister </w:t>
      </w:r>
      <w:r w:rsidRPr="00BE73B9">
        <w:rPr>
          <w:rFonts w:hint="default"/>
        </w:rPr>
        <w:t>financií</w:t>
      </w:r>
    </w:p>
    <w:p w:rsidR="00E05D62" w:rsidRPr="00BE73B9">
      <w:pPr>
        <w:bidi w:val="0"/>
        <w:ind w:left="720"/>
        <w:rPr>
          <w:b/>
          <w:bCs/>
        </w:rPr>
      </w:pPr>
      <w:r w:rsidRPr="00BE73B9">
        <w:t xml:space="preserve"> </w:t>
      </w:r>
    </w:p>
    <w:sectPr w:rsidSect="00FF05F2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9D">
    <w:pPr>
      <w:pStyle w:val="Footer"/>
      <w:bidi w:val="0"/>
      <w:jc w:val="right"/>
    </w:pPr>
    <w:r w:rsidR="00E97D33">
      <w:fldChar w:fldCharType="begin"/>
    </w:r>
    <w:r w:rsidR="00E97D33">
      <w:instrText xml:space="preserve"> PAGE   \* MERGEFORMAT </w:instrText>
    </w:r>
    <w:r w:rsidR="00E97D33">
      <w:fldChar w:fldCharType="separate"/>
    </w:r>
    <w:r w:rsidR="007D484B">
      <w:rPr>
        <w:noProof/>
      </w:rPr>
      <w:t>1</w:t>
    </w:r>
    <w:r w:rsidR="00E97D33">
      <w:fldChar w:fldCharType="end"/>
    </w:r>
  </w:p>
  <w:p w:rsidR="00E05D62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1CC"/>
    <w:multiLevelType w:val="hybridMultilevel"/>
    <w:tmpl w:val="F18E83D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6465894"/>
    <w:multiLevelType w:val="hybridMultilevel"/>
    <w:tmpl w:val="C818E0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4"/>
      <w:numFmt w:val="decimal"/>
      <w:lvlText w:val="(%2)"/>
      <w:lvlJc w:val="left"/>
      <w:pPr>
        <w:tabs>
          <w:tab w:val="num" w:pos="1762"/>
        </w:tabs>
        <w:ind w:left="1762" w:hanging="54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0BF316BD"/>
    <w:multiLevelType w:val="hybridMultilevel"/>
    <w:tmpl w:val="E580DCF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3F4E42"/>
    <w:multiLevelType w:val="hybridMultilevel"/>
    <w:tmpl w:val="19E47F88"/>
    <w:lvl w:ilvl="0">
      <w:start w:val="1"/>
      <w:numFmt w:val="lowerLetter"/>
      <w:lvlText w:val="%1)"/>
      <w:lvlJc w:val="left"/>
      <w:pPr>
        <w:ind w:left="1423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14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3" w:hanging="180"/>
      </w:pPr>
      <w:rPr>
        <w:rFonts w:cs="Times New Roman"/>
        <w:rtl w:val="0"/>
        <w:cs w:val="0"/>
      </w:rPr>
    </w:lvl>
  </w:abstractNum>
  <w:abstractNum w:abstractNumId="4">
    <w:nsid w:val="1A3A489B"/>
    <w:multiLevelType w:val="hybridMultilevel"/>
    <w:tmpl w:val="41AA6F0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D9B77F1"/>
    <w:multiLevelType w:val="hybridMultilevel"/>
    <w:tmpl w:val="3D962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1F937A7E"/>
    <w:multiLevelType w:val="hybridMultilevel"/>
    <w:tmpl w:val="94E45326"/>
    <w:lvl w:ilvl="0">
      <w:start w:val="8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14E79"/>
    <w:multiLevelType w:val="hybridMultilevel"/>
    <w:tmpl w:val="22A80B6E"/>
    <w:lvl w:ilvl="0">
      <w:start w:val="31"/>
      <w:numFmt w:val="decimal"/>
      <w:lvlText w:val="(%1)"/>
      <w:lvlJc w:val="left"/>
      <w:pPr>
        <w:ind w:left="8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8">
    <w:nsid w:val="32104EE0"/>
    <w:multiLevelType w:val="hybridMultilevel"/>
    <w:tmpl w:val="F79258C6"/>
    <w:lvl w:ilvl="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45BC0796"/>
    <w:multiLevelType w:val="hybridMultilevel"/>
    <w:tmpl w:val="5120D1B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9D40065"/>
    <w:multiLevelType w:val="hybridMultilevel"/>
    <w:tmpl w:val="A6B85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51B00188"/>
    <w:multiLevelType w:val="hybridMultilevel"/>
    <w:tmpl w:val="FCA04F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5B6C1519"/>
    <w:multiLevelType w:val="hybridMultilevel"/>
    <w:tmpl w:val="334A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5F602A2D"/>
    <w:multiLevelType w:val="hybridMultilevel"/>
    <w:tmpl w:val="66C873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84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 Narrow" w:eastAsia="Times New Roman" w:hAnsi="Arial Narrow" w:hint="default"/>
      </w:r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6DF21E2C"/>
    <w:multiLevelType w:val="hybridMultilevel"/>
    <w:tmpl w:val="6C44D9E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76C83295"/>
    <w:multiLevelType w:val="hybridMultilevel"/>
    <w:tmpl w:val="7278E5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4"/>
  </w:num>
  <w:num w:numId="11">
    <w:abstractNumId w:val="0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A76B7E"/>
    <w:rsid w:val="00003614"/>
    <w:rsid w:val="00017631"/>
    <w:rsid w:val="00023D02"/>
    <w:rsid w:val="00026FAA"/>
    <w:rsid w:val="00066A7F"/>
    <w:rsid w:val="000802CF"/>
    <w:rsid w:val="000934BB"/>
    <w:rsid w:val="000A1DAF"/>
    <w:rsid w:val="000D1B75"/>
    <w:rsid w:val="00106D52"/>
    <w:rsid w:val="00114965"/>
    <w:rsid w:val="00144F6A"/>
    <w:rsid w:val="00146457"/>
    <w:rsid w:val="00164A75"/>
    <w:rsid w:val="001A7014"/>
    <w:rsid w:val="001B504B"/>
    <w:rsid w:val="001D0F4E"/>
    <w:rsid w:val="0024220F"/>
    <w:rsid w:val="00245EB8"/>
    <w:rsid w:val="002A046A"/>
    <w:rsid w:val="002D379B"/>
    <w:rsid w:val="003216F7"/>
    <w:rsid w:val="003439C6"/>
    <w:rsid w:val="00345050"/>
    <w:rsid w:val="00351841"/>
    <w:rsid w:val="0037453C"/>
    <w:rsid w:val="003827BB"/>
    <w:rsid w:val="003E4A95"/>
    <w:rsid w:val="003F6210"/>
    <w:rsid w:val="00493D79"/>
    <w:rsid w:val="004B7155"/>
    <w:rsid w:val="004B7829"/>
    <w:rsid w:val="004C4921"/>
    <w:rsid w:val="0055622C"/>
    <w:rsid w:val="005607CA"/>
    <w:rsid w:val="0057347A"/>
    <w:rsid w:val="00583B16"/>
    <w:rsid w:val="005C6AB5"/>
    <w:rsid w:val="006376B1"/>
    <w:rsid w:val="006406F3"/>
    <w:rsid w:val="006718B9"/>
    <w:rsid w:val="006800D9"/>
    <w:rsid w:val="0068339D"/>
    <w:rsid w:val="0069425A"/>
    <w:rsid w:val="00696053"/>
    <w:rsid w:val="006963CB"/>
    <w:rsid w:val="006C68C8"/>
    <w:rsid w:val="006D2361"/>
    <w:rsid w:val="00730EC1"/>
    <w:rsid w:val="007342E6"/>
    <w:rsid w:val="007442F5"/>
    <w:rsid w:val="00793B9A"/>
    <w:rsid w:val="007D484B"/>
    <w:rsid w:val="007E55BF"/>
    <w:rsid w:val="007F56A3"/>
    <w:rsid w:val="00802B08"/>
    <w:rsid w:val="00803926"/>
    <w:rsid w:val="008112F5"/>
    <w:rsid w:val="008437CB"/>
    <w:rsid w:val="00843F03"/>
    <w:rsid w:val="0089248A"/>
    <w:rsid w:val="008C28E4"/>
    <w:rsid w:val="008D0995"/>
    <w:rsid w:val="00907F85"/>
    <w:rsid w:val="0092142B"/>
    <w:rsid w:val="009456D9"/>
    <w:rsid w:val="009530F6"/>
    <w:rsid w:val="009845E4"/>
    <w:rsid w:val="009D0F37"/>
    <w:rsid w:val="009F1167"/>
    <w:rsid w:val="00A07213"/>
    <w:rsid w:val="00A2609C"/>
    <w:rsid w:val="00A27410"/>
    <w:rsid w:val="00A27C6C"/>
    <w:rsid w:val="00A33878"/>
    <w:rsid w:val="00A510B2"/>
    <w:rsid w:val="00A56F1F"/>
    <w:rsid w:val="00A76B7E"/>
    <w:rsid w:val="00A80C5F"/>
    <w:rsid w:val="00A87BAB"/>
    <w:rsid w:val="00AA377F"/>
    <w:rsid w:val="00AB1E71"/>
    <w:rsid w:val="00AE3633"/>
    <w:rsid w:val="00B17879"/>
    <w:rsid w:val="00B77376"/>
    <w:rsid w:val="00B842B5"/>
    <w:rsid w:val="00B9757D"/>
    <w:rsid w:val="00BD69C5"/>
    <w:rsid w:val="00BE73B9"/>
    <w:rsid w:val="00BF53EC"/>
    <w:rsid w:val="00C42B0E"/>
    <w:rsid w:val="00C47BC8"/>
    <w:rsid w:val="00C52034"/>
    <w:rsid w:val="00C6077E"/>
    <w:rsid w:val="00C8131F"/>
    <w:rsid w:val="00CD4AB1"/>
    <w:rsid w:val="00CE5FD2"/>
    <w:rsid w:val="00CF0133"/>
    <w:rsid w:val="00CF7CF2"/>
    <w:rsid w:val="00D223EC"/>
    <w:rsid w:val="00D42591"/>
    <w:rsid w:val="00D52930"/>
    <w:rsid w:val="00D832FD"/>
    <w:rsid w:val="00D9799E"/>
    <w:rsid w:val="00DA20E4"/>
    <w:rsid w:val="00DD7EC5"/>
    <w:rsid w:val="00DE0288"/>
    <w:rsid w:val="00DE2F16"/>
    <w:rsid w:val="00E05D62"/>
    <w:rsid w:val="00E20FB8"/>
    <w:rsid w:val="00E810C7"/>
    <w:rsid w:val="00E97D33"/>
    <w:rsid w:val="00EB5FB5"/>
    <w:rsid w:val="00EC6D64"/>
    <w:rsid w:val="00ED7AED"/>
    <w:rsid w:val="00EF4B02"/>
    <w:rsid w:val="00F17DCE"/>
    <w:rsid w:val="00F345A2"/>
    <w:rsid w:val="00F50160"/>
    <w:rsid w:val="00F63179"/>
    <w:rsid w:val="00F6682A"/>
    <w:rsid w:val="00F8114C"/>
    <w:rsid w:val="00FD2842"/>
    <w:rsid w:val="00FF05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05F2"/>
    <w:pPr>
      <w:keepNext/>
      <w:ind w:left="2124"/>
      <w:jc w:val="left"/>
      <w:outlineLvl w:val="0"/>
    </w:pPr>
    <w:rPr>
      <w:b/>
      <w:bCs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05F2"/>
    <w:pPr>
      <w:keepNext/>
      <w:ind w:left="705"/>
      <w:jc w:val="both"/>
      <w:outlineLvl w:val="1"/>
    </w:pPr>
    <w:rPr>
      <w:rFonts w:ascii="Arial Narrow" w:hAnsi="Arial Narrow" w:cs="Arial Narrow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FF05F2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05F2"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paragraph" w:styleId="Footer">
    <w:name w:val="footer"/>
    <w:basedOn w:val="Normal"/>
    <w:link w:val="FooterChar"/>
    <w:uiPriority w:val="99"/>
    <w:rsid w:val="00FF05F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5F2"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FF05F2"/>
    <w:rPr>
      <w:rFonts w:ascii="Times New Roman" w:hAnsi="Times New Roman"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FF05F2"/>
    <w:pPr>
      <w:ind w:firstLine="709"/>
      <w:jc w:val="left"/>
    </w:pPr>
    <w:rPr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05F2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FF05F2"/>
    <w:pPr>
      <w:ind w:left="345"/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F05F2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FF05F2"/>
    <w:pPr>
      <w:jc w:val="left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05F2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99"/>
    <w:qFormat/>
    <w:rsid w:val="00FF05F2"/>
    <w:pPr>
      <w:ind w:left="708"/>
      <w:jc w:val="left"/>
    </w:pPr>
  </w:style>
  <w:style w:type="paragraph" w:styleId="Header">
    <w:name w:val="header"/>
    <w:basedOn w:val="Normal"/>
    <w:link w:val="HeaderChar"/>
    <w:uiPriority w:val="99"/>
    <w:rsid w:val="00FF05F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5F2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D994-4946-4770-9E84-C7C7B65D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798</Words>
  <Characters>4551</Characters>
  <Application>Microsoft Office Word</Application>
  <DocSecurity>0</DocSecurity>
  <Lines>0</Lines>
  <Paragraphs>0</Paragraphs>
  <ScaleCrop>false</ScaleCrop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 postupov účtovania  v nadväznosti  vyvolaná  zmenou  zákona o dani z príjmov</dc:title>
  <dc:creator>Ing. Mária Horváthová</dc:creator>
  <cp:lastModifiedBy>Gašparíková, Jarmila</cp:lastModifiedBy>
  <cp:revision>2</cp:revision>
  <cp:lastPrinted>2013-06-26T13:10:00Z</cp:lastPrinted>
  <dcterms:created xsi:type="dcterms:W3CDTF">2013-08-16T15:09:00Z</dcterms:created>
  <dcterms:modified xsi:type="dcterms:W3CDTF">2013-08-16T15:09:00Z</dcterms:modified>
</cp:coreProperties>
</file>