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25A6" w:rsidRPr="009D3D85" w:rsidP="008B25A6">
      <w:pPr>
        <w:widowControl/>
        <w:bidi w:val="0"/>
        <w:jc w:val="center"/>
        <w:rPr>
          <w:rFonts w:ascii="Times New Roman" w:hAnsi="Times New Roman"/>
          <w:b/>
          <w:caps/>
          <w:color w:val="000000"/>
          <w:spacing w:val="30"/>
        </w:rPr>
      </w:pPr>
      <w:r w:rsidRPr="009D3D85">
        <w:rPr>
          <w:rFonts w:ascii="Times New Roman" w:hAnsi="Times New Roman"/>
          <w:b/>
          <w:caps/>
          <w:color w:val="000000"/>
          <w:spacing w:val="30"/>
        </w:rPr>
        <w:t>Dôvodová správa</w:t>
      </w:r>
    </w:p>
    <w:p w:rsidR="008B25A6" w:rsidRPr="009D3D85" w:rsidP="008B25A6">
      <w:pPr>
        <w:widowControl/>
        <w:bidi w:val="0"/>
        <w:jc w:val="both"/>
        <w:rPr>
          <w:rFonts w:ascii="Times New Roman" w:hAnsi="Times New Roman"/>
          <w:color w:val="000000"/>
        </w:rPr>
      </w:pPr>
    </w:p>
    <w:p w:rsidR="008B25A6" w:rsidRPr="009D3D85" w:rsidP="008B25A6">
      <w:pPr>
        <w:widowControl/>
        <w:bidi w:val="0"/>
        <w:jc w:val="both"/>
        <w:rPr>
          <w:rFonts w:ascii="Times New Roman" w:hAnsi="Times New Roman"/>
          <w:color w:val="000000"/>
        </w:rPr>
      </w:pPr>
    </w:p>
    <w:p w:rsidR="008B25A6" w:rsidRPr="009D3D85" w:rsidP="008B25A6">
      <w:pPr>
        <w:widowControl/>
        <w:bidi w:val="0"/>
        <w:jc w:val="both"/>
        <w:rPr>
          <w:rFonts w:ascii="Times New Roman" w:hAnsi="Times New Roman"/>
          <w:b/>
          <w:color w:val="000000"/>
        </w:rPr>
      </w:pPr>
      <w:r w:rsidRPr="009D3D85">
        <w:rPr>
          <w:rFonts w:ascii="Times New Roman" w:hAnsi="Times New Roman"/>
          <w:b/>
          <w:color w:val="000000"/>
        </w:rPr>
        <w:t>A. Všeobecná časť</w:t>
      </w:r>
    </w:p>
    <w:p w:rsidR="008B25A6" w:rsidRPr="009D3D85" w:rsidP="008B25A6">
      <w:pPr>
        <w:widowControl/>
        <w:bidi w:val="0"/>
        <w:jc w:val="both"/>
        <w:rPr>
          <w:rFonts w:ascii="Times New Roman" w:hAnsi="Times New Roman"/>
          <w:color w:val="000000"/>
        </w:rPr>
      </w:pPr>
    </w:p>
    <w:p w:rsidR="008B25A6" w:rsidRPr="009D3D85">
      <w:pPr>
        <w:widowControl/>
        <w:bidi w:val="0"/>
        <w:jc w:val="both"/>
        <w:rPr>
          <w:rFonts w:ascii="Times New Roman" w:hAnsi="Times New Roman"/>
          <w:color w:val="000000"/>
        </w:rPr>
      </w:pPr>
      <w:r w:rsidRPr="009D3D85" w:rsidR="00C0489E">
        <w:rPr>
          <w:rStyle w:val="PlaceholderText"/>
          <w:color w:val="000000"/>
        </w:rPr>
        <w:t>Základným právnym predpisom v oblasti účtovníctva je zákon č. 431/2002 Z. z. o účtovníctve v znení neskorších predpisov (ďalej len „zákon“). Zákon upravuje finančné účtovníctvo všetkých typov účtovných jednotiek v nadväznosti na sekundárnu legislatívu Európskej únie, predovšetkým smernicu Rady 78/660/EHS z 25. júla 1978 o ročnej účtovnej závierke niektorých typov spoločností a smernicu Rady 83/349/EHS z 13. júna 1983 o konsolidovaných účtovných závierkach. V návrhu zákona je zapracovaná smernica Európskeho parlamentu a Rady 2012/6/EÚ zo 14. marca 2012, ktorou sa mení a dopĺňa smernica Rady 78/660/EHS o ročnej účtovnej závierke niektorých typov spoločností, pokiaľ ide o mikrosubjekty. Návrh zákona mikrosubjekty definuje ako mikro účtovné jednotky, ktoré spĺňajú podmienky ustanovené v § 2 ods. 5 až 7 návrhu zákona.</w:t>
      </w:r>
    </w:p>
    <w:p w:rsidR="00C0489E" w:rsidRPr="009D3D85">
      <w:pPr>
        <w:widowControl/>
        <w:bidi w:val="0"/>
        <w:jc w:val="both"/>
        <w:rPr>
          <w:rStyle w:val="PlaceholderText"/>
          <w:rFonts w:ascii="Arial Narrow" w:hAnsi="Arial Narrow" w:cs="Arial Narrow"/>
          <w:color w:val="000000"/>
          <w:sz w:val="22"/>
        </w:rPr>
      </w:pPr>
      <w:r w:rsidRPr="009D3D85">
        <w:rPr>
          <w:rStyle w:val="PlaceholderText"/>
          <w:color w:val="000000"/>
        </w:rPr>
        <w:t> </w:t>
      </w:r>
    </w:p>
    <w:p w:rsidR="00C0489E" w:rsidRPr="009D3D85">
      <w:pPr>
        <w:widowControl/>
        <w:bidi w:val="0"/>
        <w:jc w:val="both"/>
        <w:rPr>
          <w:rStyle w:val="PlaceholderText"/>
          <w:rFonts w:ascii="Arial Narrow" w:hAnsi="Arial Narrow" w:cs="Arial Narrow"/>
          <w:color w:val="000000"/>
          <w:sz w:val="22"/>
        </w:rPr>
      </w:pPr>
      <w:r w:rsidRPr="009D3D85">
        <w:rPr>
          <w:rStyle w:val="PlaceholderText"/>
          <w:color w:val="000000"/>
        </w:rPr>
        <w:t>Zámerom novely zákona o účtovníctve je prijatie legislatívnych opatrení na zníženie administratívnej záťaže pre podnikateľov účtujúcich v sústave podvojného účtovníctva, pre účtovné jednotky nezriadené na účely podnikania a tiež pre fyzické osoby podnikateľov účtujúcich v sústave jednoduchého účtovníctva. Návrh zákona obsahuje závery analýzy na zlepšenie podnikateľského prostredia v oblasti účtovníctva vypracovanej Ministerstvom financií. Predmetom novely zákona je</w:t>
      </w:r>
    </w:p>
    <w:p w:rsidR="00C0489E" w:rsidRPr="009D3D85" w:rsidP="002F565C">
      <w:pPr>
        <w:widowControl/>
        <w:numPr>
          <w:numId w:val="1"/>
        </w:numPr>
        <w:tabs>
          <w:tab w:val="left" w:pos="720"/>
        </w:tabs>
        <w:bidi w:val="0"/>
        <w:ind w:left="0" w:firstLine="426"/>
        <w:jc w:val="both"/>
        <w:rPr>
          <w:rStyle w:val="PlaceholderText"/>
          <w:rFonts w:ascii="Arial Narrow" w:hAnsi="Arial Narrow" w:cs="Arial Narrow"/>
          <w:color w:val="000000"/>
          <w:sz w:val="22"/>
        </w:rPr>
      </w:pPr>
      <w:r w:rsidRPr="009D3D85">
        <w:rPr>
          <w:rStyle w:val="PlaceholderText"/>
          <w:color w:val="000000"/>
        </w:rPr>
        <w:t>Zostavovanie účtovnej závierky v skrátenom rozsahu pre mikro účtovné jednotky. Účtovná závierka obsahuje súvahu, výkaz ziskov a strát a poznámky. Zjednodušuje sa rozsah účtovnej závierky. Súvaha a výkaz ziskov a strát sa zostavuje v skrátenom rozsahu. Poznámky obsahujú len minimum údajov, ktoré smernica požaduje uvádzať. Obsah účtovnej závierky je vymedzený tak, aby obsahoval všetky základné údaje potrebné pre používateľa účtovnej závierky.</w:t>
      </w:r>
    </w:p>
    <w:p w:rsidR="00C0489E" w:rsidRPr="009D3D85" w:rsidP="002F565C">
      <w:pPr>
        <w:widowControl/>
        <w:numPr>
          <w:numId w:val="1"/>
        </w:numPr>
        <w:tabs>
          <w:tab w:val="left" w:pos="720"/>
        </w:tabs>
        <w:bidi w:val="0"/>
        <w:ind w:left="0" w:firstLine="426"/>
        <w:jc w:val="both"/>
        <w:rPr>
          <w:rStyle w:val="PlaceholderText"/>
          <w:rFonts w:ascii="Arial Narrow" w:hAnsi="Arial Narrow" w:cs="Arial Narrow"/>
          <w:color w:val="000000"/>
          <w:sz w:val="22"/>
        </w:rPr>
      </w:pPr>
      <w:r w:rsidRPr="009D3D85">
        <w:rPr>
          <w:rStyle w:val="PlaceholderText"/>
          <w:color w:val="000000"/>
        </w:rPr>
        <w:t>Zverejňovanie údajov účtovnej závierky prostredníctvom registra účtovných závierok (ďalej len „register“). Novela zákona pokračuje v  legislatívnom procese dotvárania registra a zdokonaľuje sa jeho aplikácia. Na rozdiel od súčasnej úpravy, do registra sa budú ukladať aj výročné správy a zaniká povinnosť ukladania priebežných účtovných závierok.</w:t>
      </w:r>
    </w:p>
    <w:p w:rsidR="00C0489E" w:rsidRPr="002F565C" w:rsidP="002F565C">
      <w:pPr>
        <w:widowControl/>
        <w:numPr>
          <w:numId w:val="1"/>
        </w:numPr>
        <w:tabs>
          <w:tab w:val="left" w:pos="720"/>
        </w:tabs>
        <w:bidi w:val="0"/>
        <w:ind w:left="0" w:firstLine="426"/>
        <w:jc w:val="both"/>
        <w:rPr>
          <w:rStyle w:val="PlaceholderText"/>
          <w:color w:val="000000"/>
        </w:rPr>
      </w:pPr>
      <w:r w:rsidRPr="009D3D85">
        <w:rPr>
          <w:rStyle w:val="PlaceholderText"/>
          <w:color w:val="000000"/>
        </w:rPr>
        <w:t>Zaniká povinnosť ocenenia cenných papierov a derivátov reálnou hodnotou pre mikro účtovné jednotky. Ide o významné odbúranie oceňovania ku dňu, ku ktorému sa zostavuje účtovná závierka. Vytvára sa priestor, aby mikro účtovné jednotky nemuseli vynakladať finančné prostriedky na získanie informácií o reálnej hodnote.</w:t>
      </w:r>
    </w:p>
    <w:p w:rsidR="00C0489E" w:rsidRPr="002F565C" w:rsidP="002F565C">
      <w:pPr>
        <w:widowControl/>
        <w:numPr>
          <w:numId w:val="1"/>
        </w:numPr>
        <w:tabs>
          <w:tab w:val="left" w:pos="720"/>
        </w:tabs>
        <w:bidi w:val="0"/>
        <w:ind w:left="0" w:firstLine="426"/>
        <w:jc w:val="both"/>
        <w:rPr>
          <w:rStyle w:val="PlaceholderText"/>
          <w:color w:val="000000"/>
        </w:rPr>
      </w:pPr>
      <w:r w:rsidRPr="009D3D85">
        <w:rPr>
          <w:rStyle w:val="PlaceholderText"/>
          <w:color w:val="000000"/>
        </w:rPr>
        <w:t>Znižuje sa periodicita na inventarizáciu majetku. Dlhodobý majetok sa bude musieť inventarizovať len raz za štyri roky a peňažné prostriedky v hotovosti len ku dňu, ku ktorému sa zostavuje účtovná závierka.</w:t>
      </w:r>
    </w:p>
    <w:p w:rsidR="00C0489E" w:rsidRPr="009D3D85" w:rsidP="002F565C">
      <w:pPr>
        <w:widowControl/>
        <w:numPr>
          <w:numId w:val="1"/>
        </w:numPr>
        <w:tabs>
          <w:tab w:val="left" w:pos="720"/>
        </w:tabs>
        <w:bidi w:val="0"/>
        <w:ind w:left="0" w:firstLine="426"/>
        <w:jc w:val="both"/>
        <w:rPr>
          <w:rStyle w:val="PlaceholderText"/>
          <w:rFonts w:ascii="Arial Narrow" w:hAnsi="Arial Narrow" w:cs="Arial Narrow"/>
          <w:color w:val="000000"/>
          <w:sz w:val="22"/>
        </w:rPr>
      </w:pPr>
      <w:r w:rsidRPr="009D3D85">
        <w:rPr>
          <w:rStyle w:val="PlaceholderText"/>
          <w:color w:val="000000"/>
        </w:rPr>
        <w:t xml:space="preserve">Zmierňujú sa povinnosti pri vedení účtovníctva pre účtovné jednotky, ktoré neboli zriadené na účely podnikania. Medzi tieto úpravy patrí </w:t>
      </w:r>
    </w:p>
    <w:p w:rsidR="00C0489E" w:rsidRPr="009D3D85">
      <w:pPr>
        <w:widowControl/>
        <w:bidi w:val="0"/>
        <w:ind w:left="2133" w:hanging="360"/>
        <w:jc w:val="both"/>
        <w:rPr>
          <w:rStyle w:val="PlaceholderText"/>
          <w:rFonts w:ascii="Arial Narrow" w:hAnsi="Arial Narrow" w:cs="Arial Narrow"/>
          <w:color w:val="000000"/>
          <w:sz w:val="22"/>
        </w:rPr>
      </w:pPr>
      <w:r w:rsidRPr="009D3D85">
        <w:rPr>
          <w:rStyle w:val="PlaceholderText"/>
          <w:rFonts w:ascii="Calibri" w:hAnsi="Calibri" w:cs="Calibri"/>
          <w:color w:val="000000"/>
        </w:rPr>
        <w:t>-</w:t>
      </w:r>
      <w:r w:rsidRPr="009D3D85">
        <w:rPr>
          <w:rStyle w:val="PlaceholderText"/>
          <w:color w:val="000000"/>
          <w:sz w:val="14"/>
        </w:rPr>
        <w:t>        </w:t>
      </w:r>
      <w:r w:rsidRPr="009D3D85">
        <w:rPr>
          <w:rStyle w:val="PlaceholderText"/>
          <w:color w:val="000000"/>
        </w:rPr>
        <w:t>zrušenie povinnosti účtovania zásob spôsobom A, ak majú povinnosť overenia účtovnej závierky audítorom,</w:t>
      </w:r>
    </w:p>
    <w:p w:rsidR="00C0489E" w:rsidRPr="002F565C">
      <w:pPr>
        <w:widowControl/>
        <w:bidi w:val="0"/>
        <w:ind w:left="2133" w:hanging="360"/>
        <w:jc w:val="both"/>
        <w:rPr>
          <w:rStyle w:val="PlaceholderText"/>
          <w:color w:val="000000"/>
        </w:rPr>
      </w:pPr>
      <w:r w:rsidRPr="009D3D85">
        <w:rPr>
          <w:rStyle w:val="PlaceholderText"/>
          <w:rFonts w:ascii="Calibri" w:hAnsi="Calibri" w:cs="Calibri"/>
          <w:color w:val="000000"/>
        </w:rPr>
        <w:t>-</w:t>
      </w:r>
      <w:r w:rsidRPr="009D3D85">
        <w:rPr>
          <w:rStyle w:val="PlaceholderText"/>
          <w:color w:val="000000"/>
          <w:sz w:val="14"/>
        </w:rPr>
        <w:t xml:space="preserve">        </w:t>
      </w:r>
      <w:r w:rsidRPr="009D3D85">
        <w:rPr>
          <w:rStyle w:val="PlaceholderText"/>
          <w:color w:val="000000"/>
        </w:rPr>
        <w:t>možnosť uplatniť v účtovníctve daňové odpisy, ak tento spôsob vyhovuje účtovnej jednotke na požiadavky vykázania základu dane,</w:t>
      </w:r>
    </w:p>
    <w:p w:rsidR="00C0489E" w:rsidRPr="002F565C">
      <w:pPr>
        <w:widowControl/>
        <w:bidi w:val="0"/>
        <w:ind w:left="2133" w:hanging="360"/>
        <w:jc w:val="both"/>
        <w:rPr>
          <w:rStyle w:val="PlaceholderText"/>
          <w:color w:val="000000"/>
        </w:rPr>
      </w:pPr>
      <w:r w:rsidRPr="002F565C">
        <w:rPr>
          <w:rStyle w:val="PlaceholderText"/>
          <w:color w:val="000000"/>
        </w:rPr>
        <w:t>-     </w:t>
      </w:r>
      <w:r w:rsidRPr="009D3D85">
        <w:rPr>
          <w:rStyle w:val="PlaceholderText"/>
          <w:color w:val="000000"/>
        </w:rPr>
        <w:t xml:space="preserve">možnosť účtovania opravných položiek a rezerv v súlade s ustanoveniami zákona o dani z príjmov a so zohľadnením významnosti hodnôt rezerv a opravných položiek, </w:t>
      </w:r>
    </w:p>
    <w:p w:rsidR="00C0489E" w:rsidRPr="002F565C">
      <w:pPr>
        <w:widowControl/>
        <w:bidi w:val="0"/>
        <w:ind w:left="2133" w:hanging="360"/>
        <w:jc w:val="both"/>
        <w:rPr>
          <w:rStyle w:val="PlaceholderText"/>
          <w:color w:val="000000"/>
        </w:rPr>
      </w:pPr>
      <w:r w:rsidRPr="002F565C">
        <w:rPr>
          <w:rStyle w:val="PlaceholderText"/>
          <w:color w:val="000000"/>
        </w:rPr>
        <w:t>-   </w:t>
      </w:r>
      <w:r w:rsidR="002F565C">
        <w:rPr>
          <w:rStyle w:val="PlaceholderText"/>
          <w:color w:val="000000"/>
        </w:rPr>
        <w:t xml:space="preserve"> </w:t>
      </w:r>
      <w:r w:rsidRPr="009D3D85">
        <w:rPr>
          <w:rStyle w:val="PlaceholderText"/>
          <w:color w:val="000000"/>
        </w:rPr>
        <w:t xml:space="preserve">zrušenie povinnosti oceňovania cenných papierov a derivátov reálnou hodnotou,  </w:t>
      </w:r>
    </w:p>
    <w:p w:rsidR="00C0489E" w:rsidRPr="002F565C">
      <w:pPr>
        <w:widowControl/>
        <w:bidi w:val="0"/>
        <w:ind w:left="2133" w:hanging="360"/>
        <w:jc w:val="both"/>
        <w:rPr>
          <w:rStyle w:val="PlaceholderText"/>
          <w:color w:val="000000"/>
        </w:rPr>
      </w:pPr>
      <w:r w:rsidRPr="002F565C">
        <w:rPr>
          <w:rStyle w:val="PlaceholderText"/>
          <w:color w:val="000000"/>
        </w:rPr>
        <w:t>-    </w:t>
      </w:r>
      <w:r w:rsidRPr="009D3D85">
        <w:rPr>
          <w:rStyle w:val="PlaceholderText"/>
          <w:color w:val="000000"/>
        </w:rPr>
        <w:t>umožniť účtovnej jednotke účtovať na účtoch časového rozlíšenia podľa hladiny významnosti týchto položiek a podľa toho, či ide o každoročne sa opakujúce plnenia.</w:t>
      </w:r>
    </w:p>
    <w:p w:rsidR="00C0489E" w:rsidRPr="009D3D85" w:rsidP="002F565C">
      <w:pPr>
        <w:widowControl/>
        <w:numPr>
          <w:numId w:val="1"/>
        </w:numPr>
        <w:tabs>
          <w:tab w:val="left" w:pos="720"/>
        </w:tabs>
        <w:bidi w:val="0"/>
        <w:ind w:left="0" w:firstLine="426"/>
        <w:jc w:val="both"/>
        <w:rPr>
          <w:rStyle w:val="PlaceholderText"/>
          <w:rFonts w:ascii="Arial Narrow" w:hAnsi="Arial Narrow" w:cs="Arial Narrow"/>
          <w:color w:val="000000"/>
          <w:sz w:val="22"/>
        </w:rPr>
      </w:pPr>
      <w:r w:rsidRPr="009D3D85">
        <w:rPr>
          <w:rStyle w:val="PlaceholderText"/>
          <w:color w:val="000000"/>
        </w:rPr>
        <w:t>Spresňuje sa oceňovanie pre účtovné jednotky finančného sektora. Návrh zákona spresňuje oceňovanie reálnou hodnotou pre obchodníka s cennými papiermi, platobnú inštitúciu, inštitúciu elektronických peňazí, pobočku zahraničnej finančnej inštitúcie a pre cenné papiere a deriváty v majetku fondu.</w:t>
      </w:r>
    </w:p>
    <w:p w:rsidR="00C0489E" w:rsidRPr="009D3D85">
      <w:pPr>
        <w:widowControl/>
        <w:bidi w:val="0"/>
        <w:jc w:val="both"/>
        <w:rPr>
          <w:rStyle w:val="PlaceholderText"/>
          <w:rFonts w:ascii="Arial Narrow" w:hAnsi="Arial Narrow" w:cs="Arial Narrow"/>
          <w:color w:val="000000"/>
          <w:sz w:val="22"/>
        </w:rPr>
      </w:pPr>
      <w:r w:rsidRPr="009D3D85">
        <w:rPr>
          <w:rStyle w:val="PlaceholderText"/>
          <w:color w:val="000000"/>
        </w:rPr>
        <w:t> </w:t>
      </w:r>
    </w:p>
    <w:p w:rsidR="00C0489E" w:rsidRPr="009D3D85">
      <w:pPr>
        <w:widowControl/>
        <w:bidi w:val="0"/>
        <w:jc w:val="both"/>
        <w:rPr>
          <w:rStyle w:val="PlaceholderText"/>
          <w:rFonts w:ascii="Arial Narrow" w:hAnsi="Arial Narrow" w:cs="Arial Narrow"/>
          <w:color w:val="000000"/>
          <w:sz w:val="22"/>
        </w:rPr>
      </w:pPr>
      <w:r w:rsidRPr="009D3D85">
        <w:rPr>
          <w:rStyle w:val="PlaceholderText"/>
          <w:color w:val="000000"/>
        </w:rPr>
        <w:t>Predkladaný návrh zákona má za cieľ prijať také opatrenia, ktoré v súčasnej situácii zmiernia povinnosti vyplývajúce podnikateľom z účtovníctva. Účtovná jednotka musí vyčleniť časť svojich prostriedkov na vedenie účtovníctva a na zostavenie účtovnej závierky. Tieto náklady sú nevyhnutnou súčasťou samotnej existencie firiem, nie je možné potrieť ich opodstatnenie a význam. Z pohľadu štruktúry nákladov ide o čisto administratívne náklady. Užitočnosť vynakladania týchto nákladov naberá  na významnosti v podnikoch podnikajúcich v skupine a vo významných štátnych podnikoch. V malých podnikoch môžu tieto náklady predstavovať neprimeranú administratívnu záťaž. Návrh zákona zmierňuje tieto povinnosti, pričom dbá na zabezpečenie vypovedacej schopnosti účtovníctva v súlade s účtovnými zásadami pre podvojné účtovníctvo v súlade s právom EÚ.</w:t>
      </w:r>
    </w:p>
    <w:p w:rsidR="00C0489E" w:rsidRPr="009D3D85">
      <w:pPr>
        <w:widowControl/>
        <w:bidi w:val="0"/>
        <w:jc w:val="both"/>
        <w:rPr>
          <w:rStyle w:val="PlaceholderText"/>
          <w:rFonts w:ascii="Arial Narrow" w:hAnsi="Arial Narrow" w:cs="Arial Narrow"/>
          <w:color w:val="000000"/>
          <w:sz w:val="22"/>
        </w:rPr>
      </w:pPr>
      <w:r w:rsidRPr="009D3D85">
        <w:rPr>
          <w:rStyle w:val="PlaceholderText"/>
          <w:color w:val="000000"/>
        </w:rPr>
        <w:t xml:space="preserve">            </w:t>
      </w:r>
    </w:p>
    <w:p w:rsidR="00C0489E" w:rsidRPr="009D3D85">
      <w:pPr>
        <w:widowControl/>
        <w:bidi w:val="0"/>
        <w:jc w:val="both"/>
        <w:rPr>
          <w:rStyle w:val="PlaceholderText"/>
          <w:rFonts w:ascii="Arial Narrow" w:hAnsi="Arial Narrow" w:cs="Arial Narrow"/>
          <w:color w:val="000000"/>
          <w:sz w:val="22"/>
        </w:rPr>
      </w:pPr>
      <w:r w:rsidRPr="009D3D85">
        <w:rPr>
          <w:rStyle w:val="PlaceholderText"/>
          <w:color w:val="000000"/>
        </w:rPr>
        <w:t>Dopady návrhu zákona na rozpočet verejnej správy, na podnikateľské prostredie, na sociálne prostredie, vplyv na životné prostredie a vplyv na informatizáciu spoločnosti sú uvedené v doložke vybraných vplyvov.</w:t>
      </w:r>
    </w:p>
    <w:p w:rsidR="00C0489E" w:rsidRPr="009D3D85">
      <w:pPr>
        <w:widowControl/>
        <w:bidi w:val="0"/>
        <w:jc w:val="both"/>
        <w:rPr>
          <w:rStyle w:val="PlaceholderText"/>
          <w:rFonts w:ascii="Arial Narrow" w:hAnsi="Arial Narrow" w:cs="Arial Narrow"/>
          <w:color w:val="000000"/>
          <w:sz w:val="22"/>
        </w:rPr>
      </w:pPr>
      <w:r w:rsidRPr="009D3D85">
        <w:rPr>
          <w:rStyle w:val="PlaceholderText"/>
          <w:color w:val="000000"/>
        </w:rPr>
        <w:t xml:space="preserve">            </w:t>
      </w:r>
    </w:p>
    <w:p w:rsidR="00C0489E" w:rsidRPr="009D3D85">
      <w:pPr>
        <w:widowControl/>
        <w:bidi w:val="0"/>
        <w:jc w:val="both"/>
        <w:rPr>
          <w:rStyle w:val="PlaceholderText"/>
          <w:rFonts w:ascii="Arial Narrow" w:hAnsi="Arial Narrow" w:cs="Arial Narrow"/>
          <w:color w:val="000000"/>
          <w:sz w:val="22"/>
        </w:rPr>
      </w:pPr>
      <w:r w:rsidRPr="009D3D85">
        <w:rPr>
          <w:rStyle w:val="PlaceholderText"/>
          <w:color w:val="000000"/>
        </w:rPr>
        <w:t>Predkladaný návrh zákona nebude mať vplyv na rozpočty obcí a vyšších územných celkov.</w:t>
      </w:r>
    </w:p>
    <w:p w:rsidR="00C0489E" w:rsidRPr="009D3D85">
      <w:pPr>
        <w:widowControl/>
        <w:bidi w:val="0"/>
        <w:jc w:val="both"/>
        <w:rPr>
          <w:rStyle w:val="PlaceholderText"/>
          <w:rFonts w:ascii="Arial Narrow" w:hAnsi="Arial Narrow" w:cs="Arial Narrow"/>
          <w:color w:val="000000"/>
          <w:sz w:val="22"/>
        </w:rPr>
      </w:pPr>
      <w:r w:rsidRPr="009D3D85">
        <w:rPr>
          <w:rStyle w:val="PlaceholderText"/>
          <w:color w:val="000000"/>
        </w:rPr>
        <w:t xml:space="preserve">            </w:t>
      </w:r>
    </w:p>
    <w:p w:rsidR="00C0489E" w:rsidRPr="009D3D85">
      <w:pPr>
        <w:widowControl/>
        <w:bidi w:val="0"/>
        <w:jc w:val="both"/>
        <w:rPr>
          <w:rStyle w:val="PlaceholderText"/>
          <w:rFonts w:ascii="Arial Narrow" w:hAnsi="Arial Narrow" w:cs="Arial Narrow"/>
          <w:color w:val="000000"/>
          <w:sz w:val="22"/>
        </w:rPr>
      </w:pPr>
      <w:r w:rsidRPr="009D3D85">
        <w:rPr>
          <w:rStyle w:val="PlaceholderText"/>
          <w:color w:val="000000"/>
        </w:rPr>
        <w:t>Predkladaný návrh zákona je v súlade s Ústavou Slovenskej republiky a inými právnymi predpismi, medzinárodnými zmluvami, dokumentmi, ktorými je Slovenská republiky viazaná, ako aj v súlade s právom Európskej únie.</w:t>
      </w:r>
    </w:p>
    <w:p w:rsidR="00C0489E" w:rsidRPr="009D3D85">
      <w:pPr>
        <w:widowControl/>
        <w:bidi w:val="0"/>
        <w:spacing w:after="280" w:afterAutospacing="1"/>
        <w:rPr>
          <w:rStyle w:val="PlaceholderText"/>
          <w:color w:val="000000"/>
        </w:rPr>
      </w:pPr>
      <w:r w:rsidRPr="009D3D85">
        <w:rPr>
          <w:rStyle w:val="PlaceholderText"/>
          <w:color w:val="000000"/>
        </w:rPr>
        <w:t> </w:t>
      </w:r>
    </w:p>
    <w:p w:rsidR="009D3D85" w:rsidRPr="009D3D85">
      <w:pPr>
        <w:widowControl/>
        <w:bidi w:val="0"/>
        <w:spacing w:after="280" w:afterAutospacing="1"/>
        <w:rPr>
          <w:rStyle w:val="PlaceholderText"/>
          <w:color w:val="000000"/>
        </w:rPr>
      </w:pPr>
    </w:p>
    <w:p w:rsidR="009D3D85" w:rsidRPr="009D3D85">
      <w:pPr>
        <w:widowControl/>
        <w:bidi w:val="0"/>
        <w:spacing w:after="280" w:afterAutospacing="1"/>
        <w:rPr>
          <w:rStyle w:val="PlaceholderText"/>
          <w:color w:val="000000"/>
        </w:rPr>
      </w:pPr>
    </w:p>
    <w:p w:rsidR="009D3D85" w:rsidRPr="009D3D85">
      <w:pPr>
        <w:widowControl/>
        <w:bidi w:val="0"/>
        <w:spacing w:after="280" w:afterAutospacing="1"/>
        <w:rPr>
          <w:rStyle w:val="PlaceholderText"/>
          <w:color w:val="000000"/>
        </w:rPr>
      </w:pPr>
    </w:p>
    <w:p w:rsidR="009D3D85">
      <w:pPr>
        <w:widowControl/>
        <w:bidi w:val="0"/>
        <w:spacing w:after="280" w:afterAutospacing="1"/>
        <w:rPr>
          <w:rStyle w:val="PlaceholderText"/>
          <w:color w:val="000000"/>
        </w:rPr>
      </w:pPr>
    </w:p>
    <w:p w:rsidR="002F565C" w:rsidRPr="009D3D85">
      <w:pPr>
        <w:widowControl/>
        <w:bidi w:val="0"/>
        <w:spacing w:after="280" w:afterAutospacing="1"/>
        <w:rPr>
          <w:rStyle w:val="PlaceholderText"/>
          <w:color w:val="000000"/>
        </w:rPr>
      </w:pPr>
    </w:p>
    <w:p w:rsidR="009D3D85" w:rsidRPr="009D3D85">
      <w:pPr>
        <w:widowControl/>
        <w:bidi w:val="0"/>
        <w:spacing w:after="280" w:afterAutospacing="1"/>
        <w:rPr>
          <w:rStyle w:val="PlaceholderText"/>
          <w:color w:val="000000"/>
        </w:rPr>
      </w:pPr>
    </w:p>
    <w:p w:rsidR="009D3D85" w:rsidRPr="009D3D85" w:rsidP="009D3D85">
      <w:pPr>
        <w:bidi w:val="0"/>
        <w:jc w:val="center"/>
        <w:rPr>
          <w:rFonts w:ascii="Times New Roman" w:hAnsi="Times New Roman"/>
          <w:b/>
          <w:caps/>
          <w:spacing w:val="30"/>
        </w:rPr>
      </w:pPr>
      <w:r w:rsidRPr="009D3D85">
        <w:rPr>
          <w:rFonts w:ascii="Times New Roman" w:hAnsi="Times New Roman"/>
          <w:b/>
          <w:caps/>
          <w:spacing w:val="30"/>
        </w:rPr>
        <w:t>Doložka zlučiteľnosti</w:t>
      </w:r>
    </w:p>
    <w:p w:rsidR="009D3D85" w:rsidRPr="009D3D85" w:rsidP="009D3D85">
      <w:pPr>
        <w:bidi w:val="0"/>
        <w:jc w:val="center"/>
        <w:rPr>
          <w:rFonts w:ascii="Times New Roman" w:hAnsi="Times New Roman"/>
          <w:b/>
        </w:rPr>
      </w:pPr>
      <w:r w:rsidRPr="009D3D85">
        <w:rPr>
          <w:rFonts w:ascii="Times New Roman" w:hAnsi="Times New Roman"/>
          <w:b/>
        </w:rPr>
        <w:t>právneho predpisu s právom Európskej únie </w:t>
      </w:r>
    </w:p>
    <w:p w:rsidR="009D3D85" w:rsidRPr="009D3D85" w:rsidP="009D3D85">
      <w:pPr>
        <w:bidi w:val="0"/>
        <w:rPr>
          <w:rFonts w:ascii="Times New Roman" w:hAnsi="Times New Roman"/>
        </w:rPr>
      </w:pPr>
    </w:p>
    <w:p w:rsidR="009D3D85" w:rsidRPr="009D3D85" w:rsidP="009D3D85">
      <w:pPr>
        <w:bidi w:val="0"/>
        <w:rPr>
          <w:rFonts w:ascii="Times New Roman" w:hAnsi="Times New Roman"/>
        </w:rPr>
      </w:pPr>
    </w:p>
    <w:p w:rsidR="009D3D85" w:rsidRPr="009D3D85" w:rsidP="009D3D85">
      <w:pPr>
        <w:bidi w:val="0"/>
        <w:ind w:left="360" w:hanging="360"/>
        <w:rPr>
          <w:rFonts w:ascii="Times New Roman" w:hAnsi="Times New Roman"/>
          <w:b/>
        </w:rPr>
      </w:pPr>
      <w:r w:rsidRPr="009D3D85">
        <w:rPr>
          <w:rFonts w:ascii="Times New Roman" w:hAnsi="Times New Roman"/>
          <w:b/>
        </w:rPr>
        <w:t>1.</w:t>
        <w:tab/>
        <w:t>Predkladateľ právneho predpisu:</w:t>
      </w:r>
      <w:r w:rsidRPr="009D3D85">
        <w:rPr>
          <w:rFonts w:ascii="Times New Roman" w:hAnsi="Times New Roman"/>
        </w:rPr>
        <w:t xml:space="preserve"> vláda Slovenskej republiky </w:t>
      </w:r>
    </w:p>
    <w:p w:rsidR="009D3D85" w:rsidRPr="009D3D85" w:rsidP="009D3D85">
      <w:pPr>
        <w:tabs>
          <w:tab w:val="left" w:pos="360"/>
        </w:tabs>
        <w:bidi w:val="0"/>
        <w:ind w:left="360"/>
        <w:rPr>
          <w:rFonts w:ascii="Times New Roman" w:hAnsi="Times New Roman"/>
        </w:rPr>
      </w:pPr>
      <w:r w:rsidRPr="009D3D85">
        <w:rPr>
          <w:rFonts w:ascii="Times New Roman" w:hAnsi="Times New Roman"/>
        </w:rPr>
        <w:t xml:space="preserve"> </w:t>
      </w:r>
    </w:p>
    <w:p w:rsidR="009D3D85" w:rsidRPr="009D3D85" w:rsidP="009D3D85">
      <w:pPr>
        <w:bidi w:val="0"/>
        <w:ind w:left="360" w:hanging="360"/>
        <w:rPr>
          <w:rFonts w:ascii="Times New Roman" w:hAnsi="Times New Roman"/>
          <w:b/>
        </w:rPr>
      </w:pPr>
      <w:r w:rsidRPr="009D3D85">
        <w:rPr>
          <w:rFonts w:ascii="Times New Roman" w:hAnsi="Times New Roman"/>
          <w:b/>
        </w:rPr>
        <w:t>2.</w:t>
        <w:tab/>
        <w:t>Názov návrhu právneho predpisu:</w:t>
      </w:r>
      <w:r w:rsidRPr="009D3D85">
        <w:rPr>
          <w:rFonts w:ascii="Times New Roman" w:hAnsi="Times New Roman"/>
        </w:rPr>
        <w:t xml:space="preserve"> Návrh zákona, ktorým sa mení a dopĺňa zákon č. 431/2002 Z. z. o účtovníctve v znení neskorších predpisov a ktorým sa menia a dopĺňajú niektoré zákony </w:t>
      </w:r>
    </w:p>
    <w:p w:rsidR="009D3D85" w:rsidRPr="009D3D85" w:rsidP="009D3D85">
      <w:pPr>
        <w:bidi w:val="0"/>
        <w:rPr>
          <w:rFonts w:ascii="Times New Roman" w:hAnsi="Times New Roman"/>
        </w:rPr>
      </w:pPr>
    </w:p>
    <w:p w:rsidR="009D3D85" w:rsidRPr="009D3D85" w:rsidP="009D3D85">
      <w:pPr>
        <w:bidi w:val="0"/>
        <w:ind w:left="360" w:hanging="360"/>
        <w:rPr>
          <w:rFonts w:ascii="Times New Roman" w:hAnsi="Times New Roman"/>
          <w:b/>
        </w:rPr>
      </w:pPr>
      <w:r w:rsidRPr="009D3D85">
        <w:rPr>
          <w:rFonts w:ascii="Times New Roman" w:hAnsi="Times New Roman"/>
          <w:b/>
        </w:rPr>
        <w:t>3.</w:t>
        <w:tab/>
        <w:t>Problematika návrhu právneho predpisu:</w:t>
      </w:r>
    </w:p>
    <w:p w:rsidR="009D3D85" w:rsidRPr="009D3D85" w:rsidP="009D3D85">
      <w:pPr>
        <w:bidi w:val="0"/>
        <w:ind w:firstLine="360"/>
        <w:rPr>
          <w:rFonts w:ascii="Times New Roman" w:hAnsi="Times New Roman"/>
        </w:rPr>
      </w:pPr>
    </w:p>
    <w:p w:rsidR="009D3D85" w:rsidRPr="009D3D85" w:rsidP="009D3D85">
      <w:pPr>
        <w:bidi w:val="0"/>
        <w:ind w:left="709" w:hanging="349"/>
        <w:rPr>
          <w:rFonts w:ascii="Times New Roman" w:hAnsi="Times New Roman"/>
        </w:rPr>
      </w:pPr>
      <w:r w:rsidRPr="009D3D85">
        <w:rPr>
          <w:rFonts w:ascii="Times New Roman" w:hAnsi="Times New Roman"/>
        </w:rPr>
        <w:t>a)</w:t>
        <w:tab/>
        <w:t>je upravená v práve Európskej únie</w:t>
      </w:r>
    </w:p>
    <w:p w:rsidR="009D3D85" w:rsidRPr="009D3D85" w:rsidP="009D3D85">
      <w:pPr>
        <w:bidi w:val="0"/>
        <w:ind w:left="360"/>
        <w:rPr>
          <w:rFonts w:ascii="Times New Roman" w:hAnsi="Times New Roman"/>
        </w:rPr>
      </w:pPr>
    </w:p>
    <w:p w:rsidR="009D3D85" w:rsidRPr="009D3D85" w:rsidP="009D3D85">
      <w:pPr>
        <w:tabs>
          <w:tab w:val="left" w:pos="1068"/>
        </w:tabs>
        <w:bidi w:val="0"/>
        <w:ind w:left="879" w:hanging="171"/>
        <w:rPr>
          <w:rFonts w:ascii="Times New Roman" w:hAnsi="Times New Roman"/>
          <w:i/>
        </w:rPr>
      </w:pPr>
      <w:r w:rsidRPr="009D3D85">
        <w:rPr>
          <w:rFonts w:ascii="Times New Roman" w:hAnsi="Times New Roman"/>
        </w:rPr>
        <w:t>-</w:t>
        <w:tab/>
      </w:r>
      <w:r w:rsidRPr="009D3D85">
        <w:rPr>
          <w:rFonts w:ascii="Times New Roman" w:hAnsi="Times New Roman"/>
          <w:i/>
        </w:rPr>
        <w:t>primárnom</w:t>
      </w:r>
    </w:p>
    <w:p w:rsidR="009D3D85" w:rsidRPr="009D3D85" w:rsidP="009D3D85">
      <w:pPr>
        <w:bidi w:val="0"/>
        <w:ind w:left="851"/>
        <w:rPr>
          <w:rFonts w:ascii="Times New Roman" w:hAnsi="Times New Roman"/>
        </w:rPr>
      </w:pPr>
    </w:p>
    <w:p w:rsidR="009D3D85" w:rsidRPr="009D3D85" w:rsidP="009D3D85">
      <w:pPr>
        <w:bidi w:val="0"/>
        <w:ind w:left="851"/>
        <w:rPr>
          <w:rFonts w:ascii="Times New Roman" w:hAnsi="Times New Roman"/>
        </w:rPr>
      </w:pPr>
      <w:r w:rsidRPr="009D3D85">
        <w:rPr>
          <w:rFonts w:ascii="Times New Roman" w:hAnsi="Times New Roman"/>
        </w:rPr>
        <w:t>čl. 4 ods. 2 písm. a) a čl. 50 Zmluvy o fungovaní Európskej únie </w:t>
      </w:r>
    </w:p>
    <w:p w:rsidR="009D3D85" w:rsidRPr="009D3D85" w:rsidP="009D3D85">
      <w:pPr>
        <w:bidi w:val="0"/>
        <w:ind w:firstLine="360"/>
        <w:rPr>
          <w:rFonts w:ascii="Times New Roman" w:hAnsi="Times New Roman"/>
        </w:rPr>
      </w:pPr>
    </w:p>
    <w:p w:rsidR="009D3D85" w:rsidRPr="009D3D85" w:rsidP="009D3D85">
      <w:pPr>
        <w:tabs>
          <w:tab w:val="left" w:pos="1068"/>
        </w:tabs>
        <w:bidi w:val="0"/>
        <w:ind w:left="879" w:hanging="171"/>
        <w:rPr>
          <w:rFonts w:ascii="Times New Roman" w:hAnsi="Times New Roman"/>
          <w:i/>
        </w:rPr>
      </w:pPr>
      <w:r w:rsidRPr="009D3D85">
        <w:rPr>
          <w:rFonts w:ascii="Times New Roman" w:hAnsi="Times New Roman"/>
        </w:rPr>
        <w:t>-</w:t>
        <w:tab/>
      </w:r>
      <w:r w:rsidRPr="009D3D85">
        <w:rPr>
          <w:rFonts w:ascii="Times New Roman" w:hAnsi="Times New Roman"/>
          <w:i/>
        </w:rPr>
        <w:t>sekundárnom (prijatom po nadobudnutím platnosti Lisabonskej zmluvy, ktorou sa mení a dopĺňa Zmluva o Európskom spoločenstve a Zmluva o Európskej únii – po 30. novembri 2009)</w:t>
      </w:r>
    </w:p>
    <w:p w:rsidR="009D3D85" w:rsidRPr="009D3D85" w:rsidP="009D3D85">
      <w:pPr>
        <w:tabs>
          <w:tab w:val="left" w:pos="1068"/>
        </w:tabs>
        <w:bidi w:val="0"/>
        <w:ind w:left="879" w:hanging="171"/>
        <w:rPr>
          <w:rFonts w:ascii="Times New Roman" w:hAnsi="Times New Roman"/>
          <w:i/>
        </w:rPr>
      </w:pPr>
    </w:p>
    <w:p w:rsidR="009D3D85" w:rsidRPr="009D3D85" w:rsidP="009D3D85">
      <w:pPr>
        <w:bidi w:val="0"/>
        <w:ind w:left="1239" w:hanging="360"/>
        <w:rPr>
          <w:rFonts w:ascii="Times New Roman" w:hAnsi="Times New Roman"/>
          <w:i/>
        </w:rPr>
      </w:pPr>
      <w:r w:rsidRPr="009D3D85">
        <w:rPr>
          <w:rFonts w:ascii="Times New Roman" w:hAnsi="Times New Roman"/>
        </w:rPr>
        <w:t>1.</w:t>
        <w:tab/>
        <w:t xml:space="preserve">legislatívne akty </w:t>
      </w:r>
    </w:p>
    <w:p w:rsidR="009D3D85" w:rsidRPr="009D3D85" w:rsidP="009D3D85">
      <w:pPr>
        <w:bidi w:val="0"/>
        <w:ind w:firstLine="360"/>
        <w:rPr>
          <w:rFonts w:ascii="Times New Roman" w:hAnsi="Times New Roman"/>
        </w:rPr>
      </w:pPr>
    </w:p>
    <w:p w:rsidR="009D3D85" w:rsidRPr="009D3D85" w:rsidP="009D3D85">
      <w:pPr>
        <w:bidi w:val="0"/>
        <w:ind w:left="851"/>
        <w:rPr>
          <w:rFonts w:ascii="Times New Roman" w:hAnsi="Times New Roman"/>
        </w:rPr>
      </w:pPr>
      <w:r w:rsidRPr="009D3D85">
        <w:rPr>
          <w:rFonts w:ascii="Times New Roman" w:hAnsi="Times New Roman"/>
        </w:rPr>
        <w:t>smernica Európskeho parlamentu a Rady 2012/6/EÚ zo 14. marca 2012, ktorou sa mení a dopĺňa smernica Rady 78/660/EHS o ročnej účtovnej závierke niektorých typov spoločností, pokiaľ ide o mikrosubjekty (Ú. v. EÚ L 81, 21. 3. 2012),  </w:t>
      </w:r>
    </w:p>
    <w:p w:rsidR="009D3D85" w:rsidRPr="009D3D85" w:rsidP="009D3D85">
      <w:pPr>
        <w:bidi w:val="0"/>
        <w:ind w:left="851"/>
        <w:rPr>
          <w:rFonts w:ascii="Times New Roman" w:hAnsi="Times New Roman"/>
        </w:rPr>
      </w:pPr>
    </w:p>
    <w:p w:rsidR="009D3D85" w:rsidRPr="009D3D85" w:rsidP="009D3D85">
      <w:pPr>
        <w:bidi w:val="0"/>
        <w:ind w:left="1239" w:hanging="360"/>
        <w:jc w:val="both"/>
        <w:rPr>
          <w:rFonts w:ascii="Times New Roman" w:hAnsi="Times New Roman"/>
          <w:i/>
        </w:rPr>
      </w:pPr>
      <w:r w:rsidRPr="009D3D85">
        <w:rPr>
          <w:rFonts w:ascii="Times New Roman" w:hAnsi="Times New Roman"/>
        </w:rPr>
        <w:t>2.</w:t>
        <w:tab/>
        <w:t>nelegislatívne akty</w:t>
      </w:r>
    </w:p>
    <w:p w:rsidR="009D3D85" w:rsidRPr="009D3D85" w:rsidP="009D3D85">
      <w:pPr>
        <w:bidi w:val="0"/>
        <w:ind w:firstLine="708"/>
        <w:jc w:val="both"/>
        <w:rPr>
          <w:rFonts w:ascii="Times New Roman" w:hAnsi="Times New Roman"/>
        </w:rPr>
      </w:pPr>
      <w:r w:rsidRPr="009D3D85">
        <w:rPr>
          <w:rFonts w:ascii="Times New Roman" w:hAnsi="Times New Roman"/>
        </w:rPr>
        <w:t xml:space="preserve"> </w:t>
      </w:r>
    </w:p>
    <w:p w:rsidR="009D3D85" w:rsidRPr="009D3D85" w:rsidP="009D3D85">
      <w:pPr>
        <w:bidi w:val="0"/>
        <w:ind w:firstLine="708"/>
        <w:jc w:val="both"/>
        <w:rPr>
          <w:rFonts w:ascii="Times New Roman" w:hAnsi="Times New Roman"/>
        </w:rPr>
      </w:pPr>
    </w:p>
    <w:p w:rsidR="009D3D85" w:rsidRPr="009D3D85" w:rsidP="009D3D85">
      <w:pPr>
        <w:bidi w:val="0"/>
        <w:ind w:left="879" w:hanging="171"/>
        <w:jc w:val="both"/>
        <w:rPr>
          <w:rFonts w:ascii="Times New Roman" w:hAnsi="Times New Roman"/>
          <w:i/>
        </w:rPr>
      </w:pPr>
      <w:r w:rsidRPr="009D3D85">
        <w:rPr>
          <w:rFonts w:ascii="Times New Roman" w:hAnsi="Times New Roman"/>
        </w:rPr>
        <w:t>-</w:t>
        <w:tab/>
      </w:r>
      <w:r w:rsidRPr="009D3D85">
        <w:rPr>
          <w:rFonts w:ascii="Times New Roman" w:hAnsi="Times New Roman"/>
          <w:i/>
        </w:rPr>
        <w:t>sekundárnom (prijatom pred nadobudnutím platnosti Lisabonskej zmluvy, ktorou sa mení a dopĺňa Zmluva o Európskom spoločenstve a Zmluva o Európskej únii – do 30. novembra 2009)</w:t>
      </w:r>
    </w:p>
    <w:p w:rsidR="009D3D85" w:rsidRPr="009D3D85" w:rsidP="009D3D85">
      <w:pPr>
        <w:bidi w:val="0"/>
        <w:ind w:firstLine="708"/>
        <w:jc w:val="both"/>
        <w:rPr>
          <w:rFonts w:ascii="Times New Roman" w:hAnsi="Times New Roman"/>
        </w:rPr>
      </w:pPr>
    </w:p>
    <w:p w:rsidR="009D3D85" w:rsidRPr="009D3D85" w:rsidP="009D3D85">
      <w:pPr>
        <w:bidi w:val="0"/>
        <w:ind w:left="709" w:hanging="1"/>
        <w:jc w:val="both"/>
        <w:rPr>
          <w:rFonts w:ascii="Times New Roman" w:hAnsi="Times New Roman"/>
        </w:rPr>
      </w:pPr>
      <w:r w:rsidRPr="009D3D85">
        <w:rPr>
          <w:rFonts w:ascii="Times New Roman" w:hAnsi="Times New Roman"/>
        </w:rPr>
        <w:t>štvrtá smernica Rady 1978/660/EHS z 25. júla 1978 o ročnej účtovnej závierke niektorých typov spoločností vychádzajúcej z článku 54 ods. 3 písm. g) zmluvy (Mimoriadne vydanie Ú. v. EÚ kap. 17/zv. 1) v platnom znení,</w:t>
      </w:r>
    </w:p>
    <w:p w:rsidR="009D3D85" w:rsidRPr="009D3D85" w:rsidP="009D3D85">
      <w:pPr>
        <w:bidi w:val="0"/>
        <w:ind w:left="709" w:hanging="1"/>
        <w:jc w:val="both"/>
        <w:rPr>
          <w:rFonts w:ascii="Times New Roman" w:hAnsi="Times New Roman"/>
        </w:rPr>
      </w:pPr>
    </w:p>
    <w:p w:rsidR="009D3D85" w:rsidRPr="009D3D85" w:rsidP="009D3D85">
      <w:pPr>
        <w:bidi w:val="0"/>
        <w:ind w:left="709" w:hanging="1"/>
        <w:jc w:val="both"/>
        <w:rPr>
          <w:rFonts w:ascii="Times New Roman" w:hAnsi="Times New Roman"/>
        </w:rPr>
      </w:pPr>
      <w:r w:rsidRPr="009D3D85">
        <w:rPr>
          <w:rFonts w:ascii="Times New Roman" w:hAnsi="Times New Roman"/>
        </w:rPr>
        <w:t xml:space="preserve">siedma smernica Rady 1983/349/EHS z 13. júna 1983 o konsolidovaných účtovných závierkach, vychádzajúcej z článku 54 ods. 3 písm. g) zmluvy (Mimoriadne vydanie Ú. v. EÚ kap. 17/zv. 1) v platnom znení, </w:t>
      </w:r>
    </w:p>
    <w:p w:rsidR="009D3D85" w:rsidRPr="009D3D85" w:rsidP="009D3D85">
      <w:pPr>
        <w:bidi w:val="0"/>
        <w:ind w:left="709" w:hanging="1"/>
        <w:jc w:val="both"/>
        <w:rPr>
          <w:rFonts w:ascii="Times New Roman" w:hAnsi="Times New Roman"/>
        </w:rPr>
      </w:pPr>
      <w:r w:rsidRPr="009D3D85">
        <w:rPr>
          <w:rFonts w:ascii="Times New Roman" w:hAnsi="Times New Roman"/>
        </w:rPr>
        <w:br/>
        <w:t xml:space="preserve">smernica Rady 1986/635/EHS z 8. decembra 1986 o ročnej účtovnej závierke a konsolidovaných účtoch bánk a iných finančných inštitúcií (Mimoriadne vydanie Ú. v. EÚ kap. 6/zv. 1) v platnom znení, </w:t>
      </w:r>
    </w:p>
    <w:p w:rsidR="009D3D85" w:rsidRPr="009D3D85" w:rsidP="009D3D85">
      <w:pPr>
        <w:bidi w:val="0"/>
        <w:ind w:left="709" w:hanging="1"/>
        <w:jc w:val="both"/>
        <w:rPr>
          <w:rFonts w:ascii="Times New Roman" w:hAnsi="Times New Roman"/>
        </w:rPr>
      </w:pPr>
      <w:r w:rsidRPr="009D3D85">
        <w:rPr>
          <w:rFonts w:ascii="Times New Roman" w:hAnsi="Times New Roman"/>
        </w:rPr>
        <w:br/>
        <w:t>smernica Rady 1991/674/EHS z 19. decembra 1991 o ročných účtovných závierkach a konsolidovaných účtovných závierkach poisťovní (Mimoriadne vydanie Ú. v. EÚ kap. 6/zv. 1) v platnom znení,</w:t>
      </w:r>
    </w:p>
    <w:p w:rsidR="009D3D85" w:rsidRPr="009D3D85" w:rsidP="009D3D85">
      <w:pPr>
        <w:bidi w:val="0"/>
        <w:ind w:left="709" w:hanging="1"/>
        <w:jc w:val="both"/>
        <w:rPr>
          <w:rFonts w:ascii="Times New Roman" w:hAnsi="Times New Roman"/>
        </w:rPr>
      </w:pPr>
      <w:r w:rsidRPr="009D3D85">
        <w:rPr>
          <w:rFonts w:ascii="Times New Roman" w:hAnsi="Times New Roman"/>
        </w:rPr>
        <w:br/>
        <w:t xml:space="preserve">smernica Európskeho parlamentu a Rady 2003/41/ES z 3. júna 2003 o činnostiach a dohľade nad inštitúciami zamestnaneckého dôchodkového zabezpečenia (Mimoriadne vydanie Ú. v. EÚ kap. 5/zv. 4) v platnom znení, </w:t>
      </w:r>
    </w:p>
    <w:p w:rsidR="009D3D85" w:rsidRPr="009D3D85" w:rsidP="009D3D85">
      <w:pPr>
        <w:bidi w:val="0"/>
        <w:ind w:left="709" w:hanging="1"/>
        <w:jc w:val="both"/>
        <w:rPr>
          <w:rFonts w:ascii="Times New Roman" w:hAnsi="Times New Roman"/>
        </w:rPr>
      </w:pPr>
      <w:r w:rsidRPr="009D3D85">
        <w:rPr>
          <w:rFonts w:ascii="Times New Roman" w:hAnsi="Times New Roman"/>
        </w:rPr>
        <w:br/>
        <w:t xml:space="preserve">smernica Európskeho parlamentu a Rady 2004/25/ES z 21. apríla 2004 o ponukách na prevzatie (Mimoriadne vydanie Ú. v. EÚ kap. 17/zv. 2), </w:t>
      </w:r>
    </w:p>
    <w:p w:rsidR="009D3D85" w:rsidRPr="009D3D85" w:rsidP="009D3D85">
      <w:pPr>
        <w:bidi w:val="0"/>
        <w:ind w:left="709" w:hanging="1"/>
        <w:jc w:val="both"/>
        <w:rPr>
          <w:rFonts w:ascii="Times New Roman" w:hAnsi="Times New Roman"/>
        </w:rPr>
      </w:pPr>
      <w:r w:rsidRPr="009D3D85">
        <w:rPr>
          <w:rFonts w:ascii="Times New Roman" w:hAnsi="Times New Roman"/>
        </w:rPr>
        <w:br/>
        <w:t>smernica Európskeho parlamentu a Rady 2006/43/ES zo 17. mája 2006 o štatutárnom audite ročných účtovných závierok a konsolidovaných účtovných závierok, ktorou sa menia a dopĺňajú smernice Rady 78/660/EHS a 83/349/EHS a ktorou sa zrušuje smernica Rady 84/253/EHS (Ú. v. EÚ L 157, 9. 6. 2006), v platnom znení,</w:t>
      </w:r>
    </w:p>
    <w:p w:rsidR="009D3D85" w:rsidRPr="009D3D85" w:rsidP="009D3D85">
      <w:pPr>
        <w:bidi w:val="0"/>
        <w:ind w:left="709" w:hanging="1"/>
        <w:jc w:val="both"/>
        <w:rPr>
          <w:rFonts w:ascii="Times New Roman" w:hAnsi="Times New Roman"/>
        </w:rPr>
      </w:pPr>
      <w:r w:rsidRPr="009D3D85">
        <w:rPr>
          <w:rFonts w:ascii="Times New Roman" w:hAnsi="Times New Roman"/>
        </w:rPr>
        <w:br/>
        <w:t xml:space="preserve">smernica Komisie 2006/111/ES zo 16. novembra 2006 o transparentnosti finančných vzťahov členských štátov a verejných podnikov a o finančnej transparentnosti v niektorých podnikoch (kodifikované znenie) (Ú. v. EÚ L 318, 17. 11. 2006), </w:t>
      </w:r>
    </w:p>
    <w:p w:rsidR="009D3D85" w:rsidRPr="009D3D85" w:rsidP="009D3D85">
      <w:pPr>
        <w:bidi w:val="0"/>
        <w:ind w:left="709" w:hanging="1"/>
        <w:jc w:val="both"/>
        <w:rPr>
          <w:rFonts w:ascii="Times New Roman" w:hAnsi="Times New Roman"/>
        </w:rPr>
      </w:pPr>
      <w:r w:rsidRPr="009D3D85">
        <w:rPr>
          <w:rFonts w:ascii="Times New Roman" w:hAnsi="Times New Roman"/>
        </w:rPr>
        <w:br/>
        <w:t>smernica Európskeho parlamentu a Rady 2009/72/ES z 13. júla 2009 o spoločných pravidlách pre vnútorný trh s elektrinou, ktorou sa zrušuje smernica 2003/54/ES (Ú. v. EÚ L 211, 14.8.2009),</w:t>
      </w:r>
    </w:p>
    <w:p w:rsidR="009D3D85" w:rsidRPr="009D3D85" w:rsidP="009D3D85">
      <w:pPr>
        <w:bidi w:val="0"/>
        <w:ind w:left="709" w:hanging="1"/>
        <w:jc w:val="both"/>
        <w:rPr>
          <w:rFonts w:ascii="Times New Roman" w:hAnsi="Times New Roman"/>
        </w:rPr>
      </w:pPr>
      <w:r w:rsidRPr="009D3D85">
        <w:rPr>
          <w:rFonts w:ascii="Times New Roman" w:hAnsi="Times New Roman"/>
        </w:rPr>
        <w:br/>
        <w:t>smernica Európskeho parlamentu a Rady 2009/73/ES z 13. júla 2009 o spoločných pravidlách pre vnútorný trh so zemným plynom, ktorou sa zrušuje smernica 2003/55/ES (Ú. v. EÚ L 211, 14.8.2009),</w:t>
      </w:r>
    </w:p>
    <w:p w:rsidR="009D3D85" w:rsidRPr="009D3D85" w:rsidP="009D3D85">
      <w:pPr>
        <w:bidi w:val="0"/>
        <w:ind w:left="709" w:hanging="1"/>
        <w:jc w:val="both"/>
        <w:rPr>
          <w:rFonts w:ascii="Times New Roman" w:hAnsi="Times New Roman"/>
        </w:rPr>
      </w:pPr>
      <w:r w:rsidRPr="009D3D85">
        <w:rPr>
          <w:rFonts w:ascii="Times New Roman" w:hAnsi="Times New Roman"/>
        </w:rPr>
        <w:br/>
        <w:t>smernica Európskeho parlamentu a Rady 2009/101/ES z 16. septembra 2009 o koordinácii záruk, ktoré sa od obchodných spoločností v zmysle článku 48 druhého odseku zmluvy vyžadujú v členských štátoch na ochranu záujmov spoločníkov a tretích osôb s cieľom zabezpečiť rovnocennosť týchto záruk (kodifikované znenie) (Ú. v. EÚ L 258, 1. 10. 2009),</w:t>
      </w:r>
    </w:p>
    <w:p w:rsidR="009D3D85" w:rsidRPr="009D3D85" w:rsidP="009D3D85">
      <w:pPr>
        <w:bidi w:val="0"/>
        <w:ind w:left="709" w:hanging="1"/>
        <w:jc w:val="both"/>
        <w:rPr>
          <w:rFonts w:ascii="Times New Roman" w:hAnsi="Times New Roman"/>
        </w:rPr>
      </w:pPr>
      <w:r w:rsidRPr="009D3D85">
        <w:rPr>
          <w:rFonts w:ascii="Times New Roman" w:hAnsi="Times New Roman"/>
        </w:rPr>
        <w:br/>
        <w:t>nariadenie Európskeho parlamentu a Rady (ES) č. 1606/2002 z 19. júla 2002 o uplatňovaní medzinárodných účtovných noriem (Ú. v. ES L 243, 11.09.2002) v platnom znení.</w:t>
      </w:r>
    </w:p>
    <w:p w:rsidR="009D3D85" w:rsidRPr="009D3D85" w:rsidP="009D3D85">
      <w:pPr>
        <w:bidi w:val="0"/>
        <w:ind w:left="851"/>
        <w:rPr>
          <w:rFonts w:ascii="Times New Roman" w:hAnsi="Times New Roman"/>
        </w:rPr>
      </w:pPr>
    </w:p>
    <w:p w:rsidR="009D3D85" w:rsidRPr="009D3D85" w:rsidP="009D3D85">
      <w:pPr>
        <w:bidi w:val="0"/>
        <w:ind w:firstLine="360"/>
        <w:rPr>
          <w:rFonts w:ascii="Times New Roman" w:hAnsi="Times New Roman"/>
        </w:rPr>
      </w:pPr>
    </w:p>
    <w:p w:rsidR="009D3D85" w:rsidRPr="009D3D85" w:rsidP="009D3D85">
      <w:pPr>
        <w:bidi w:val="0"/>
        <w:ind w:left="709" w:hanging="349"/>
        <w:rPr>
          <w:rFonts w:ascii="Times New Roman" w:hAnsi="Times New Roman"/>
        </w:rPr>
      </w:pPr>
      <w:r w:rsidRPr="009D3D85">
        <w:rPr>
          <w:rFonts w:ascii="Times New Roman" w:hAnsi="Times New Roman"/>
        </w:rPr>
        <w:t>b)</w:t>
        <w:tab/>
        <w:t>je obsiahnutá v judikatúre Súdneho dvora Európskej únie.</w:t>
      </w:r>
    </w:p>
    <w:p w:rsidR="009D3D85" w:rsidRPr="009D3D85" w:rsidP="009D3D85">
      <w:pPr>
        <w:bidi w:val="0"/>
        <w:ind w:left="709" w:hanging="349"/>
        <w:rPr>
          <w:rFonts w:ascii="Times New Roman" w:hAnsi="Times New Roman"/>
        </w:rPr>
      </w:pPr>
    </w:p>
    <w:p w:rsidR="009D3D85" w:rsidRPr="009D3D85" w:rsidP="009D3D85">
      <w:pPr>
        <w:bidi w:val="0"/>
        <w:ind w:left="720"/>
        <w:rPr>
          <w:rFonts w:ascii="Times New Roman" w:hAnsi="Times New Roman"/>
        </w:rPr>
      </w:pPr>
      <w:r w:rsidRPr="009D3D85">
        <w:rPr>
          <w:rFonts w:ascii="Times New Roman" w:hAnsi="Times New Roman"/>
        </w:rPr>
        <w:t xml:space="preserve">rozhodnutie Súdneho dvora Európskych spoločenstiev vo veci C - 306/1999, Banque internationale pour l'Afrique occidentale SA (BIAO) v. Finanzamt für Großunternehmen in Hamburg, [2003], </w:t>
        <w:br/>
        <w:t xml:space="preserve">rozhodnutie Súdneho dvora Európskych spoločenstiev vo veci C - 182/2000, Lutz GmbH a iní, [2002], </w:t>
        <w:br/>
        <w:t xml:space="preserve">rozhodnutie Súdneho dvora Európskych spoločenstiev vo veci C - 275/1997, DE + ES Bauunternehmung GmbH v. Finanzamt Bergheim, [1999], </w:t>
        <w:br/>
        <w:t xml:space="preserve">rozhodnutie Súdneho dvora Európskych spoločenstiev vo veci C - 272/1997, Európska komisia v. Spolková republika Nemecko, [1999], </w:t>
        <w:br/>
        <w:br/>
        <w:t xml:space="preserve">rozhodnutie Súdneho dvora Európskych spoločenstiev vo veci C - 96/2005, Komisia Európskych spoločenstiev v. Helénska republika, [nepublikované]. </w:t>
        <w:br/>
        <w:br/>
        <w:t xml:space="preserve">rozhodnutie Súdneho dvora Európskych spoločenstiev vo veci C - 115/2005, Komisia Európskych spoločenstiev v. Luxemburské veľkovojvodstvo, [nepublikované]. </w:t>
        <w:br/>
        <w:t> </w:t>
      </w:r>
    </w:p>
    <w:p w:rsidR="009D3D85" w:rsidRPr="009D3D85" w:rsidP="009D3D85">
      <w:pPr>
        <w:bidi w:val="0"/>
        <w:ind w:left="426"/>
        <w:rPr>
          <w:rFonts w:ascii="Times New Roman" w:hAnsi="Times New Roman"/>
        </w:rPr>
      </w:pPr>
    </w:p>
    <w:p w:rsidR="009D3D85" w:rsidRPr="009D3D85" w:rsidP="009D3D85">
      <w:pPr>
        <w:bidi w:val="0"/>
        <w:ind w:left="360" w:hanging="360"/>
        <w:rPr>
          <w:rFonts w:ascii="Times New Roman" w:hAnsi="Times New Roman"/>
          <w:b/>
        </w:rPr>
      </w:pPr>
      <w:r w:rsidRPr="009D3D85">
        <w:rPr>
          <w:rFonts w:ascii="Times New Roman" w:hAnsi="Times New Roman"/>
          <w:b/>
        </w:rPr>
        <w:t>4.</w:t>
        <w:tab/>
        <w:t xml:space="preserve">Záväzky Slovenskej republiky vo vzťahu k Európskej únii: </w:t>
      </w:r>
    </w:p>
    <w:p w:rsidR="009D3D85" w:rsidRPr="009D3D85" w:rsidP="009D3D85">
      <w:pPr>
        <w:bidi w:val="0"/>
        <w:rPr>
          <w:rFonts w:ascii="Times New Roman" w:hAnsi="Times New Roman"/>
        </w:rPr>
      </w:pPr>
    </w:p>
    <w:p w:rsidR="009D3D85" w:rsidRPr="009D3D85" w:rsidP="009D3D85">
      <w:pPr>
        <w:bidi w:val="0"/>
        <w:ind w:left="709" w:hanging="349"/>
        <w:rPr>
          <w:rFonts w:ascii="Times New Roman" w:hAnsi="Times New Roman"/>
        </w:rPr>
      </w:pPr>
      <w:r w:rsidRPr="009D3D85">
        <w:rPr>
          <w:rFonts w:ascii="Times New Roman" w:hAnsi="Times New Roman"/>
        </w:rPr>
        <w:t>a)</w:t>
        <w:tab/>
        <w:t>lehota na prebratie smernice alebo lehota na implementáciu nariadenia alebo rozhodnutia</w:t>
      </w:r>
    </w:p>
    <w:p w:rsidR="009D3D85" w:rsidRPr="009D3D85" w:rsidP="009D3D85">
      <w:pPr>
        <w:bidi w:val="0"/>
        <w:ind w:left="720"/>
        <w:rPr>
          <w:rFonts w:ascii="Times New Roman" w:hAnsi="Times New Roman"/>
        </w:rPr>
      </w:pPr>
    </w:p>
    <w:p w:rsidR="009D3D85" w:rsidRPr="009D3D85" w:rsidP="009D3D85">
      <w:pPr>
        <w:bidi w:val="0"/>
        <w:ind w:left="720"/>
        <w:rPr>
          <w:rFonts w:ascii="Times New Roman" w:hAnsi="Times New Roman"/>
        </w:rPr>
      </w:pPr>
      <w:r w:rsidRPr="009D3D85">
        <w:rPr>
          <w:rFonts w:ascii="Times New Roman" w:hAnsi="Times New Roman"/>
        </w:rPr>
        <w:t>Lehota na prebratie smernice 2012/6/EÚ nie je určená, jej transpozícia je dobrovoľná. </w:t>
      </w:r>
    </w:p>
    <w:p w:rsidR="009D3D85" w:rsidRPr="009D3D85" w:rsidP="009D3D85">
      <w:pPr>
        <w:bidi w:val="0"/>
        <w:rPr>
          <w:rFonts w:ascii="Times New Roman" w:hAnsi="Times New Roman"/>
        </w:rPr>
      </w:pPr>
    </w:p>
    <w:p w:rsidR="009D3D85" w:rsidRPr="009D3D85" w:rsidP="009D3D85">
      <w:pPr>
        <w:bidi w:val="0"/>
        <w:ind w:left="709" w:hanging="349"/>
        <w:rPr>
          <w:rFonts w:ascii="Times New Roman" w:hAnsi="Times New Roman"/>
        </w:rPr>
      </w:pPr>
      <w:r w:rsidRPr="009D3D85">
        <w:rPr>
          <w:rFonts w:ascii="Times New Roman" w:hAnsi="Times New Roman"/>
        </w:rPr>
        <w:t>b)</w:t>
        <w:tab/>
      </w:r>
      <w:r w:rsidRPr="009D3D85">
        <w:rPr>
          <w:rFonts w:ascii="Times New Roman" w:hAnsi="Times New Roman"/>
          <w:color w:val="000000"/>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p w:rsidR="009D3D85" w:rsidRPr="009D3D85" w:rsidP="009D3D85">
      <w:pPr>
        <w:bidi w:val="0"/>
        <w:ind w:left="709" w:hanging="349"/>
        <w:rPr>
          <w:rFonts w:ascii="Times New Roman" w:hAnsi="Times New Roman"/>
        </w:rPr>
      </w:pPr>
      <w:r w:rsidRPr="009D3D85">
        <w:rPr>
          <w:rFonts w:ascii="Times New Roman" w:hAnsi="Times New Roman"/>
        </w:rPr>
        <w:tab/>
      </w:r>
    </w:p>
    <w:p w:rsidR="009D3D85" w:rsidRPr="009D3D85" w:rsidP="009D3D85">
      <w:pPr>
        <w:bidi w:val="0"/>
        <w:ind w:left="709" w:hanging="349"/>
        <w:rPr>
          <w:rFonts w:ascii="Times New Roman" w:hAnsi="Times New Roman"/>
        </w:rPr>
      </w:pPr>
      <w:r w:rsidRPr="009D3D85">
        <w:rPr>
          <w:rFonts w:ascii="Times New Roman" w:hAnsi="Times New Roman"/>
        </w:rPr>
        <w:tab/>
        <w:t>nebola stanovená. </w:t>
      </w:r>
    </w:p>
    <w:p w:rsidR="009D3D85" w:rsidRPr="009D3D85" w:rsidP="009D3D85">
      <w:pPr>
        <w:bidi w:val="0"/>
        <w:ind w:left="709" w:hanging="349"/>
        <w:rPr>
          <w:rFonts w:ascii="Times New Roman" w:hAnsi="Times New Roman"/>
        </w:rPr>
      </w:pPr>
    </w:p>
    <w:p w:rsidR="009D3D85" w:rsidRPr="009D3D85" w:rsidP="009D3D85">
      <w:pPr>
        <w:bidi w:val="0"/>
        <w:ind w:left="709" w:hanging="349"/>
        <w:rPr>
          <w:rFonts w:ascii="Times New Roman" w:hAnsi="Times New Roman"/>
        </w:rPr>
      </w:pPr>
      <w:r w:rsidRPr="009D3D85">
        <w:rPr>
          <w:rFonts w:ascii="Times New Roman" w:hAnsi="Times New Roman"/>
        </w:rPr>
        <w:t>c)</w:t>
        <w:tab/>
        <w:t>informácia o konaní začatom proti Slovenskej republike o porušení podľa čl. 258 až 260 Zmluvy o fungovaní Európskej únie</w:t>
      </w:r>
    </w:p>
    <w:p w:rsidR="009D3D85" w:rsidRPr="009D3D85" w:rsidP="009D3D85">
      <w:pPr>
        <w:bidi w:val="0"/>
        <w:ind w:left="720"/>
        <w:rPr>
          <w:rFonts w:ascii="Times New Roman" w:hAnsi="Times New Roman"/>
        </w:rPr>
      </w:pPr>
    </w:p>
    <w:p w:rsidR="009D3D85" w:rsidRPr="009D3D85" w:rsidP="009D3D85">
      <w:pPr>
        <w:bidi w:val="0"/>
        <w:ind w:left="709"/>
        <w:rPr>
          <w:rFonts w:ascii="Times New Roman" w:hAnsi="Times New Roman"/>
        </w:rPr>
      </w:pPr>
      <w:r w:rsidRPr="009D3D85">
        <w:rPr>
          <w:rFonts w:ascii="Times New Roman" w:hAnsi="Times New Roman"/>
        </w:rPr>
        <w:t>Proti SR nebolo začaté konanie o porušení Zmluvy o fungovaní Európskej únie podľa čl. 258 až 260 Zmluvy o fungovaní Európskej únie. </w:t>
      </w:r>
    </w:p>
    <w:p w:rsidR="009D3D85" w:rsidRPr="009D3D85" w:rsidP="009D3D85">
      <w:pPr>
        <w:bidi w:val="0"/>
        <w:ind w:firstLine="708"/>
        <w:rPr>
          <w:rFonts w:ascii="Times New Roman" w:hAnsi="Times New Roman"/>
        </w:rPr>
      </w:pPr>
    </w:p>
    <w:p w:rsidR="009D3D85" w:rsidRPr="009D3D85" w:rsidP="009D3D85">
      <w:pPr>
        <w:bidi w:val="0"/>
        <w:ind w:left="709" w:hanging="349"/>
        <w:rPr>
          <w:rFonts w:ascii="Times New Roman" w:hAnsi="Times New Roman"/>
        </w:rPr>
      </w:pPr>
      <w:r w:rsidRPr="009D3D85">
        <w:rPr>
          <w:rFonts w:ascii="Times New Roman" w:hAnsi="Times New Roman"/>
        </w:rPr>
        <w:t>d)</w:t>
        <w:tab/>
        <w:t>informácia o právnych predpisoch, v ktorých sú preberané smernice už prebraté spolu s uvedením rozsahu tohto prebratia</w:t>
      </w:r>
    </w:p>
    <w:p w:rsidR="009D3D85" w:rsidRPr="009D3D85" w:rsidP="009D3D85">
      <w:pPr>
        <w:bidi w:val="0"/>
        <w:ind w:left="720"/>
        <w:rPr>
          <w:rFonts w:ascii="Times New Roman" w:hAnsi="Times New Roman"/>
        </w:rPr>
      </w:pPr>
    </w:p>
    <w:p w:rsidR="009D3D85" w:rsidRPr="009D3D85" w:rsidP="009D3D85">
      <w:pPr>
        <w:bidi w:val="0"/>
        <w:ind w:firstLine="708"/>
        <w:rPr>
          <w:rFonts w:ascii="Times New Roman" w:hAnsi="Times New Roman"/>
        </w:rPr>
      </w:pPr>
      <w:r w:rsidRPr="009D3D85">
        <w:rPr>
          <w:rFonts w:ascii="Times New Roman" w:hAnsi="Times New Roman"/>
        </w:rPr>
        <w:t>Bezpredmetné. </w:t>
      </w:r>
    </w:p>
    <w:p w:rsidR="009D3D85" w:rsidRPr="009D3D85" w:rsidP="009D3D85">
      <w:pPr>
        <w:bidi w:val="0"/>
        <w:ind w:firstLine="708"/>
        <w:rPr>
          <w:rFonts w:ascii="Times New Roman" w:hAnsi="Times New Roman"/>
        </w:rPr>
      </w:pPr>
    </w:p>
    <w:p w:rsidR="009D3D85" w:rsidRPr="009D3D85" w:rsidP="009D3D85">
      <w:pPr>
        <w:bidi w:val="0"/>
        <w:ind w:left="360" w:hanging="360"/>
        <w:rPr>
          <w:rFonts w:ascii="Times New Roman" w:hAnsi="Times New Roman"/>
          <w:b/>
        </w:rPr>
      </w:pPr>
      <w:r w:rsidRPr="009D3D85">
        <w:rPr>
          <w:rFonts w:ascii="Times New Roman" w:hAnsi="Times New Roman"/>
          <w:b/>
        </w:rPr>
        <w:t>5.</w:t>
        <w:tab/>
        <w:t>Stupeň zlučiteľnosti návrhu právneho predpisu s právom Európskej únie:</w:t>
      </w:r>
    </w:p>
    <w:p w:rsidR="009D3D85" w:rsidRPr="009D3D85" w:rsidP="009D3D85">
      <w:pPr>
        <w:bidi w:val="0"/>
        <w:rPr>
          <w:rFonts w:ascii="Times New Roman" w:hAnsi="Times New Roman"/>
        </w:rPr>
      </w:pPr>
    </w:p>
    <w:p w:rsidR="009D3D85" w:rsidRPr="009D3D85" w:rsidP="009D3D85">
      <w:pPr>
        <w:bidi w:val="0"/>
        <w:ind w:firstLine="360"/>
        <w:rPr>
          <w:rFonts w:ascii="Times New Roman" w:hAnsi="Times New Roman"/>
        </w:rPr>
      </w:pPr>
      <w:r w:rsidRPr="009D3D85">
        <w:rPr>
          <w:rFonts w:ascii="Times New Roman" w:hAnsi="Times New Roman"/>
        </w:rPr>
        <w:t>Stupeň zlučiteľnosti - úplný </w:t>
      </w:r>
    </w:p>
    <w:p w:rsidR="009D3D85" w:rsidRPr="009D3D85" w:rsidP="009D3D85">
      <w:pPr>
        <w:bidi w:val="0"/>
        <w:rPr>
          <w:rFonts w:ascii="Times New Roman" w:hAnsi="Times New Roman"/>
        </w:rPr>
      </w:pPr>
    </w:p>
    <w:p w:rsidR="009D3D85" w:rsidRPr="009D3D85" w:rsidP="009D3D85">
      <w:pPr>
        <w:bidi w:val="0"/>
        <w:ind w:left="360" w:hanging="360"/>
        <w:rPr>
          <w:rFonts w:ascii="Times New Roman" w:hAnsi="Times New Roman"/>
          <w:b/>
        </w:rPr>
      </w:pPr>
      <w:r w:rsidRPr="009D3D85">
        <w:rPr>
          <w:rFonts w:ascii="Times New Roman" w:hAnsi="Times New Roman"/>
          <w:b/>
        </w:rPr>
        <w:t>6.</w:t>
        <w:tab/>
        <w:t xml:space="preserve">Gestor a spolupracujúce rezorty: </w:t>
      </w:r>
    </w:p>
    <w:p w:rsidR="009D3D85" w:rsidRPr="009D3D85" w:rsidP="009D3D85">
      <w:pPr>
        <w:tabs>
          <w:tab w:val="left" w:pos="360"/>
        </w:tabs>
        <w:bidi w:val="0"/>
        <w:ind w:left="360"/>
        <w:rPr>
          <w:rFonts w:ascii="Times New Roman" w:hAnsi="Times New Roman"/>
        </w:rPr>
      </w:pPr>
    </w:p>
    <w:p w:rsidR="009D3D85" w:rsidRPr="009D3D85" w:rsidP="002F565C">
      <w:pPr>
        <w:widowControl/>
        <w:bidi w:val="0"/>
        <w:spacing w:after="280" w:afterAutospacing="1"/>
        <w:ind w:left="426"/>
        <w:rPr>
          <w:rStyle w:val="PlaceholderText"/>
          <w:rFonts w:ascii="Arial Narrow" w:hAnsi="Arial Narrow" w:cs="Arial Narrow"/>
          <w:color w:val="000000"/>
          <w:sz w:val="22"/>
        </w:rPr>
      </w:pPr>
      <w:r w:rsidRPr="009D3D85">
        <w:rPr>
          <w:rFonts w:ascii="Times New Roman" w:hAnsi="Times New Roman"/>
        </w:rPr>
        <w:t>Ministerstvo spravodlivosti Slovenskej republiky</w:t>
        <w:br/>
        <w:t>Ministerstvo financií Slovenskej republiky</w:t>
        <w:br/>
        <w:t>Ministerstvo hospodárstva Slovenskej republiky</w:t>
        <w:br/>
        <w:t>Ministerstvo práce, sociálnych vecí a rodiny Slovenskej republiky</w:t>
        <w:br/>
      </w:r>
    </w:p>
    <w:p w:rsidR="009D3D85" w:rsidRPr="009D3D85" w:rsidP="009D3D85">
      <w:pPr>
        <w:bidi w:val="0"/>
        <w:jc w:val="center"/>
        <w:rPr>
          <w:rFonts w:ascii="Times New Roman" w:hAnsi="Times New Roman"/>
          <w:b/>
          <w:bCs/>
          <w:caps/>
          <w:color w:val="000000"/>
          <w:spacing w:val="30"/>
        </w:rPr>
      </w:pPr>
      <w:r w:rsidRPr="009D3D85">
        <w:rPr>
          <w:rFonts w:ascii="Times New Roman" w:hAnsi="Times New Roman"/>
          <w:b/>
          <w:bCs/>
          <w:caps/>
          <w:color w:val="000000"/>
          <w:spacing w:val="30"/>
        </w:rPr>
        <w:t>Doložka</w:t>
      </w:r>
    </w:p>
    <w:p w:rsidR="009D3D85" w:rsidRPr="009D3D85" w:rsidP="009D3D85">
      <w:pPr>
        <w:bidi w:val="0"/>
        <w:jc w:val="center"/>
        <w:rPr>
          <w:rFonts w:ascii="Times New Roman" w:hAnsi="Times New Roman"/>
          <w:b/>
          <w:bCs/>
          <w:color w:val="000000"/>
        </w:rPr>
      </w:pPr>
      <w:r w:rsidRPr="009D3D85">
        <w:rPr>
          <w:rFonts w:ascii="Times New Roman" w:hAnsi="Times New Roman"/>
          <w:b/>
          <w:bCs/>
          <w:color w:val="000000"/>
        </w:rPr>
        <w:t>vybraných vplyvov</w:t>
      </w:r>
    </w:p>
    <w:p w:rsidR="009D3D85" w:rsidRPr="009D3D85" w:rsidP="009D3D85">
      <w:pPr>
        <w:bidi w:val="0"/>
        <w:rPr>
          <w:rFonts w:ascii="Times New Roman" w:hAnsi="Times New Roman"/>
          <w:color w:val="000000"/>
        </w:rPr>
      </w:pPr>
    </w:p>
    <w:p w:rsidR="009D3D85" w:rsidRPr="009D3D85" w:rsidP="009D3D85">
      <w:pPr>
        <w:bidi w:val="0"/>
        <w:rPr>
          <w:rFonts w:ascii="Times New Roman" w:hAnsi="Times New Roman"/>
          <w:color w:val="000000"/>
        </w:rPr>
      </w:pPr>
    </w:p>
    <w:p w:rsidR="009D3D85" w:rsidRPr="009D3D85" w:rsidP="009D3D85">
      <w:pPr>
        <w:bidi w:val="0"/>
        <w:jc w:val="both"/>
        <w:rPr>
          <w:rFonts w:ascii="Times New Roman" w:hAnsi="Times New Roman"/>
          <w:color w:val="000000"/>
        </w:rPr>
      </w:pPr>
      <w:r w:rsidRPr="009D3D85">
        <w:rPr>
          <w:rFonts w:ascii="Times New Roman" w:hAnsi="Times New Roman"/>
          <w:b/>
          <w:bCs/>
          <w:color w:val="000000"/>
        </w:rPr>
        <w:t xml:space="preserve">A.1. Názov materiálu: </w:t>
      </w:r>
      <w:r w:rsidRPr="009D3D85">
        <w:rPr>
          <w:rFonts w:ascii="Times New Roman" w:hAnsi="Times New Roman"/>
          <w:color w:val="000000"/>
        </w:rPr>
        <w:t>Návrh zákona, ktorým sa mení a dopĺňa zákon č. 431/2002 Z. z. o účtovníctve v znení neskorších predpisov a ktorým sa menia a dopĺňajú niektoré zákony </w:t>
      </w:r>
    </w:p>
    <w:p w:rsidR="009D3D85" w:rsidRPr="009D3D85" w:rsidP="009D3D85">
      <w:pPr>
        <w:bidi w:val="0"/>
        <w:jc w:val="both"/>
        <w:rPr>
          <w:rFonts w:ascii="Times New Roman" w:hAnsi="Times New Roman"/>
          <w:b/>
          <w:bCs/>
          <w:color w:val="000000"/>
        </w:rPr>
      </w:pPr>
      <w:r w:rsidRPr="009D3D85">
        <w:rPr>
          <w:rFonts w:ascii="Times New Roman" w:hAnsi="Times New Roman"/>
          <w:b/>
          <w:bCs/>
          <w:color w:val="000000"/>
        </w:rPr>
        <w:t xml:space="preserve">        Termín začatia a ukončenia PPK:</w:t>
      </w:r>
      <w:r w:rsidRPr="009D3D85">
        <w:rPr>
          <w:rFonts w:ascii="Times New Roman" w:hAnsi="Times New Roman"/>
          <w:color w:val="000000"/>
        </w:rPr>
        <w:t xml:space="preserve"> -  </w:t>
      </w:r>
    </w:p>
    <w:p w:rsidR="009D3D85" w:rsidRPr="009D3D85" w:rsidP="009D3D85">
      <w:pPr>
        <w:bidi w:val="0"/>
        <w:jc w:val="both"/>
        <w:rPr>
          <w:rFonts w:ascii="Times New Roman" w:hAnsi="Times New Roman"/>
          <w:b/>
          <w:bCs/>
          <w:color w:val="000000"/>
        </w:rPr>
      </w:pPr>
    </w:p>
    <w:p w:rsidR="009D3D85" w:rsidRPr="009D3D85" w:rsidP="009D3D85">
      <w:pPr>
        <w:bidi w:val="0"/>
        <w:jc w:val="both"/>
        <w:rPr>
          <w:rFonts w:ascii="Times New Roman" w:hAnsi="Times New Roman"/>
          <w:b/>
          <w:bCs/>
          <w:color w:val="000000"/>
        </w:rPr>
      </w:pPr>
      <w:r w:rsidRPr="009D3D85">
        <w:rPr>
          <w:rFonts w:ascii="Times New Roman" w:hAnsi="Times New Roman"/>
          <w:b/>
          <w:bCs/>
          <w:color w:val="000000"/>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758"/>
        <w:gridCol w:w="1206"/>
        <w:gridCol w:w="1206"/>
        <w:gridCol w:w="120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9D3D85" w:rsidRPr="009D3D85" w:rsidP="009D3D85">
            <w:pPr>
              <w:widowControl/>
              <w:bidi w:val="0"/>
              <w:spacing w:after="0" w:line="240" w:lineRule="auto"/>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3D85" w:rsidRPr="009D3D85" w:rsidP="009D3D85">
            <w:pPr>
              <w:widowControl/>
              <w:bidi w:val="0"/>
              <w:spacing w:after="0" w:line="240" w:lineRule="auto"/>
              <w:jc w:val="center"/>
              <w:rPr>
                <w:rFonts w:ascii="Times New Roman" w:hAnsi="Times New Roman"/>
                <w:color w:val="000000"/>
              </w:rPr>
            </w:pPr>
            <w:r w:rsidRPr="009D3D85">
              <w:rPr>
                <w:rFonts w:ascii="Times New Roman" w:hAnsi="Times New Roman"/>
                <w:color w:val="000000"/>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3D85" w:rsidRPr="009D3D85" w:rsidP="009D3D85">
            <w:pPr>
              <w:widowControl/>
              <w:bidi w:val="0"/>
              <w:spacing w:after="0" w:line="240" w:lineRule="auto"/>
              <w:jc w:val="center"/>
              <w:rPr>
                <w:rFonts w:ascii="Times New Roman" w:hAnsi="Times New Roman"/>
                <w:color w:val="000000"/>
              </w:rPr>
            </w:pPr>
            <w:r w:rsidRPr="009D3D85">
              <w:rPr>
                <w:rFonts w:ascii="Times New Roman" w:hAnsi="Times New Roman"/>
                <w:color w:val="000000"/>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3D85" w:rsidRPr="009D3D85" w:rsidP="009D3D85">
            <w:pPr>
              <w:widowControl/>
              <w:bidi w:val="0"/>
              <w:spacing w:after="0" w:line="240" w:lineRule="auto"/>
              <w:jc w:val="center"/>
              <w:rPr>
                <w:rFonts w:ascii="Times New Roman" w:hAnsi="Times New Roman"/>
                <w:color w:val="000000"/>
              </w:rPr>
            </w:pPr>
            <w:r w:rsidRPr="009D3D85">
              <w:rPr>
                <w:rFonts w:ascii="Times New Roman" w:hAnsi="Times New Roman"/>
                <w:color w:val="000000"/>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9D3D85" w:rsidRPr="009D3D85" w:rsidP="009D3D85">
            <w:pPr>
              <w:widowControl/>
              <w:bidi w:val="0"/>
              <w:spacing w:after="0" w:line="240" w:lineRule="auto"/>
              <w:rPr>
                <w:rFonts w:ascii="Times New Roman" w:hAnsi="Times New Roman"/>
                <w:color w:val="000000"/>
              </w:rPr>
            </w:pPr>
            <w:r w:rsidRPr="009D3D85">
              <w:rPr>
                <w:rFonts w:ascii="Times New Roman" w:hAnsi="Times New Roman"/>
                <w:color w:val="000000"/>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3D85" w:rsidRPr="009D3D85" w:rsidP="009D3D85">
            <w:pPr>
              <w:widowControl/>
              <w:bidi w:val="0"/>
              <w:spacing w:after="0" w:line="240" w:lineRule="auto"/>
              <w:jc w:val="center"/>
              <w:rPr>
                <w:rFonts w:ascii="Times New Roman" w:hAnsi="Times New Roman"/>
                <w:color w:val="000000"/>
              </w:rPr>
            </w:pPr>
            <w:r w:rsidRPr="009D3D85">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3D85" w:rsidRPr="009D3D85" w:rsidP="009D3D85">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3D85" w:rsidRPr="009D3D85" w:rsidP="009D3D85">
            <w:pPr>
              <w:widowControl/>
              <w:bidi w:val="0"/>
              <w:spacing w:after="0" w:line="240" w:lineRule="auto"/>
              <w:jc w:val="center"/>
              <w:rPr>
                <w:rFonts w:ascii="Times New Roman" w:hAnsi="Times New Roman"/>
                <w:color w:val="000000"/>
              </w:rPr>
            </w:pPr>
            <w:r w:rsidRPr="009D3D85">
              <w:rPr>
                <w:rFonts w:ascii="Times New Roman" w:hAnsi="Times New Roman"/>
                <w:color w:val="000000"/>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9D3D85" w:rsidRPr="009D3D85" w:rsidP="009D3D85">
            <w:pPr>
              <w:widowControl/>
              <w:bidi w:val="0"/>
              <w:spacing w:after="0" w:line="240" w:lineRule="auto"/>
              <w:rPr>
                <w:rFonts w:ascii="Times New Roman" w:hAnsi="Times New Roman"/>
                <w:color w:val="000000"/>
              </w:rPr>
            </w:pPr>
            <w:r w:rsidRPr="009D3D85">
              <w:rPr>
                <w:rFonts w:ascii="Times New Roman" w:hAnsi="Times New Roman"/>
                <w:color w:val="000000"/>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3D85" w:rsidRPr="009D3D85" w:rsidP="009D3D85">
            <w:pPr>
              <w:widowControl/>
              <w:bidi w:val="0"/>
              <w:spacing w:after="0" w:line="240" w:lineRule="auto"/>
              <w:jc w:val="center"/>
              <w:rPr>
                <w:rFonts w:ascii="Times New Roman" w:hAnsi="Times New Roman"/>
                <w:color w:val="000000"/>
              </w:rPr>
            </w:pPr>
            <w:r w:rsidRPr="009D3D85">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3D85" w:rsidRPr="009D3D85" w:rsidP="009D3D85">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3D85" w:rsidRPr="009D3D85" w:rsidP="009D3D85">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9D3D85" w:rsidRPr="009D3D85" w:rsidP="009D3D85">
            <w:pPr>
              <w:widowControl/>
              <w:bidi w:val="0"/>
              <w:spacing w:after="0" w:line="240" w:lineRule="auto"/>
              <w:rPr>
                <w:rFonts w:ascii="Times New Roman" w:hAnsi="Times New Roman"/>
                <w:color w:val="000000"/>
              </w:rPr>
            </w:pPr>
            <w:r w:rsidRPr="009D3D85">
              <w:rPr>
                <w:rFonts w:ascii="Times New Roman" w:hAnsi="Times New Roman"/>
                <w:color w:val="000000"/>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3D85" w:rsidRPr="009D3D85" w:rsidP="009D3D85">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3D85" w:rsidRPr="009D3D85" w:rsidP="009D3D85">
            <w:pPr>
              <w:widowControl/>
              <w:bidi w:val="0"/>
              <w:spacing w:after="0" w:line="240" w:lineRule="auto"/>
              <w:jc w:val="center"/>
              <w:rPr>
                <w:rFonts w:ascii="Times New Roman" w:hAnsi="Times New Roman"/>
                <w:color w:val="000000"/>
              </w:rPr>
            </w:pPr>
            <w:r w:rsidRPr="009D3D85">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3D85" w:rsidRPr="009D3D85" w:rsidP="009D3D85">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9D3D85" w:rsidRPr="009D3D85" w:rsidP="009D3D85">
            <w:pPr>
              <w:widowControl/>
              <w:bidi w:val="0"/>
              <w:spacing w:after="0" w:line="240" w:lineRule="auto"/>
              <w:rPr>
                <w:rFonts w:ascii="Times New Roman" w:hAnsi="Times New Roman"/>
                <w:color w:val="000000"/>
              </w:rPr>
            </w:pPr>
            <w:r w:rsidRPr="009D3D85">
              <w:rPr>
                <w:rFonts w:ascii="Times New Roman" w:hAnsi="Times New Roman"/>
                <w:color w:val="000000"/>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9D3D85" w:rsidRPr="009D3D85" w:rsidP="009D3D85">
            <w:pPr>
              <w:widowControl/>
              <w:bidi w:val="0"/>
              <w:spacing w:after="0" w:line="240" w:lineRule="auto"/>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9D3D85" w:rsidRPr="009D3D85" w:rsidP="009D3D85">
            <w:pPr>
              <w:widowControl/>
              <w:bidi w:val="0"/>
              <w:spacing w:after="0" w:line="240" w:lineRule="auto"/>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9D3D85" w:rsidRPr="009D3D85" w:rsidP="009D3D85">
            <w:pPr>
              <w:widowControl/>
              <w:bidi w:val="0"/>
              <w:spacing w:after="0" w:line="240" w:lineRule="auto"/>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9D3D85" w:rsidRPr="009D3D85" w:rsidP="009D3D85">
            <w:pPr>
              <w:widowControl/>
              <w:bidi w:val="0"/>
              <w:spacing w:after="0" w:line="240" w:lineRule="auto"/>
              <w:rPr>
                <w:rFonts w:ascii="Times New Roman" w:hAnsi="Times New Roman"/>
                <w:color w:val="000000"/>
              </w:rPr>
            </w:pPr>
            <w:r w:rsidRPr="009D3D85">
              <w:rPr>
                <w:rFonts w:ascii="Times New Roman" w:hAnsi="Times New Roman"/>
                <w:color w:val="000000"/>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3D85" w:rsidRPr="009D3D85" w:rsidP="009D3D85">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3D85" w:rsidRPr="009D3D85" w:rsidP="009D3D85">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3D85" w:rsidRPr="009D3D85" w:rsidP="009D3D85">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9D3D85" w:rsidRPr="009D3D85" w:rsidP="009D3D85">
            <w:pPr>
              <w:widowControl/>
              <w:bidi w:val="0"/>
              <w:spacing w:after="0" w:line="240" w:lineRule="auto"/>
              <w:rPr>
                <w:rFonts w:ascii="Times New Roman" w:hAnsi="Times New Roman"/>
                <w:color w:val="000000"/>
              </w:rPr>
            </w:pPr>
            <w:r w:rsidRPr="009D3D85">
              <w:rPr>
                <w:rFonts w:ascii="Times New Roman" w:hAnsi="Times New Roman"/>
                <w:color w:val="000000"/>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3D85" w:rsidRPr="009D3D85" w:rsidP="009D3D85">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3D85" w:rsidRPr="009D3D85" w:rsidP="009D3D85">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3D85" w:rsidRPr="009D3D85" w:rsidP="009D3D85">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9D3D85" w:rsidRPr="009D3D85" w:rsidP="009D3D85">
            <w:pPr>
              <w:widowControl/>
              <w:bidi w:val="0"/>
              <w:spacing w:after="0" w:line="240" w:lineRule="auto"/>
              <w:rPr>
                <w:rFonts w:ascii="Times New Roman" w:hAnsi="Times New Roman"/>
                <w:color w:val="000000"/>
              </w:rPr>
            </w:pPr>
            <w:r w:rsidRPr="009D3D85">
              <w:rPr>
                <w:rFonts w:ascii="Times New Roman" w:hAnsi="Times New Roman"/>
                <w:color w:val="000000"/>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3D85" w:rsidRPr="009D3D85" w:rsidP="009D3D85">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3D85" w:rsidRPr="009D3D85" w:rsidP="009D3D85">
            <w:pPr>
              <w:widowControl/>
              <w:bidi w:val="0"/>
              <w:spacing w:after="0" w:line="240" w:lineRule="auto"/>
              <w:jc w:val="center"/>
              <w:rPr>
                <w:rFonts w:ascii="Times New Roman" w:hAnsi="Times New Roman"/>
                <w:color w:val="000000"/>
              </w:rPr>
            </w:pPr>
            <w:r w:rsidRPr="009D3D85">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3D85" w:rsidRPr="009D3D85" w:rsidP="009D3D85">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9D3D85" w:rsidRPr="009D3D85" w:rsidP="009D3D85">
            <w:pPr>
              <w:widowControl/>
              <w:bidi w:val="0"/>
              <w:spacing w:after="0" w:line="240" w:lineRule="auto"/>
              <w:rPr>
                <w:rFonts w:ascii="Times New Roman" w:hAnsi="Times New Roman"/>
                <w:color w:val="000000"/>
              </w:rPr>
            </w:pPr>
            <w:r w:rsidRPr="009D3D85">
              <w:rPr>
                <w:rFonts w:ascii="Times New Roman" w:hAnsi="Times New Roman"/>
                <w:color w:val="000000"/>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3D85" w:rsidRPr="009D3D85" w:rsidP="009D3D85">
            <w:pPr>
              <w:widowControl/>
              <w:bidi w:val="0"/>
              <w:spacing w:after="0" w:line="240" w:lineRule="auto"/>
              <w:jc w:val="center"/>
              <w:rPr>
                <w:rFonts w:ascii="Times New Roman" w:hAnsi="Times New Roman"/>
                <w:color w:val="000000"/>
              </w:rPr>
            </w:pPr>
            <w:r w:rsidRPr="009D3D85">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3D85" w:rsidRPr="009D3D85" w:rsidP="009D3D85">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3D85" w:rsidRPr="009D3D85" w:rsidP="009D3D85">
            <w:pPr>
              <w:widowControl/>
              <w:bidi w:val="0"/>
              <w:spacing w:after="0" w:line="240" w:lineRule="auto"/>
              <w:jc w:val="center"/>
              <w:rPr>
                <w:rFonts w:ascii="Times New Roman" w:hAnsi="Times New Roman"/>
                <w:color w:val="000000"/>
              </w:rPr>
            </w:pPr>
          </w:p>
        </w:tc>
      </w:tr>
    </w:tbl>
    <w:p w:rsidR="009D3D85" w:rsidRPr="009D3D85" w:rsidP="009D3D85">
      <w:pPr>
        <w:widowControl/>
        <w:bidi w:val="0"/>
        <w:rPr>
          <w:rFonts w:ascii="Times New Roman" w:hAnsi="Times New Roman"/>
          <w:color w:val="000000"/>
        </w:rPr>
      </w:pPr>
      <w:r w:rsidRPr="009D3D85">
        <w:rPr>
          <w:rFonts w:ascii="Times New Roman" w:hAnsi="Times New Roman"/>
          <w:color w:val="000000"/>
        </w:rPr>
        <w:t> </w:t>
      </w:r>
    </w:p>
    <w:p w:rsidR="009D3D85" w:rsidRPr="009D3D85" w:rsidP="009D3D85">
      <w:pPr>
        <w:bidi w:val="0"/>
        <w:jc w:val="both"/>
        <w:rPr>
          <w:rFonts w:ascii="Times New Roman" w:hAnsi="Times New Roman"/>
          <w:b/>
          <w:bCs/>
          <w:color w:val="000000"/>
        </w:rPr>
      </w:pPr>
    </w:p>
    <w:p w:rsidR="009D3D85" w:rsidRPr="009D3D85" w:rsidP="009D3D85">
      <w:pPr>
        <w:bidi w:val="0"/>
        <w:jc w:val="both"/>
        <w:rPr>
          <w:rFonts w:ascii="Times New Roman" w:hAnsi="Times New Roman"/>
          <w:b/>
          <w:bCs/>
          <w:color w:val="000000"/>
        </w:rPr>
      </w:pPr>
      <w:r w:rsidRPr="009D3D85">
        <w:rPr>
          <w:rFonts w:ascii="Times New Roman" w:hAnsi="Times New Roman"/>
          <w:b/>
          <w:bCs/>
          <w:color w:val="000000"/>
        </w:rPr>
        <w:t>A.3. Poznámky</w:t>
      </w:r>
    </w:p>
    <w:p w:rsidR="009D3D85" w:rsidRPr="009D3D85" w:rsidP="009D3D85">
      <w:pPr>
        <w:bidi w:val="0"/>
        <w:jc w:val="both"/>
        <w:rPr>
          <w:rFonts w:ascii="Times New Roman" w:hAnsi="Times New Roman"/>
          <w:color w:val="000000"/>
        </w:rPr>
      </w:pPr>
      <w:r w:rsidRPr="009D3D85">
        <w:rPr>
          <w:rFonts w:ascii="Times New Roman" w:hAnsi="Times New Roman"/>
          <w:color w:val="000000"/>
        </w:rPr>
        <w:t> </w:t>
      </w:r>
    </w:p>
    <w:p w:rsidR="009D3D85" w:rsidRPr="009D3D85" w:rsidP="009D3D85">
      <w:pPr>
        <w:bidi w:val="0"/>
        <w:jc w:val="both"/>
        <w:rPr>
          <w:rFonts w:ascii="Times New Roman" w:hAnsi="Times New Roman"/>
          <w:i/>
          <w:iCs/>
          <w:color w:val="000000"/>
        </w:rPr>
      </w:pPr>
      <w:r w:rsidRPr="009D3D85">
        <w:rPr>
          <w:rFonts w:ascii="Times New Roman" w:hAnsi="Times New Roman"/>
          <w:i/>
          <w:iCs/>
          <w:color w:val="000000"/>
        </w:rPr>
        <w:t xml:space="preserve">      </w:t>
      </w:r>
    </w:p>
    <w:p w:rsidR="009D3D85" w:rsidRPr="009D3D85" w:rsidP="009D3D85">
      <w:pPr>
        <w:bidi w:val="0"/>
        <w:jc w:val="both"/>
        <w:rPr>
          <w:rFonts w:ascii="Times New Roman" w:hAnsi="Times New Roman"/>
          <w:b/>
          <w:bCs/>
          <w:color w:val="000000"/>
        </w:rPr>
      </w:pPr>
      <w:r w:rsidRPr="009D3D85">
        <w:rPr>
          <w:rFonts w:ascii="Times New Roman" w:hAnsi="Times New Roman"/>
          <w:b/>
          <w:bCs/>
          <w:color w:val="000000"/>
        </w:rPr>
        <w:t>A.4. Alternatívne riešenia</w:t>
      </w:r>
    </w:p>
    <w:p w:rsidR="009D3D85" w:rsidRPr="009D3D85" w:rsidP="009D3D85">
      <w:pPr>
        <w:bidi w:val="0"/>
        <w:jc w:val="both"/>
        <w:rPr>
          <w:rFonts w:ascii="Times New Roman" w:hAnsi="Times New Roman"/>
          <w:b/>
          <w:bCs/>
          <w:color w:val="000000"/>
        </w:rPr>
      </w:pPr>
      <w:r w:rsidRPr="009D3D85">
        <w:rPr>
          <w:rFonts w:ascii="Times New Roman" w:hAnsi="Times New Roman"/>
          <w:color w:val="000000"/>
        </w:rPr>
        <w:t> </w:t>
      </w:r>
    </w:p>
    <w:p w:rsidR="009D3D85" w:rsidRPr="009D3D85" w:rsidP="009D3D85">
      <w:pPr>
        <w:bidi w:val="0"/>
        <w:jc w:val="both"/>
        <w:rPr>
          <w:rFonts w:ascii="Times New Roman" w:hAnsi="Times New Roman"/>
          <w:b/>
          <w:bCs/>
          <w:color w:val="000000"/>
        </w:rPr>
      </w:pPr>
    </w:p>
    <w:p w:rsidR="009D3D85" w:rsidRPr="009D3D85" w:rsidP="009D3D85">
      <w:pPr>
        <w:bidi w:val="0"/>
        <w:jc w:val="both"/>
        <w:rPr>
          <w:rFonts w:ascii="Times New Roman" w:hAnsi="Times New Roman"/>
          <w:b/>
          <w:bCs/>
          <w:color w:val="000000"/>
        </w:rPr>
      </w:pPr>
      <w:r w:rsidRPr="009D3D85">
        <w:rPr>
          <w:rFonts w:ascii="Times New Roman" w:hAnsi="Times New Roman"/>
          <w:b/>
          <w:bCs/>
          <w:color w:val="000000"/>
        </w:rPr>
        <w:t>A.5. Stanovisko gestorov</w:t>
      </w:r>
    </w:p>
    <w:p w:rsidR="009D3D85" w:rsidRPr="009D3D85" w:rsidP="009D3D85">
      <w:pPr>
        <w:bidi w:val="0"/>
        <w:jc w:val="both"/>
        <w:rPr>
          <w:rFonts w:ascii="Times New Roman" w:hAnsi="Times New Roman"/>
          <w:b/>
          <w:bCs/>
          <w:color w:val="000000"/>
        </w:rPr>
      </w:pPr>
      <w:r w:rsidRPr="009D3D85">
        <w:rPr>
          <w:rFonts w:ascii="Times New Roman" w:hAnsi="Times New Roman"/>
          <w:color w:val="000000"/>
        </w:rPr>
        <w:t> </w:t>
      </w:r>
    </w:p>
    <w:p w:rsidR="009D3D85" w:rsidRPr="009D3D85" w:rsidP="009D3D85">
      <w:pPr>
        <w:bidi w:val="0"/>
        <w:jc w:val="both"/>
        <w:rPr>
          <w:rFonts w:ascii="Times New Roman" w:hAnsi="Times New Roman"/>
          <w:b/>
          <w:bCs/>
          <w:color w:val="000000"/>
        </w:rPr>
      </w:pPr>
    </w:p>
    <w:p w:rsidR="009D3D85" w:rsidRPr="009D3D85" w:rsidP="009D3D85">
      <w:pPr>
        <w:bidi w:val="0"/>
        <w:jc w:val="center"/>
        <w:rPr>
          <w:rFonts w:ascii="Times New Roman" w:hAnsi="Times New Roman"/>
          <w:b/>
          <w:bCs/>
        </w:rPr>
      </w:pPr>
      <w:r w:rsidRPr="009D3D85">
        <w:rPr>
          <w:rFonts w:ascii="Times New Roman" w:hAnsi="Times New Roman"/>
          <w:b/>
          <w:bCs/>
        </w:rPr>
        <w:t>Vplyvy na rozpočet verejnej správy,</w:t>
      </w:r>
    </w:p>
    <w:p w:rsidR="009D3D85" w:rsidRPr="009D3D85" w:rsidP="009D3D85">
      <w:pPr>
        <w:bidi w:val="0"/>
        <w:jc w:val="center"/>
        <w:rPr>
          <w:rFonts w:ascii="Times New Roman" w:hAnsi="Times New Roman"/>
          <w:b/>
          <w:bCs/>
        </w:rPr>
      </w:pPr>
      <w:r w:rsidRPr="009D3D85">
        <w:rPr>
          <w:rFonts w:ascii="Times New Roman" w:hAnsi="Times New Roman"/>
          <w:b/>
          <w:bCs/>
        </w:rPr>
        <w:t>na zamestnanosť vo verejnej správe a financovanie návrhu</w:t>
      </w:r>
    </w:p>
    <w:p w:rsidR="009D3D85" w:rsidRPr="009D3D85" w:rsidP="009D3D85">
      <w:pPr>
        <w:bidi w:val="0"/>
        <w:rPr>
          <w:rFonts w:ascii="Times New Roman" w:hAnsi="Times New Roman"/>
        </w:rPr>
      </w:pPr>
    </w:p>
    <w:p w:rsidR="009D3D85" w:rsidRPr="009D3D85" w:rsidP="009D3D85">
      <w:pPr>
        <w:bidi w:val="0"/>
        <w:rPr>
          <w:rFonts w:ascii="Times New Roman" w:hAnsi="Times New Roman"/>
          <w:b/>
          <w:bCs/>
        </w:rPr>
      </w:pPr>
      <w:r w:rsidRPr="009D3D85">
        <w:rPr>
          <w:rFonts w:ascii="Times New Roman" w:hAnsi="Times New Roman"/>
          <w:b/>
          <w:bCs/>
        </w:rPr>
        <w:t>2.1. Zhrnutie vplyvov na rozpočet verejnej správy v návrhu</w:t>
      </w:r>
    </w:p>
    <w:p w:rsidR="009D3D85" w:rsidRPr="009D3D85" w:rsidP="009D3D85">
      <w:pPr>
        <w:bidi w:val="0"/>
        <w:rPr>
          <w:rFonts w:ascii="Times New Roman" w:hAnsi="Times New Roman"/>
        </w:rPr>
      </w:pPr>
    </w:p>
    <w:p w:rsidR="009D3D85" w:rsidRPr="009D3D85" w:rsidP="009D3D85">
      <w:pPr>
        <w:bidi w:val="0"/>
        <w:jc w:val="right"/>
        <w:rPr>
          <w:rFonts w:ascii="Times New Roman" w:hAnsi="Times New Roman"/>
        </w:rPr>
      </w:pPr>
      <w:r w:rsidRPr="009D3D85">
        <w:rPr>
          <w:rFonts w:ascii="Times New Roman" w:hAnsi="Times New Roman"/>
        </w:rPr>
        <w:t>Tabuľka č. 1</w:t>
      </w:r>
    </w:p>
    <w:tbl>
      <w:tblPr>
        <w:tblStyle w:val="TableNormal"/>
        <w:tblW w:w="9729"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661"/>
        <w:gridCol w:w="1267"/>
        <w:gridCol w:w="1267"/>
        <w:gridCol w:w="1267"/>
        <w:gridCol w:w="1267"/>
      </w:tblGrid>
      <w:tr>
        <w:tblPrEx>
          <w:tblW w:w="9729"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94"/>
          <w:jc w:val="center"/>
        </w:trPr>
        <w:tc>
          <w:tcPr>
            <w:tcW w:w="4661"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9D3D85" w:rsidRPr="009D3D85" w:rsidP="009D3D85">
            <w:pPr>
              <w:bidi w:val="0"/>
              <w:spacing w:after="0" w:line="240" w:lineRule="auto"/>
              <w:jc w:val="center"/>
              <w:rPr>
                <w:rFonts w:ascii="Times New Roman" w:hAnsi="Times New Roman"/>
                <w:b/>
                <w:bCs/>
                <w:color w:val="FFFFFF"/>
              </w:rPr>
            </w:pPr>
            <w:bookmarkStart w:id="0" w:name="OLE_LINK1"/>
            <w:r w:rsidRPr="009D3D85">
              <w:rPr>
                <w:rFonts w:ascii="Times New Roman" w:hAnsi="Times New Roman"/>
                <w:b/>
                <w:bCs/>
                <w:color w:val="FFFFFF"/>
              </w:rPr>
              <w:t xml:space="preserve">Vplyvy na </w:t>
            </w:r>
            <w:r w:rsidRPr="009D3D85">
              <w:rPr>
                <w:rFonts w:ascii="Times New Roman" w:hAnsi="Times New Roman"/>
                <w:b/>
                <w:bCs/>
              </w:rPr>
              <w:t>rozpočet verejnej správy</w:t>
            </w:r>
          </w:p>
        </w:tc>
        <w:tc>
          <w:tcPr>
            <w:tcW w:w="5068" w:type="dxa"/>
            <w:gridSpan w:val="4"/>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9D3D85" w:rsidRPr="009D3D85" w:rsidP="009D3D85">
            <w:pPr>
              <w:bidi w:val="0"/>
              <w:spacing w:after="0" w:line="240" w:lineRule="auto"/>
              <w:jc w:val="center"/>
              <w:rPr>
                <w:rFonts w:ascii="Times New Roman" w:hAnsi="Times New Roman"/>
                <w:b/>
                <w:bCs/>
                <w:color w:val="FFFFFF"/>
              </w:rPr>
            </w:pPr>
            <w:r w:rsidRPr="009D3D85">
              <w:rPr>
                <w:rFonts w:ascii="Times New Roman" w:hAnsi="Times New Roman"/>
                <w:b/>
                <w:bCs/>
                <w:color w:val="FFFFFF"/>
              </w:rPr>
              <w:t xml:space="preserve">Vplyv na rozpočet verejnej správy </w:t>
            </w:r>
            <w:r w:rsidRPr="009D3D85">
              <w:rPr>
                <w:rFonts w:ascii="Times New Roman" w:hAnsi="Times New Roman"/>
                <w:b/>
                <w:bCs/>
              </w:rPr>
              <w:t>(v eurách)</w:t>
            </w:r>
          </w:p>
        </w:tc>
      </w:tr>
      <w:tr>
        <w:tblPrEx>
          <w:tblW w:w="9729" w:type="dxa"/>
          <w:jc w:val="center"/>
          <w:tblInd w:w="-479" w:type="dxa"/>
          <w:tblCellMar>
            <w:left w:w="70" w:type="dxa"/>
            <w:right w:w="70" w:type="dxa"/>
          </w:tblCellMar>
        </w:tblPrEx>
        <w:trPr>
          <w:cantSplit/>
          <w:trHeight w:val="70"/>
          <w:jc w:val="center"/>
        </w:trPr>
        <w:tc>
          <w:tcPr>
            <w:tcW w:w="4661" w:type="dxa"/>
            <w:vMerge/>
            <w:tcBorders>
              <w:top w:val="single" w:sz="4" w:space="0" w:color="auto"/>
              <w:left w:val="single" w:sz="4" w:space="0" w:color="auto"/>
              <w:bottom w:val="single" w:sz="4" w:space="0" w:color="auto"/>
              <w:right w:val="single" w:sz="4" w:space="0" w:color="auto"/>
            </w:tcBorders>
            <w:textDirection w:val="lrTb"/>
            <w:vAlign w:val="center"/>
          </w:tcPr>
          <w:p w:rsidR="009D3D85" w:rsidRPr="009D3D85" w:rsidP="009D3D85">
            <w:pPr>
              <w:bidi w:val="0"/>
              <w:spacing w:after="0" w:line="240" w:lineRule="auto"/>
              <w:jc w:val="center"/>
              <w:rPr>
                <w:rFonts w:ascii="Times New Roman" w:hAnsi="Times New Roman"/>
                <w:b/>
                <w:bCs/>
                <w:color w:val="FFFFFF"/>
              </w:rPr>
            </w:pP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9D3D85" w:rsidRPr="009D3D85" w:rsidP="009D3D85">
            <w:pPr>
              <w:bidi w:val="0"/>
              <w:spacing w:after="0" w:line="240" w:lineRule="auto"/>
              <w:jc w:val="center"/>
              <w:rPr>
                <w:rFonts w:ascii="Times New Roman" w:hAnsi="Times New Roman"/>
                <w:b/>
                <w:bCs/>
                <w:color w:val="FFFFFF"/>
              </w:rPr>
            </w:pPr>
            <w:r w:rsidRPr="009D3D85">
              <w:rPr>
                <w:rFonts w:ascii="Times New Roman" w:hAnsi="Times New Roman"/>
                <w:b/>
                <w:bCs/>
                <w:color w:val="FFFFFF"/>
              </w:rPr>
              <w:t>2013</w:t>
            </w: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9D3D85" w:rsidRPr="009D3D85" w:rsidP="009D3D85">
            <w:pPr>
              <w:bidi w:val="0"/>
              <w:spacing w:after="0" w:line="240" w:lineRule="auto"/>
              <w:jc w:val="center"/>
              <w:rPr>
                <w:rFonts w:ascii="Times New Roman" w:hAnsi="Times New Roman"/>
                <w:b/>
                <w:bCs/>
                <w:color w:val="FFFFFF"/>
              </w:rPr>
            </w:pPr>
            <w:r w:rsidRPr="009D3D85">
              <w:rPr>
                <w:rFonts w:ascii="Times New Roman" w:hAnsi="Times New Roman"/>
                <w:b/>
                <w:bCs/>
                <w:color w:val="FFFFFF"/>
              </w:rPr>
              <w:t>2014</w:t>
            </w: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9D3D85" w:rsidRPr="009D3D85" w:rsidP="009D3D85">
            <w:pPr>
              <w:bidi w:val="0"/>
              <w:spacing w:after="0" w:line="240" w:lineRule="auto"/>
              <w:jc w:val="center"/>
              <w:rPr>
                <w:rFonts w:ascii="Times New Roman" w:hAnsi="Times New Roman"/>
                <w:b/>
                <w:bCs/>
                <w:color w:val="FFFFFF"/>
              </w:rPr>
            </w:pPr>
            <w:r w:rsidRPr="009D3D85">
              <w:rPr>
                <w:rFonts w:ascii="Times New Roman" w:hAnsi="Times New Roman"/>
                <w:b/>
                <w:bCs/>
                <w:color w:val="FFFFFF"/>
              </w:rPr>
              <w:t>2015</w:t>
            </w: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9D3D85" w:rsidRPr="009D3D85" w:rsidP="009D3D85">
            <w:pPr>
              <w:bidi w:val="0"/>
              <w:spacing w:after="0" w:line="240" w:lineRule="auto"/>
              <w:jc w:val="center"/>
              <w:rPr>
                <w:rFonts w:ascii="Times New Roman" w:hAnsi="Times New Roman"/>
                <w:b/>
                <w:bCs/>
                <w:color w:val="FFFFFF"/>
              </w:rPr>
            </w:pPr>
            <w:r w:rsidRPr="009D3D85">
              <w:rPr>
                <w:rFonts w:ascii="Times New Roman" w:hAnsi="Times New Roman"/>
                <w:b/>
                <w:bCs/>
                <w:color w:val="FFFFFF"/>
              </w:rPr>
              <w:t>2016</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9D3D85" w:rsidRPr="009D3D85" w:rsidP="009D3D85">
            <w:pPr>
              <w:bidi w:val="0"/>
              <w:spacing w:after="0" w:line="240" w:lineRule="auto"/>
              <w:rPr>
                <w:rFonts w:ascii="Times New Roman" w:hAnsi="Times New Roman"/>
              </w:rPr>
            </w:pPr>
            <w:r w:rsidRPr="009D3D85">
              <w:rPr>
                <w:rFonts w:ascii="Times New Roman" w:hAnsi="Times New Roman"/>
                <w:b/>
                <w:bCs/>
              </w:rPr>
              <w:t>Príjmy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9D3D85" w:rsidRPr="009D3D85" w:rsidP="009D3D85">
            <w:pPr>
              <w:bidi w:val="0"/>
              <w:spacing w:after="0" w:line="240" w:lineRule="auto"/>
              <w:jc w:val="right"/>
              <w:rPr>
                <w:rFonts w:ascii="Times New Roman" w:hAnsi="Times New Roman"/>
                <w:b/>
                <w:bCs/>
                <w:i/>
                <w:iCs/>
              </w:rPr>
            </w:pPr>
            <w:r w:rsidRPr="009D3D85">
              <w:rPr>
                <w:rFonts w:ascii="Times New Roman" w:hAnsi="Times New Roman"/>
                <w:b/>
                <w:bCs/>
                <w:i/>
                <w:i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9D3D85" w:rsidRPr="009D3D85" w:rsidP="009D3D85">
            <w:pPr>
              <w:bidi w:val="0"/>
              <w:spacing w:after="0" w:line="240" w:lineRule="auto"/>
              <w:jc w:val="right"/>
              <w:rPr>
                <w:rFonts w:ascii="Times New Roman" w:hAnsi="Times New Roman"/>
                <w:b/>
                <w:bCs/>
                <w:i/>
                <w:iCs/>
              </w:rPr>
            </w:pPr>
            <w:r w:rsidRPr="009D3D85">
              <w:rPr>
                <w:rFonts w:ascii="Times New Roman" w:hAnsi="Times New Roman"/>
                <w:b/>
                <w:bCs/>
                <w:i/>
                <w:iCs/>
              </w:rPr>
              <w:t>- 510 000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9D3D85" w:rsidRPr="009D3D85" w:rsidP="009D3D85">
            <w:pPr>
              <w:bidi w:val="0"/>
              <w:spacing w:after="0" w:line="240" w:lineRule="auto"/>
              <w:jc w:val="right"/>
              <w:rPr>
                <w:rFonts w:ascii="Times New Roman" w:hAnsi="Times New Roman"/>
                <w:b/>
                <w:bCs/>
                <w:i/>
                <w:iCs/>
              </w:rPr>
            </w:pPr>
            <w:r w:rsidRPr="009D3D85">
              <w:rPr>
                <w:rFonts w:ascii="Times New Roman" w:hAnsi="Times New Roman"/>
                <w:b/>
                <w:bCs/>
                <w:i/>
                <w:iCs/>
              </w:rPr>
              <w:t>- 510 000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9D3D85" w:rsidRPr="009D3D85" w:rsidP="009D3D85">
            <w:pPr>
              <w:bidi w:val="0"/>
              <w:spacing w:after="0" w:line="240" w:lineRule="auto"/>
              <w:jc w:val="right"/>
              <w:rPr>
                <w:rFonts w:ascii="Times New Roman" w:hAnsi="Times New Roman"/>
                <w:b/>
                <w:bCs/>
                <w:i/>
                <w:iCs/>
              </w:rPr>
            </w:pPr>
            <w:r w:rsidRPr="009D3D85">
              <w:rPr>
                <w:rFonts w:ascii="Times New Roman" w:hAnsi="Times New Roman"/>
                <w:b/>
                <w:bCs/>
                <w:i/>
                <w:iCs/>
              </w:rPr>
              <w:t>- 510 000</w:t>
            </w:r>
          </w:p>
        </w:tc>
      </w:tr>
      <w:tr>
        <w:tblPrEx>
          <w:tblW w:w="9729" w:type="dxa"/>
          <w:jc w:val="center"/>
          <w:tblInd w:w="-479" w:type="dxa"/>
          <w:tblCellMar>
            <w:left w:w="70" w:type="dxa"/>
            <w:right w:w="70" w:type="dxa"/>
          </w:tblCellMar>
        </w:tblPrEx>
        <w:trPr>
          <w:trHeight w:val="132"/>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9D3D85" w:rsidRPr="009D3D85" w:rsidP="009D3D85">
            <w:pPr>
              <w:bidi w:val="0"/>
              <w:spacing w:after="0" w:line="240" w:lineRule="auto"/>
              <w:rPr>
                <w:rFonts w:ascii="Times New Roman" w:hAnsi="Times New Roman"/>
              </w:rPr>
            </w:pPr>
            <w:r w:rsidRPr="009D3D85">
              <w:rPr>
                <w:rFonts w:ascii="Times New Roman" w:hAnsi="Times New Roman"/>
              </w:rPr>
              <w:t>v tom: za každý subjekt verejnej správy zvlášť – MS SR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D3D85" w:rsidRPr="009D3D85" w:rsidP="009D3D85">
            <w:pPr>
              <w:bidi w:val="0"/>
              <w:spacing w:after="0" w:line="240" w:lineRule="auto"/>
              <w:jc w:val="right"/>
              <w:rPr>
                <w:rFonts w:ascii="Times New Roman" w:hAnsi="Times New Roman"/>
                <w:bCs/>
                <w:iCs/>
              </w:rPr>
            </w:pPr>
            <w:r w:rsidRPr="009D3D85">
              <w:rPr>
                <w:rFonts w:ascii="Times New Roman" w:hAnsi="Times New Roman"/>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D3D85" w:rsidRPr="009D3D85" w:rsidP="009D3D85">
            <w:pPr>
              <w:bidi w:val="0"/>
              <w:spacing w:after="0" w:line="240" w:lineRule="auto"/>
              <w:jc w:val="right"/>
              <w:rPr>
                <w:rFonts w:ascii="Times New Roman" w:hAnsi="Times New Roman"/>
                <w:bCs/>
                <w:iCs/>
              </w:rPr>
            </w:pPr>
            <w:r w:rsidRPr="009D3D85">
              <w:rPr>
                <w:rFonts w:ascii="Times New Roman" w:hAnsi="Times New Roman"/>
                <w:bCs/>
                <w:iCs/>
              </w:rPr>
              <w:t>- 510 000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D3D85" w:rsidRPr="009D3D85" w:rsidP="009D3D85">
            <w:pPr>
              <w:bidi w:val="0"/>
              <w:spacing w:after="0" w:line="240" w:lineRule="auto"/>
              <w:jc w:val="right"/>
              <w:rPr>
                <w:rFonts w:ascii="Times New Roman" w:hAnsi="Times New Roman"/>
                <w:bCs/>
                <w:iCs/>
              </w:rPr>
            </w:pPr>
            <w:r w:rsidRPr="009D3D85">
              <w:rPr>
                <w:rFonts w:ascii="Times New Roman" w:hAnsi="Times New Roman"/>
                <w:bCs/>
                <w:iCs/>
              </w:rPr>
              <w:t>- 510 000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D3D85" w:rsidRPr="009D3D85" w:rsidP="009D3D85">
            <w:pPr>
              <w:bidi w:val="0"/>
              <w:spacing w:after="0" w:line="240" w:lineRule="auto"/>
              <w:jc w:val="right"/>
              <w:rPr>
                <w:rFonts w:ascii="Times New Roman" w:hAnsi="Times New Roman"/>
                <w:bCs/>
                <w:iCs/>
              </w:rPr>
            </w:pPr>
            <w:r w:rsidRPr="009D3D85">
              <w:rPr>
                <w:rFonts w:ascii="Times New Roman" w:hAnsi="Times New Roman"/>
                <w:bCs/>
                <w:iCs/>
              </w:rPr>
              <w:t>- 510 000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9D3D85" w:rsidRPr="009D3D85" w:rsidP="009D3D85">
            <w:pPr>
              <w:bidi w:val="0"/>
              <w:spacing w:after="0" w:line="240" w:lineRule="auto"/>
              <w:rPr>
                <w:rFonts w:ascii="Times New Roman" w:hAnsi="Times New Roman"/>
                <w:b/>
                <w:bCs/>
                <w:i/>
                <w:iCs/>
              </w:rPr>
            </w:pPr>
            <w:r w:rsidRPr="009D3D85">
              <w:rPr>
                <w:rFonts w:ascii="Times New Roman" w:hAnsi="Times New Roman"/>
                <w:b/>
                <w:bCs/>
                <w:i/>
                <w:iCs/>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D3D85" w:rsidRPr="009D3D85" w:rsidP="009D3D85">
            <w:pPr>
              <w:bidi w:val="0"/>
              <w:spacing w:after="0" w:line="240" w:lineRule="auto"/>
              <w:jc w:val="right"/>
              <w:rPr>
                <w:rFonts w:ascii="Times New Roman" w:hAnsi="Times New Roman"/>
                <w:b/>
                <w:bCs/>
                <w:i/>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D3D85" w:rsidRPr="009D3D85" w:rsidP="009D3D85">
            <w:pPr>
              <w:bidi w:val="0"/>
              <w:spacing w:after="0" w:line="240" w:lineRule="auto"/>
              <w:jc w:val="right"/>
              <w:rPr>
                <w:rFonts w:ascii="Times New Roman" w:hAnsi="Times New Roman"/>
                <w:b/>
                <w:bCs/>
                <w:i/>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D3D85" w:rsidRPr="009D3D85" w:rsidP="009D3D85">
            <w:pPr>
              <w:bidi w:val="0"/>
              <w:spacing w:after="0" w:line="240" w:lineRule="auto"/>
              <w:jc w:val="right"/>
              <w:rPr>
                <w:rFonts w:ascii="Times New Roman" w:hAnsi="Times New Roman"/>
                <w:b/>
                <w:bCs/>
                <w:i/>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D3D85" w:rsidRPr="009D3D85" w:rsidP="009D3D85">
            <w:pPr>
              <w:bidi w:val="0"/>
              <w:spacing w:after="0" w:line="240" w:lineRule="auto"/>
              <w:jc w:val="right"/>
              <w:rPr>
                <w:rFonts w:ascii="Times New Roman" w:hAnsi="Times New Roman"/>
                <w:b/>
                <w:bCs/>
                <w:i/>
                <w:iCs/>
              </w:rPr>
            </w:pP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9D3D85" w:rsidRPr="009D3D85" w:rsidP="009D3D85">
            <w:pPr>
              <w:bidi w:val="0"/>
              <w:spacing w:after="0" w:line="240" w:lineRule="auto"/>
              <w:rPr>
                <w:rFonts w:ascii="Times New Roman" w:hAnsi="Times New Roman"/>
                <w:b/>
                <w:bCs/>
                <w:i/>
                <w:iCs/>
              </w:rPr>
            </w:pPr>
            <w:r w:rsidRPr="009D3D85">
              <w:rPr>
                <w:rFonts w:ascii="Times New Roman" w:hAnsi="Times New Roman"/>
                <w:b/>
                <w:bCs/>
                <w:i/>
                <w:iCs/>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D3D85" w:rsidRPr="009D3D85" w:rsidP="009D3D85">
            <w:pPr>
              <w:bidi w:val="0"/>
              <w:spacing w:after="0" w:line="240" w:lineRule="auto"/>
              <w:jc w:val="right"/>
              <w:rPr>
                <w:rFonts w:ascii="Times New Roman" w:hAnsi="Times New Roman"/>
                <w:b/>
                <w:bCs/>
                <w:i/>
                <w:iCs/>
              </w:rPr>
            </w:pPr>
            <w:r w:rsidRPr="009D3D85">
              <w:rPr>
                <w:rFonts w:ascii="Times New Roman" w:hAnsi="Times New Roman"/>
                <w:b/>
                <w:bCs/>
                <w:i/>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D3D85" w:rsidRPr="009D3D85" w:rsidP="009D3D85">
            <w:pPr>
              <w:bidi w:val="0"/>
              <w:spacing w:after="0" w:line="240" w:lineRule="auto"/>
              <w:jc w:val="right"/>
              <w:rPr>
                <w:rFonts w:ascii="Times New Roman" w:hAnsi="Times New Roman"/>
                <w:b/>
                <w:bCs/>
                <w:i/>
                <w:iCs/>
              </w:rPr>
            </w:pPr>
            <w:r w:rsidRPr="009D3D85">
              <w:rPr>
                <w:rFonts w:ascii="Times New Roman" w:hAnsi="Times New Roman"/>
                <w:b/>
                <w:bCs/>
                <w:i/>
                <w:iCs/>
              </w:rPr>
              <w:t>- 510 000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D3D85" w:rsidRPr="009D3D85" w:rsidP="009D3D85">
            <w:pPr>
              <w:bidi w:val="0"/>
              <w:spacing w:after="0" w:line="240" w:lineRule="auto"/>
              <w:jc w:val="right"/>
              <w:rPr>
                <w:rFonts w:ascii="Times New Roman" w:hAnsi="Times New Roman"/>
                <w:b/>
                <w:bCs/>
                <w:i/>
                <w:iCs/>
              </w:rPr>
            </w:pPr>
            <w:r w:rsidRPr="009D3D85">
              <w:rPr>
                <w:rFonts w:ascii="Times New Roman" w:hAnsi="Times New Roman"/>
                <w:b/>
                <w:bCs/>
                <w:i/>
                <w:iCs/>
              </w:rPr>
              <w:t>- 510 000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D3D85" w:rsidRPr="009D3D85" w:rsidP="009D3D85">
            <w:pPr>
              <w:bidi w:val="0"/>
              <w:spacing w:after="0" w:line="240" w:lineRule="auto"/>
              <w:jc w:val="right"/>
              <w:rPr>
                <w:rFonts w:ascii="Times New Roman" w:hAnsi="Times New Roman"/>
                <w:b/>
                <w:bCs/>
                <w:i/>
                <w:iCs/>
              </w:rPr>
            </w:pPr>
            <w:r w:rsidRPr="009D3D85">
              <w:rPr>
                <w:rFonts w:ascii="Times New Roman" w:hAnsi="Times New Roman"/>
                <w:b/>
                <w:bCs/>
                <w:i/>
                <w:iCs/>
              </w:rPr>
              <w:t>- 510 000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9D3D85" w:rsidRPr="009D3D85" w:rsidP="009D3D85">
            <w:pPr>
              <w:bidi w:val="0"/>
              <w:spacing w:after="0" w:line="240" w:lineRule="auto"/>
              <w:rPr>
                <w:rFonts w:ascii="Times New Roman" w:hAnsi="Times New Roman"/>
                <w:b/>
                <w:bCs/>
                <w:i/>
                <w:iCs/>
              </w:rPr>
            </w:pPr>
            <w:r w:rsidRPr="009D3D85">
              <w:rPr>
                <w:rFonts w:ascii="Times New Roman" w:hAnsi="Times New Roman"/>
                <w:b/>
                <w:bCs/>
                <w:i/>
                <w:iCs/>
              </w:rPr>
              <w:t>- vplyv na územnú samosprávu</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D3D85" w:rsidRPr="009D3D85" w:rsidP="009D3D85">
            <w:pPr>
              <w:bidi w:val="0"/>
              <w:spacing w:after="0" w:line="240" w:lineRule="auto"/>
              <w:jc w:val="right"/>
              <w:rPr>
                <w:rFonts w:ascii="Times New Roman" w:hAnsi="Times New Roman"/>
                <w:b/>
                <w:bCs/>
                <w:i/>
                <w:iCs/>
              </w:rPr>
            </w:pPr>
            <w:r w:rsidRPr="009D3D85">
              <w:rPr>
                <w:rFonts w:ascii="Times New Roman" w:hAnsi="Times New Roman"/>
                <w:b/>
                <w:bCs/>
                <w:i/>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D3D85" w:rsidRPr="009D3D85" w:rsidP="009D3D85">
            <w:pPr>
              <w:bidi w:val="0"/>
              <w:spacing w:after="0" w:line="240" w:lineRule="auto"/>
              <w:jc w:val="right"/>
              <w:rPr>
                <w:rFonts w:ascii="Times New Roman" w:hAnsi="Times New Roman"/>
                <w:b/>
                <w:bCs/>
                <w:i/>
                <w:iCs/>
              </w:rPr>
            </w:pPr>
            <w:r w:rsidRPr="009D3D85">
              <w:rPr>
                <w:rFonts w:ascii="Times New Roman" w:hAnsi="Times New Roman"/>
                <w:b/>
                <w:bCs/>
                <w:i/>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D3D85" w:rsidRPr="009D3D85" w:rsidP="009D3D85">
            <w:pPr>
              <w:bidi w:val="0"/>
              <w:spacing w:after="0" w:line="240" w:lineRule="auto"/>
              <w:jc w:val="right"/>
              <w:rPr>
                <w:rFonts w:ascii="Times New Roman" w:hAnsi="Times New Roman"/>
                <w:b/>
                <w:bCs/>
                <w:i/>
                <w:iCs/>
              </w:rPr>
            </w:pPr>
            <w:r w:rsidRPr="009D3D85">
              <w:rPr>
                <w:rFonts w:ascii="Times New Roman" w:hAnsi="Times New Roman"/>
                <w:b/>
                <w:bCs/>
                <w:i/>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D3D85" w:rsidRPr="009D3D85" w:rsidP="009D3D85">
            <w:pPr>
              <w:bidi w:val="0"/>
              <w:spacing w:after="0" w:line="240" w:lineRule="auto"/>
              <w:jc w:val="right"/>
              <w:rPr>
                <w:rFonts w:ascii="Times New Roman" w:hAnsi="Times New Roman"/>
                <w:b/>
                <w:bCs/>
                <w:i/>
                <w:iCs/>
              </w:rPr>
            </w:pPr>
            <w:r w:rsidRPr="009D3D85">
              <w:rPr>
                <w:rFonts w:ascii="Times New Roman" w:hAnsi="Times New Roman"/>
                <w:b/>
                <w:bCs/>
                <w:i/>
                <w:iCs/>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9D3D85" w:rsidRPr="009D3D85" w:rsidP="009D3D85">
            <w:pPr>
              <w:bidi w:val="0"/>
              <w:spacing w:after="0" w:line="240" w:lineRule="auto"/>
              <w:rPr>
                <w:rFonts w:ascii="Times New Roman" w:hAnsi="Times New Roman"/>
                <w:b/>
                <w:bCs/>
              </w:rPr>
            </w:pPr>
            <w:r w:rsidRPr="009D3D85">
              <w:rPr>
                <w:rFonts w:ascii="Times New Roman" w:hAnsi="Times New Roman"/>
                <w:b/>
                <w:bCs/>
              </w:rPr>
              <w:t>Výdavky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9D3D85" w:rsidRPr="009D3D85" w:rsidP="009D3D85">
            <w:pPr>
              <w:bidi w:val="0"/>
              <w:spacing w:after="0" w:line="240" w:lineRule="auto"/>
              <w:jc w:val="right"/>
              <w:rPr>
                <w:rFonts w:ascii="Times New Roman" w:hAnsi="Times New Roman"/>
                <w:b/>
                <w:bCs/>
                <w:i/>
                <w:iCs/>
              </w:rPr>
            </w:pPr>
            <w:r w:rsidRPr="009D3D85">
              <w:rPr>
                <w:rFonts w:ascii="Times New Roman" w:hAnsi="Times New Roman"/>
              </w:rPr>
              <w:t>546 000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9D3D85" w:rsidRPr="009D3D85" w:rsidP="009D3D85">
            <w:pPr>
              <w:bidi w:val="0"/>
              <w:spacing w:after="0" w:line="240" w:lineRule="auto"/>
              <w:jc w:val="right"/>
              <w:rPr>
                <w:rFonts w:ascii="Times New Roman" w:hAnsi="Times New Roman"/>
                <w:b/>
                <w:bCs/>
                <w:i/>
                <w:iCs/>
              </w:rPr>
            </w:pPr>
            <w:r w:rsidRPr="009D3D85">
              <w:rPr>
                <w:rFonts w:ascii="Times New Roman" w:hAnsi="Times New Roman"/>
                <w:b/>
                <w:bCs/>
                <w:i/>
                <w:i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9D3D85" w:rsidRPr="009D3D85" w:rsidP="009D3D85">
            <w:pPr>
              <w:bidi w:val="0"/>
              <w:spacing w:after="0" w:line="240" w:lineRule="auto"/>
              <w:jc w:val="right"/>
              <w:rPr>
                <w:rFonts w:ascii="Times New Roman" w:hAnsi="Times New Roman"/>
                <w:b/>
                <w:bCs/>
                <w:i/>
                <w:iCs/>
              </w:rPr>
            </w:pPr>
            <w:r w:rsidRPr="009D3D85">
              <w:rPr>
                <w:rFonts w:ascii="Times New Roman" w:hAnsi="Times New Roman"/>
                <w:b/>
                <w:bCs/>
                <w:i/>
                <w:i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9D3D85" w:rsidRPr="009D3D85" w:rsidP="009D3D85">
            <w:pPr>
              <w:bidi w:val="0"/>
              <w:spacing w:after="0" w:line="240" w:lineRule="auto"/>
              <w:jc w:val="right"/>
              <w:rPr>
                <w:rFonts w:ascii="Times New Roman" w:hAnsi="Times New Roman"/>
                <w:b/>
                <w:bCs/>
                <w:i/>
                <w:iCs/>
              </w:rPr>
            </w:pPr>
            <w:r w:rsidRPr="009D3D85">
              <w:rPr>
                <w:rFonts w:ascii="Times New Roman" w:hAnsi="Times New Roman"/>
                <w:b/>
                <w:bCs/>
                <w:i/>
                <w:iCs/>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9D3D85" w:rsidRPr="009D3D85" w:rsidP="009D3D85">
            <w:pPr>
              <w:bidi w:val="0"/>
              <w:spacing w:after="0" w:line="240" w:lineRule="auto"/>
              <w:rPr>
                <w:rFonts w:ascii="Times New Roman" w:hAnsi="Times New Roman"/>
              </w:rPr>
            </w:pPr>
            <w:r w:rsidRPr="009D3D85">
              <w:rPr>
                <w:rFonts w:ascii="Times New Roman" w:hAnsi="Times New Roman"/>
              </w:rPr>
              <w:t>v tom: za každý subjekt verejnej správy / program zvlášť kapitola MF SR – Program 0740602 – Rozpočtový informačný systém</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D3D85" w:rsidRPr="009D3D85" w:rsidP="009D3D85">
            <w:pPr>
              <w:bidi w:val="0"/>
              <w:spacing w:after="0" w:line="240" w:lineRule="auto"/>
              <w:jc w:val="center"/>
              <w:rPr>
                <w:rFonts w:ascii="Times New Roman" w:hAnsi="Times New Roman"/>
                <w:bCs/>
                <w:iCs/>
                <w:color w:val="000000"/>
              </w:rPr>
            </w:pPr>
            <w:r w:rsidRPr="009D3D85">
              <w:rPr>
                <w:rFonts w:ascii="Times New Roman" w:hAnsi="Times New Roman"/>
              </w:rPr>
              <w:t xml:space="preserve">        546 000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D3D85" w:rsidRPr="009D3D85" w:rsidP="009D3D85">
            <w:pPr>
              <w:bidi w:val="0"/>
              <w:spacing w:after="0" w:line="240" w:lineRule="auto"/>
              <w:jc w:val="right"/>
              <w:rPr>
                <w:rFonts w:ascii="Times New Roman" w:hAnsi="Times New Roman"/>
                <w:bCs/>
                <w:iCs/>
                <w:color w:val="000000"/>
              </w:rPr>
            </w:pPr>
            <w:r w:rsidRPr="009D3D85">
              <w:rPr>
                <w:rFonts w:ascii="Times New Roman" w:hAnsi="Times New Roman"/>
                <w:bCs/>
                <w:iCs/>
                <w:color w:val="000000"/>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D3D85" w:rsidRPr="009D3D85" w:rsidP="009D3D85">
            <w:pPr>
              <w:bidi w:val="0"/>
              <w:spacing w:after="0" w:line="240" w:lineRule="auto"/>
              <w:jc w:val="right"/>
              <w:rPr>
                <w:rFonts w:ascii="Times New Roman" w:hAnsi="Times New Roman"/>
                <w:bCs/>
                <w:iCs/>
                <w:color w:val="000000"/>
              </w:rPr>
            </w:pPr>
            <w:r w:rsidRPr="009D3D85">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D3D85" w:rsidRPr="009D3D85" w:rsidP="009D3D85">
            <w:pPr>
              <w:bidi w:val="0"/>
              <w:spacing w:after="0" w:line="240" w:lineRule="auto"/>
              <w:jc w:val="right"/>
              <w:rPr>
                <w:rFonts w:ascii="Times New Roman" w:hAnsi="Times New Roman"/>
                <w:bCs/>
                <w:iCs/>
                <w:color w:val="000000"/>
              </w:rPr>
            </w:pPr>
            <w:r w:rsidRPr="009D3D85">
              <w:rPr>
                <w:rFonts w:ascii="Times New Roman" w:hAnsi="Times New Roman"/>
                <w:bCs/>
                <w:iCs/>
                <w:color w:val="000000"/>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9D3D85" w:rsidRPr="009D3D85" w:rsidP="009D3D85">
            <w:pPr>
              <w:bidi w:val="0"/>
              <w:spacing w:after="0" w:line="240" w:lineRule="auto"/>
              <w:rPr>
                <w:rFonts w:ascii="Times New Roman" w:hAnsi="Times New Roman"/>
                <w:b/>
                <w:bCs/>
                <w:i/>
                <w:iCs/>
              </w:rPr>
            </w:pPr>
            <w:r w:rsidRPr="009D3D85">
              <w:rPr>
                <w:rFonts w:ascii="Times New Roman" w:hAnsi="Times New Roman"/>
                <w:b/>
                <w:bCs/>
                <w:i/>
                <w:iCs/>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D3D85" w:rsidRPr="009D3D85" w:rsidP="009D3D85">
            <w:pPr>
              <w:bidi w:val="0"/>
              <w:spacing w:after="0" w:line="240" w:lineRule="auto"/>
              <w:jc w:val="right"/>
              <w:rPr>
                <w:rFonts w:ascii="Times New Roman" w:hAnsi="Times New Roman"/>
                <w:b/>
                <w:bCs/>
                <w:i/>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D3D85" w:rsidRPr="009D3D85" w:rsidP="009D3D85">
            <w:pPr>
              <w:bidi w:val="0"/>
              <w:spacing w:after="0" w:line="240" w:lineRule="auto"/>
              <w:jc w:val="right"/>
              <w:rPr>
                <w:rFonts w:ascii="Times New Roman" w:hAnsi="Times New Roman"/>
                <w:b/>
                <w:bCs/>
                <w:i/>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D3D85" w:rsidRPr="009D3D85" w:rsidP="009D3D85">
            <w:pPr>
              <w:bidi w:val="0"/>
              <w:spacing w:after="0" w:line="240" w:lineRule="auto"/>
              <w:jc w:val="right"/>
              <w:rPr>
                <w:rFonts w:ascii="Times New Roman" w:hAnsi="Times New Roman"/>
                <w:b/>
                <w:bCs/>
                <w:i/>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D3D85" w:rsidRPr="009D3D85" w:rsidP="009D3D85">
            <w:pPr>
              <w:bidi w:val="0"/>
              <w:spacing w:after="0" w:line="240" w:lineRule="auto"/>
              <w:jc w:val="right"/>
              <w:rPr>
                <w:rFonts w:ascii="Times New Roman" w:hAnsi="Times New Roman"/>
                <w:b/>
                <w:bCs/>
                <w:i/>
                <w:iCs/>
              </w:rPr>
            </w:pP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9D3D85" w:rsidRPr="009D3D85" w:rsidP="009D3D85">
            <w:pPr>
              <w:bidi w:val="0"/>
              <w:spacing w:after="0" w:line="240" w:lineRule="auto"/>
              <w:rPr>
                <w:rFonts w:ascii="Times New Roman" w:hAnsi="Times New Roman"/>
                <w:b/>
                <w:bCs/>
                <w:i/>
                <w:iCs/>
              </w:rPr>
            </w:pPr>
            <w:r w:rsidRPr="009D3D85">
              <w:rPr>
                <w:rFonts w:ascii="Times New Roman" w:hAnsi="Times New Roman"/>
                <w:b/>
                <w:bCs/>
                <w:i/>
                <w:iCs/>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D3D85" w:rsidRPr="009D3D85" w:rsidP="009D3D85">
            <w:pPr>
              <w:bidi w:val="0"/>
              <w:spacing w:after="0" w:line="240" w:lineRule="auto"/>
              <w:jc w:val="right"/>
              <w:rPr>
                <w:rFonts w:ascii="Times New Roman" w:hAnsi="Times New Roman"/>
                <w:bCs/>
                <w:iCs/>
              </w:rPr>
            </w:pPr>
            <w:r w:rsidRPr="009D3D85">
              <w:rPr>
                <w:rFonts w:ascii="Times New Roman" w:hAnsi="Times New Roman"/>
              </w:rPr>
              <w:t xml:space="preserve">        546 000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D3D85" w:rsidRPr="009D3D85" w:rsidP="009D3D85">
            <w:pPr>
              <w:bidi w:val="0"/>
              <w:spacing w:after="0" w:line="240" w:lineRule="auto"/>
              <w:jc w:val="right"/>
              <w:rPr>
                <w:rFonts w:ascii="Times New Roman" w:hAnsi="Times New Roman"/>
                <w:bCs/>
                <w:iCs/>
              </w:rPr>
            </w:pPr>
            <w:r w:rsidRPr="009D3D85">
              <w:rPr>
                <w:rFonts w:ascii="Times New Roman" w:hAnsi="Times New Roman"/>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D3D85" w:rsidRPr="009D3D85" w:rsidP="009D3D85">
            <w:pPr>
              <w:bidi w:val="0"/>
              <w:spacing w:after="0" w:line="240" w:lineRule="auto"/>
              <w:jc w:val="right"/>
              <w:rPr>
                <w:rFonts w:ascii="Times New Roman" w:hAnsi="Times New Roman"/>
                <w:bCs/>
                <w:iCs/>
              </w:rPr>
            </w:pPr>
            <w:r w:rsidRPr="009D3D85">
              <w:rPr>
                <w:rFonts w:ascii="Times New Roman" w:hAnsi="Times New Roman"/>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D3D85" w:rsidRPr="009D3D85" w:rsidP="009D3D85">
            <w:pPr>
              <w:bidi w:val="0"/>
              <w:spacing w:after="0" w:line="240" w:lineRule="auto"/>
              <w:jc w:val="right"/>
              <w:rPr>
                <w:rFonts w:ascii="Times New Roman" w:hAnsi="Times New Roman"/>
                <w:bCs/>
                <w:iCs/>
              </w:rPr>
            </w:pPr>
            <w:r w:rsidRPr="009D3D85">
              <w:rPr>
                <w:rFonts w:ascii="Times New Roman" w:hAnsi="Times New Roman"/>
                <w:bCs/>
                <w:iCs/>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9D3D85" w:rsidRPr="009D3D85" w:rsidP="009D3D85">
            <w:pPr>
              <w:bidi w:val="0"/>
              <w:spacing w:after="0" w:line="240" w:lineRule="auto"/>
              <w:rPr>
                <w:rFonts w:ascii="Times New Roman" w:hAnsi="Times New Roman"/>
                <w:b/>
                <w:bCs/>
                <w:i/>
                <w:iCs/>
              </w:rPr>
            </w:pPr>
            <w:r w:rsidRPr="009D3D85">
              <w:rPr>
                <w:rFonts w:ascii="Times New Roman" w:hAnsi="Times New Roman"/>
                <w:b/>
                <w:bCs/>
                <w:i/>
                <w:iCs/>
              </w:rPr>
              <w:t>- vplyv na územnú samosprávu</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D3D85" w:rsidRPr="009D3D85" w:rsidP="009D3D85">
            <w:pPr>
              <w:bidi w:val="0"/>
              <w:spacing w:after="0" w:line="240" w:lineRule="auto"/>
              <w:jc w:val="right"/>
              <w:rPr>
                <w:rFonts w:ascii="Times New Roman" w:hAnsi="Times New Roman"/>
                <w:b/>
                <w:bCs/>
                <w:i/>
                <w:iCs/>
              </w:rPr>
            </w:pPr>
            <w:r w:rsidRPr="009D3D85">
              <w:rPr>
                <w:rFonts w:ascii="Times New Roman" w:hAnsi="Times New Roman"/>
                <w:b/>
                <w:bCs/>
                <w:i/>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D3D85" w:rsidRPr="009D3D85" w:rsidP="009D3D85">
            <w:pPr>
              <w:bidi w:val="0"/>
              <w:spacing w:after="0" w:line="240" w:lineRule="auto"/>
              <w:jc w:val="right"/>
              <w:rPr>
                <w:rFonts w:ascii="Times New Roman" w:hAnsi="Times New Roman"/>
                <w:b/>
                <w:bCs/>
                <w:i/>
                <w:iCs/>
              </w:rPr>
            </w:pPr>
            <w:r w:rsidRPr="009D3D85">
              <w:rPr>
                <w:rFonts w:ascii="Times New Roman" w:hAnsi="Times New Roman"/>
                <w:b/>
                <w:bCs/>
                <w:i/>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D3D85" w:rsidRPr="009D3D85" w:rsidP="009D3D85">
            <w:pPr>
              <w:bidi w:val="0"/>
              <w:spacing w:after="0" w:line="240" w:lineRule="auto"/>
              <w:jc w:val="right"/>
              <w:rPr>
                <w:rFonts w:ascii="Times New Roman" w:hAnsi="Times New Roman"/>
                <w:b/>
                <w:bCs/>
                <w:i/>
                <w:iCs/>
              </w:rPr>
            </w:pPr>
            <w:r w:rsidRPr="009D3D85">
              <w:rPr>
                <w:rFonts w:ascii="Times New Roman" w:hAnsi="Times New Roman"/>
                <w:b/>
                <w:bCs/>
                <w:i/>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D3D85" w:rsidRPr="009D3D85" w:rsidP="009D3D85">
            <w:pPr>
              <w:bidi w:val="0"/>
              <w:spacing w:after="0" w:line="240" w:lineRule="auto"/>
              <w:jc w:val="right"/>
              <w:rPr>
                <w:rFonts w:ascii="Times New Roman" w:hAnsi="Times New Roman"/>
                <w:b/>
                <w:bCs/>
                <w:i/>
                <w:iCs/>
              </w:rPr>
            </w:pPr>
            <w:r w:rsidRPr="009D3D85">
              <w:rPr>
                <w:rFonts w:ascii="Times New Roman" w:hAnsi="Times New Roman"/>
                <w:b/>
                <w:bCs/>
                <w:i/>
                <w:iCs/>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9D3D85" w:rsidRPr="009D3D85" w:rsidP="009D3D85">
            <w:pPr>
              <w:bidi w:val="0"/>
              <w:spacing w:after="0" w:line="240" w:lineRule="auto"/>
              <w:rPr>
                <w:rFonts w:ascii="Times New Roman" w:hAnsi="Times New Roman"/>
                <w:b/>
                <w:bCs/>
              </w:rPr>
            </w:pPr>
            <w:r w:rsidRPr="009D3D85">
              <w:rPr>
                <w:rFonts w:ascii="Times New Roman" w:hAnsi="Times New Roman"/>
                <w:b/>
                <w:bCs/>
              </w:rPr>
              <w:t xml:space="preserve">Celková zamestnanosť </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9D3D85" w:rsidRPr="009D3D85" w:rsidP="009D3D85">
            <w:pPr>
              <w:bidi w:val="0"/>
              <w:spacing w:after="0" w:line="240" w:lineRule="auto"/>
              <w:jc w:val="right"/>
              <w:rPr>
                <w:rFonts w:ascii="Times New Roman" w:hAnsi="Times New Roman"/>
                <w:b/>
                <w:bCs/>
              </w:rPr>
            </w:pPr>
            <w:r w:rsidRPr="009D3D85">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9D3D85" w:rsidRPr="009D3D85" w:rsidP="009D3D85">
            <w:pPr>
              <w:bidi w:val="0"/>
              <w:spacing w:after="0" w:line="240" w:lineRule="auto"/>
              <w:jc w:val="right"/>
              <w:rPr>
                <w:rFonts w:ascii="Times New Roman" w:hAnsi="Times New Roman"/>
                <w:b/>
                <w:bCs/>
              </w:rPr>
            </w:pPr>
            <w:r w:rsidRPr="009D3D85">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9D3D85" w:rsidRPr="009D3D85" w:rsidP="009D3D85">
            <w:pPr>
              <w:bidi w:val="0"/>
              <w:spacing w:after="0" w:line="240" w:lineRule="auto"/>
              <w:jc w:val="right"/>
              <w:rPr>
                <w:rFonts w:ascii="Times New Roman" w:hAnsi="Times New Roman"/>
                <w:b/>
                <w:bCs/>
              </w:rPr>
            </w:pPr>
            <w:r w:rsidRPr="009D3D85">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9D3D85" w:rsidRPr="009D3D85" w:rsidP="009D3D85">
            <w:pPr>
              <w:bidi w:val="0"/>
              <w:spacing w:after="0" w:line="240" w:lineRule="auto"/>
              <w:jc w:val="right"/>
              <w:rPr>
                <w:rFonts w:ascii="Times New Roman" w:hAnsi="Times New Roman"/>
                <w:b/>
                <w:bCs/>
              </w:rPr>
            </w:pPr>
            <w:r w:rsidRPr="009D3D85">
              <w:rPr>
                <w:rFonts w:ascii="Times New Roman" w:hAnsi="Times New Roman"/>
                <w:b/>
                <w:bCs/>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9D3D85" w:rsidRPr="009D3D85" w:rsidP="009D3D85">
            <w:pPr>
              <w:bidi w:val="0"/>
              <w:spacing w:after="0" w:line="240" w:lineRule="auto"/>
              <w:rPr>
                <w:rFonts w:ascii="Times New Roman" w:hAnsi="Times New Roman"/>
              </w:rPr>
            </w:pPr>
            <w:r w:rsidRPr="009D3D85">
              <w:rPr>
                <w:rFonts w:ascii="Times New Roman" w:hAnsi="Times New Roman"/>
                <w:b/>
                <w:i/>
              </w:rPr>
              <w:t>- z toho vplyv na ŠR</w:t>
            </w:r>
            <w:r w:rsidRPr="009D3D85">
              <w:rPr>
                <w:rFonts w:ascii="Times New Roman" w:hAnsi="Times New Roman"/>
              </w:rPr>
              <w:t xml:space="preserve">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D3D85" w:rsidRPr="009D3D85" w:rsidP="009D3D85">
            <w:pPr>
              <w:bidi w:val="0"/>
              <w:spacing w:after="0" w:line="240" w:lineRule="auto"/>
              <w:jc w:val="right"/>
              <w:rPr>
                <w:rFonts w:ascii="Times New Roman" w:hAnsi="Times New Roman"/>
              </w:rPr>
            </w:pPr>
            <w:r w:rsidRPr="009D3D85">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D3D85" w:rsidRPr="009D3D85" w:rsidP="009D3D85">
            <w:pPr>
              <w:bidi w:val="0"/>
              <w:spacing w:after="0" w:line="240" w:lineRule="auto"/>
              <w:jc w:val="right"/>
              <w:rPr>
                <w:rFonts w:ascii="Times New Roman" w:hAnsi="Times New Roman"/>
              </w:rPr>
            </w:pPr>
            <w:r w:rsidRPr="009D3D85">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D3D85" w:rsidRPr="009D3D85" w:rsidP="009D3D85">
            <w:pPr>
              <w:bidi w:val="0"/>
              <w:spacing w:after="0" w:line="240" w:lineRule="auto"/>
              <w:jc w:val="right"/>
              <w:rPr>
                <w:rFonts w:ascii="Times New Roman" w:hAnsi="Times New Roman"/>
              </w:rPr>
            </w:pPr>
            <w:r w:rsidRPr="009D3D85">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D3D85" w:rsidRPr="009D3D85" w:rsidP="009D3D85">
            <w:pPr>
              <w:bidi w:val="0"/>
              <w:spacing w:after="0" w:line="240" w:lineRule="auto"/>
              <w:jc w:val="right"/>
              <w:rPr>
                <w:rFonts w:ascii="Times New Roman" w:hAnsi="Times New Roman"/>
              </w:rPr>
            </w:pPr>
            <w:r w:rsidRPr="009D3D85">
              <w:rPr>
                <w:rFonts w:ascii="Times New Roman" w:hAnsi="Times New Roman"/>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9D3D85" w:rsidRPr="009D3D85" w:rsidP="009D3D85">
            <w:pPr>
              <w:bidi w:val="0"/>
              <w:spacing w:after="0" w:line="240" w:lineRule="auto"/>
              <w:rPr>
                <w:rFonts w:ascii="Times New Roman" w:hAnsi="Times New Roman"/>
                <w:b/>
                <w:bCs/>
              </w:rPr>
            </w:pPr>
            <w:r w:rsidRPr="009D3D85">
              <w:rPr>
                <w:rFonts w:ascii="Times New Roman" w:hAnsi="Times New Roman"/>
                <w:b/>
                <w:bCs/>
              </w:rPr>
              <w:t>Financovanie zabezpečené v rozpočte</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9D3D85" w:rsidRPr="009D3D85" w:rsidP="009D3D85">
            <w:pPr>
              <w:bidi w:val="0"/>
              <w:spacing w:after="0" w:line="240" w:lineRule="auto"/>
              <w:jc w:val="right"/>
              <w:rPr>
                <w:rFonts w:ascii="Times New Roman" w:hAnsi="Times New Roman"/>
                <w:bCs/>
                <w:iCs/>
              </w:rPr>
            </w:pPr>
            <w:r w:rsidRPr="009D3D85">
              <w:rPr>
                <w:rFonts w:ascii="Times New Roman" w:hAnsi="Times New Roman"/>
              </w:rPr>
              <w:t xml:space="preserve">        546 000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9D3D85" w:rsidRPr="009D3D85" w:rsidP="009D3D85">
            <w:pPr>
              <w:bidi w:val="0"/>
              <w:spacing w:after="0" w:line="240" w:lineRule="auto"/>
              <w:jc w:val="right"/>
              <w:rPr>
                <w:rFonts w:ascii="Times New Roman" w:hAnsi="Times New Roman"/>
                <w:bCs/>
                <w:iCs/>
              </w:rPr>
            </w:pPr>
            <w:r w:rsidRPr="009D3D85">
              <w:rPr>
                <w:rFonts w:ascii="Times New Roman" w:hAnsi="Times New Roman"/>
                <w:bCs/>
                <w:i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9D3D85" w:rsidRPr="009D3D85" w:rsidP="009D3D85">
            <w:pPr>
              <w:bidi w:val="0"/>
              <w:spacing w:after="0" w:line="240" w:lineRule="auto"/>
              <w:jc w:val="right"/>
              <w:rPr>
                <w:rFonts w:ascii="Times New Roman" w:hAnsi="Times New Roman"/>
                <w:bCs/>
                <w:iCs/>
              </w:rPr>
            </w:pPr>
            <w:r w:rsidRPr="009D3D85">
              <w:rPr>
                <w:rFonts w:ascii="Times New Roman" w:hAnsi="Times New Roman"/>
                <w:bCs/>
                <w:i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9D3D85" w:rsidRPr="009D3D85" w:rsidP="009D3D85">
            <w:pPr>
              <w:bidi w:val="0"/>
              <w:spacing w:after="0" w:line="240" w:lineRule="auto"/>
              <w:jc w:val="right"/>
              <w:rPr>
                <w:rFonts w:ascii="Times New Roman" w:hAnsi="Times New Roman"/>
                <w:bCs/>
                <w:iCs/>
              </w:rPr>
            </w:pPr>
            <w:r w:rsidRPr="009D3D85">
              <w:rPr>
                <w:rFonts w:ascii="Times New Roman" w:hAnsi="Times New Roman"/>
                <w:bCs/>
                <w:iCs/>
              </w:rPr>
              <w:t>0</w:t>
            </w:r>
          </w:p>
        </w:tc>
      </w:tr>
    </w:tbl>
    <w:p w:rsidR="009D3D85" w:rsidRPr="009D3D85" w:rsidP="009D3D85">
      <w:pPr>
        <w:bidi w:val="0"/>
        <w:jc w:val="both"/>
        <w:rPr>
          <w:rFonts w:ascii="Times New Roman" w:hAnsi="Times New Roman"/>
          <w:color w:val="000000"/>
        </w:rPr>
      </w:pPr>
      <w:bookmarkEnd w:id="0"/>
    </w:p>
    <w:p w:rsidR="009D3D85" w:rsidRPr="009D3D85" w:rsidP="009D3D85">
      <w:pPr>
        <w:bidi w:val="0"/>
        <w:jc w:val="both"/>
        <w:rPr>
          <w:rFonts w:ascii="Times New Roman" w:hAnsi="Times New Roman"/>
          <w:color w:val="000000"/>
        </w:rPr>
      </w:pPr>
    </w:p>
    <w:p w:rsidR="009D3D85" w:rsidRPr="009D3D85" w:rsidP="009D3D85">
      <w:pPr>
        <w:bidi w:val="0"/>
        <w:ind w:left="7080"/>
        <w:jc w:val="right"/>
        <w:rPr>
          <w:rFonts w:ascii="Times New Roman" w:hAnsi="Times New Roman"/>
          <w:color w:val="000000"/>
        </w:rPr>
      </w:pPr>
      <w:r w:rsidRPr="009D3D85">
        <w:rPr>
          <w:rFonts w:ascii="Times New Roman" w:hAnsi="Times New Roman"/>
          <w:b/>
          <w:color w:val="000000"/>
        </w:rPr>
        <w:t xml:space="preserve">        </w:t>
      </w:r>
      <w:r w:rsidRPr="009D3D85">
        <w:rPr>
          <w:rFonts w:ascii="Times New Roman" w:hAnsi="Times New Roman"/>
          <w:color w:val="000000"/>
        </w:rPr>
        <w:t>Tabuľka č. 2</w:t>
      </w:r>
    </w:p>
    <w:tbl>
      <w:tblPr>
        <w:tblStyle w:val="TableNormal"/>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304"/>
        <w:gridCol w:w="1264"/>
        <w:gridCol w:w="1264"/>
        <w:gridCol w:w="1264"/>
        <w:gridCol w:w="1264"/>
      </w:tblGrid>
      <w:tr>
        <w:tblPrEx>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70"/>
        </w:trPr>
        <w:tc>
          <w:tcPr>
            <w:tcW w:w="4304"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9D3D85" w:rsidRPr="009D3D85" w:rsidP="009D3D85">
            <w:pPr>
              <w:bidi w:val="0"/>
              <w:spacing w:after="0" w:line="240" w:lineRule="auto"/>
              <w:jc w:val="center"/>
              <w:rPr>
                <w:rFonts w:ascii="Times New Roman" w:hAnsi="Times New Roman"/>
                <w:b/>
                <w:bCs/>
                <w:color w:val="FFFFFF"/>
              </w:rPr>
            </w:pPr>
            <w:r w:rsidRPr="009D3D85">
              <w:rPr>
                <w:rFonts w:ascii="Times New Roman" w:hAnsi="Times New Roman"/>
                <w:b/>
                <w:bCs/>
                <w:color w:val="FFFFFF"/>
              </w:rPr>
              <w:t>Financovanie</w:t>
            </w:r>
          </w:p>
        </w:tc>
        <w:tc>
          <w:tcPr>
            <w:tcW w:w="5056" w:type="dxa"/>
            <w:gridSpan w:val="4"/>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9D3D85" w:rsidRPr="009D3D85" w:rsidP="009D3D85">
            <w:pPr>
              <w:bidi w:val="0"/>
              <w:spacing w:after="0" w:line="240" w:lineRule="auto"/>
              <w:jc w:val="center"/>
              <w:rPr>
                <w:rFonts w:ascii="Times New Roman" w:hAnsi="Times New Roman"/>
                <w:b/>
                <w:bCs/>
                <w:color w:val="FFFFFF"/>
              </w:rPr>
            </w:pPr>
            <w:r w:rsidRPr="009D3D85">
              <w:rPr>
                <w:rFonts w:ascii="Times New Roman" w:hAnsi="Times New Roman"/>
                <w:b/>
                <w:bCs/>
                <w:color w:val="FFFFFF"/>
              </w:rPr>
              <w:t xml:space="preserve">Vplyv na rozpočet verejnej správy </w:t>
            </w:r>
            <w:r w:rsidRPr="009D3D85">
              <w:rPr>
                <w:rFonts w:ascii="Times New Roman" w:hAnsi="Times New Roman"/>
                <w:b/>
                <w:bCs/>
              </w:rPr>
              <w:t>(v eurách)</w:t>
            </w:r>
          </w:p>
        </w:tc>
      </w:tr>
      <w:tr>
        <w:tblPrEx>
          <w:tblW w:w="9360" w:type="dxa"/>
          <w:tblInd w:w="-110" w:type="dxa"/>
          <w:tblCellMar>
            <w:left w:w="70" w:type="dxa"/>
            <w:right w:w="70" w:type="dxa"/>
          </w:tblCellMar>
        </w:tblPrEx>
        <w:trPr>
          <w:cantSplit/>
          <w:trHeight w:val="70"/>
        </w:trPr>
        <w:tc>
          <w:tcPr>
            <w:tcW w:w="4304" w:type="dxa"/>
            <w:vMerge/>
            <w:tcBorders>
              <w:top w:val="single" w:sz="4" w:space="0" w:color="auto"/>
              <w:left w:val="single" w:sz="4" w:space="0" w:color="auto"/>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b/>
                <w:bCs/>
                <w:color w:val="FFFFFF"/>
              </w:rPr>
            </w:pPr>
          </w:p>
        </w:tc>
        <w:tc>
          <w:tcPr>
            <w:tcW w:w="126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9D3D85" w:rsidRPr="009D3D85" w:rsidP="009D3D85">
            <w:pPr>
              <w:bidi w:val="0"/>
              <w:spacing w:after="0" w:line="240" w:lineRule="auto"/>
              <w:jc w:val="center"/>
              <w:rPr>
                <w:rFonts w:ascii="Times New Roman" w:hAnsi="Times New Roman"/>
                <w:b/>
                <w:bCs/>
                <w:color w:val="FFFFFF"/>
              </w:rPr>
            </w:pPr>
            <w:r w:rsidRPr="009D3D85">
              <w:rPr>
                <w:rFonts w:ascii="Times New Roman" w:hAnsi="Times New Roman"/>
                <w:b/>
                <w:bCs/>
                <w:color w:val="FFFFFF"/>
              </w:rPr>
              <w:t>2013</w:t>
            </w:r>
          </w:p>
        </w:tc>
        <w:tc>
          <w:tcPr>
            <w:tcW w:w="126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9D3D85" w:rsidRPr="009D3D85" w:rsidP="009D3D85">
            <w:pPr>
              <w:bidi w:val="0"/>
              <w:spacing w:after="0" w:line="240" w:lineRule="auto"/>
              <w:jc w:val="center"/>
              <w:rPr>
                <w:rFonts w:ascii="Times New Roman" w:hAnsi="Times New Roman"/>
                <w:b/>
                <w:bCs/>
                <w:color w:val="FFFFFF"/>
              </w:rPr>
            </w:pPr>
            <w:r w:rsidRPr="009D3D85">
              <w:rPr>
                <w:rFonts w:ascii="Times New Roman" w:hAnsi="Times New Roman"/>
                <w:b/>
                <w:bCs/>
                <w:color w:val="FFFFFF"/>
              </w:rPr>
              <w:t>2014</w:t>
            </w:r>
          </w:p>
        </w:tc>
        <w:tc>
          <w:tcPr>
            <w:tcW w:w="126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9D3D85" w:rsidRPr="009D3D85" w:rsidP="009D3D85">
            <w:pPr>
              <w:bidi w:val="0"/>
              <w:spacing w:after="0" w:line="240" w:lineRule="auto"/>
              <w:jc w:val="center"/>
              <w:rPr>
                <w:rFonts w:ascii="Times New Roman" w:hAnsi="Times New Roman"/>
                <w:b/>
                <w:bCs/>
                <w:color w:val="FFFFFF"/>
              </w:rPr>
            </w:pPr>
            <w:r w:rsidRPr="009D3D85">
              <w:rPr>
                <w:rFonts w:ascii="Times New Roman" w:hAnsi="Times New Roman"/>
                <w:b/>
                <w:bCs/>
                <w:color w:val="FFFFFF"/>
              </w:rPr>
              <w:t>2015</w:t>
            </w:r>
          </w:p>
        </w:tc>
        <w:tc>
          <w:tcPr>
            <w:tcW w:w="126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9D3D85" w:rsidRPr="009D3D85" w:rsidP="009D3D85">
            <w:pPr>
              <w:bidi w:val="0"/>
              <w:spacing w:after="0" w:line="240" w:lineRule="auto"/>
              <w:jc w:val="center"/>
              <w:rPr>
                <w:rFonts w:ascii="Times New Roman" w:hAnsi="Times New Roman"/>
                <w:b/>
                <w:bCs/>
                <w:color w:val="FFFFFF"/>
              </w:rPr>
            </w:pPr>
            <w:r w:rsidRPr="009D3D85">
              <w:rPr>
                <w:rFonts w:ascii="Times New Roman" w:hAnsi="Times New Roman"/>
                <w:b/>
                <w:bCs/>
                <w:color w:val="FFFFFF"/>
              </w:rPr>
              <w:t>2016</w:t>
            </w:r>
          </w:p>
        </w:tc>
      </w:tr>
      <w:tr>
        <w:tblPrEx>
          <w:tblW w:w="9360" w:type="dxa"/>
          <w:tblInd w:w="-110" w:type="dxa"/>
          <w:tblCellMar>
            <w:left w:w="70" w:type="dxa"/>
            <w:right w:w="70" w:type="dxa"/>
          </w:tblCellMar>
        </w:tblPrEx>
        <w:trPr>
          <w:trHeight w:val="70"/>
        </w:trPr>
        <w:tc>
          <w:tcPr>
            <w:tcW w:w="4304" w:type="dxa"/>
            <w:tcBorders>
              <w:top w:val="single" w:sz="4" w:space="0" w:color="auto"/>
              <w:left w:val="single" w:sz="4" w:space="0" w:color="auto"/>
              <w:bottom w:val="single" w:sz="4" w:space="0" w:color="auto"/>
              <w:right w:val="single" w:sz="4" w:space="0" w:color="auto"/>
            </w:tcBorders>
            <w:textDirection w:val="lrTb"/>
            <w:vAlign w:val="center"/>
          </w:tcPr>
          <w:p w:rsidR="009D3D85" w:rsidRPr="009D3D85" w:rsidP="009D3D85">
            <w:pPr>
              <w:bidi w:val="0"/>
              <w:spacing w:after="0" w:line="240" w:lineRule="auto"/>
              <w:rPr>
                <w:rFonts w:ascii="Times New Roman" w:hAnsi="Times New Roman"/>
                <w:b/>
                <w:bCs/>
              </w:rPr>
            </w:pPr>
            <w:r w:rsidRPr="009D3D85">
              <w:rPr>
                <w:rFonts w:ascii="Times New Roman" w:hAnsi="Times New Roman"/>
                <w:b/>
                <w:bCs/>
              </w:rPr>
              <w:t>Celkový vplyv na rozpočet verejnej správy ( - príjmy, + výdavky)</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9D3D85" w:rsidRPr="009D3D85" w:rsidP="009D3D85">
            <w:pPr>
              <w:bidi w:val="0"/>
              <w:spacing w:after="0" w:line="240" w:lineRule="auto"/>
              <w:jc w:val="center"/>
              <w:rPr>
                <w:rFonts w:ascii="Times New Roman" w:hAnsi="Times New Roman"/>
                <w:highlight w:val="yellow"/>
              </w:rPr>
            </w:pPr>
            <w:r w:rsidRPr="009D3D85">
              <w:rPr>
                <w:rFonts w:ascii="Times New Roman" w:hAnsi="Times New Roman"/>
              </w:rPr>
              <w:t>546 000</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9D3D85" w:rsidRPr="009D3D85" w:rsidP="009D3D85">
            <w:pPr>
              <w:bidi w:val="0"/>
              <w:spacing w:after="0" w:line="240" w:lineRule="auto"/>
              <w:jc w:val="right"/>
              <w:rPr>
                <w:rFonts w:ascii="Times New Roman" w:hAnsi="Times New Roman"/>
              </w:rPr>
            </w:pPr>
            <w:r w:rsidRPr="009D3D85">
              <w:rPr>
                <w:rFonts w:ascii="Times New Roman" w:hAnsi="Times New Roman"/>
              </w:rPr>
              <w:t>510 000</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9D3D85" w:rsidRPr="009D3D85" w:rsidP="009D3D85">
            <w:pPr>
              <w:bidi w:val="0"/>
              <w:spacing w:after="0" w:line="240" w:lineRule="auto"/>
              <w:jc w:val="right"/>
              <w:rPr>
                <w:rFonts w:ascii="Times New Roman" w:hAnsi="Times New Roman"/>
              </w:rPr>
            </w:pPr>
            <w:r w:rsidRPr="009D3D85">
              <w:rPr>
                <w:rFonts w:ascii="Times New Roman" w:hAnsi="Times New Roman"/>
              </w:rPr>
              <w:t>510 000</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9D3D85" w:rsidRPr="009D3D85" w:rsidP="009D3D85">
            <w:pPr>
              <w:bidi w:val="0"/>
              <w:spacing w:after="0" w:line="240" w:lineRule="auto"/>
              <w:jc w:val="right"/>
              <w:rPr>
                <w:rFonts w:ascii="Times New Roman" w:hAnsi="Times New Roman"/>
              </w:rPr>
            </w:pPr>
            <w:r w:rsidRPr="009D3D85">
              <w:rPr>
                <w:rFonts w:ascii="Times New Roman" w:hAnsi="Times New Roman"/>
              </w:rPr>
              <w:t>510 000</w:t>
            </w:r>
          </w:p>
        </w:tc>
      </w:tr>
      <w:tr>
        <w:tblPrEx>
          <w:tblW w:w="9360" w:type="dxa"/>
          <w:tblInd w:w="-110" w:type="dxa"/>
          <w:tblCellMar>
            <w:left w:w="70" w:type="dxa"/>
            <w:right w:w="70" w:type="dxa"/>
          </w:tblCellMar>
        </w:tblPrEx>
        <w:trPr>
          <w:trHeight w:val="70"/>
        </w:trPr>
        <w:tc>
          <w:tcPr>
            <w:tcW w:w="4304" w:type="dxa"/>
            <w:tcBorders>
              <w:top w:val="single" w:sz="4" w:space="0" w:color="auto"/>
              <w:left w:val="single" w:sz="4" w:space="0" w:color="auto"/>
              <w:bottom w:val="single" w:sz="4" w:space="0" w:color="auto"/>
              <w:right w:val="single" w:sz="4" w:space="0" w:color="auto"/>
            </w:tcBorders>
            <w:textDirection w:val="lrTb"/>
            <w:vAlign w:val="center"/>
          </w:tcPr>
          <w:p w:rsidR="009D3D85" w:rsidRPr="009D3D85" w:rsidP="009D3D85">
            <w:pPr>
              <w:bidi w:val="0"/>
              <w:spacing w:after="0" w:line="240" w:lineRule="auto"/>
              <w:rPr>
                <w:rFonts w:ascii="Times New Roman" w:hAnsi="Times New Roman"/>
              </w:rPr>
            </w:pPr>
            <w:r w:rsidRPr="009D3D85">
              <w:rPr>
                <w:rFonts w:ascii="Times New Roman" w:hAnsi="Times New Roman"/>
              </w:rPr>
              <w:t xml:space="preserve">  z toho vplyv na ŠR</w:t>
            </w:r>
          </w:p>
        </w:tc>
        <w:tc>
          <w:tcPr>
            <w:tcW w:w="1264" w:type="dxa"/>
            <w:tcBorders>
              <w:top w:val="single" w:sz="4" w:space="0" w:color="auto"/>
              <w:left w:val="single" w:sz="4" w:space="0" w:color="auto"/>
              <w:bottom w:val="single" w:sz="4" w:space="0" w:color="auto"/>
              <w:right w:val="single" w:sz="4" w:space="0" w:color="auto"/>
            </w:tcBorders>
            <w:noWrap/>
            <w:textDirection w:val="lrTb"/>
            <w:vAlign w:val="top"/>
          </w:tcPr>
          <w:p w:rsidR="009D3D85" w:rsidRPr="009D3D85" w:rsidP="009D3D85">
            <w:pPr>
              <w:bidi w:val="0"/>
              <w:spacing w:after="0" w:line="240" w:lineRule="auto"/>
              <w:jc w:val="center"/>
              <w:rPr>
                <w:rFonts w:ascii="Times New Roman" w:hAnsi="Times New Roman"/>
              </w:rPr>
            </w:pPr>
            <w:r w:rsidRPr="009D3D85">
              <w:rPr>
                <w:rFonts w:ascii="Times New Roman" w:hAnsi="Times New Roman"/>
              </w:rPr>
              <w:t>546 000</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9D3D85" w:rsidRPr="009D3D85" w:rsidP="009D3D85">
            <w:pPr>
              <w:bidi w:val="0"/>
              <w:spacing w:after="0" w:line="240" w:lineRule="auto"/>
              <w:jc w:val="right"/>
              <w:rPr>
                <w:rFonts w:ascii="Times New Roman" w:hAnsi="Times New Roman"/>
              </w:rPr>
            </w:pPr>
            <w:r w:rsidRPr="009D3D85">
              <w:rPr>
                <w:rFonts w:ascii="Times New Roman" w:hAnsi="Times New Roman"/>
              </w:rPr>
              <w:t>510 000</w:t>
            </w:r>
          </w:p>
        </w:tc>
        <w:tc>
          <w:tcPr>
            <w:tcW w:w="1264" w:type="dxa"/>
            <w:tcBorders>
              <w:top w:val="single" w:sz="4" w:space="0" w:color="auto"/>
              <w:left w:val="single" w:sz="4" w:space="0" w:color="auto"/>
              <w:bottom w:val="single" w:sz="4" w:space="0" w:color="auto"/>
              <w:right w:val="single" w:sz="4" w:space="0" w:color="auto"/>
            </w:tcBorders>
            <w:noWrap/>
            <w:textDirection w:val="lrTb"/>
            <w:vAlign w:val="top"/>
          </w:tcPr>
          <w:p w:rsidR="009D3D85" w:rsidRPr="009D3D85" w:rsidP="009D3D85">
            <w:pPr>
              <w:bidi w:val="0"/>
              <w:spacing w:after="0" w:line="240" w:lineRule="auto"/>
              <w:jc w:val="right"/>
              <w:rPr>
                <w:rFonts w:ascii="Times New Roman" w:hAnsi="Times New Roman"/>
              </w:rPr>
            </w:pPr>
            <w:r w:rsidRPr="009D3D85">
              <w:rPr>
                <w:rFonts w:ascii="Times New Roman" w:hAnsi="Times New Roman"/>
              </w:rPr>
              <w:t>510 000</w:t>
            </w:r>
          </w:p>
        </w:tc>
        <w:tc>
          <w:tcPr>
            <w:tcW w:w="1264" w:type="dxa"/>
            <w:tcBorders>
              <w:top w:val="single" w:sz="4" w:space="0" w:color="auto"/>
              <w:left w:val="single" w:sz="4" w:space="0" w:color="auto"/>
              <w:bottom w:val="single" w:sz="4" w:space="0" w:color="auto"/>
              <w:right w:val="single" w:sz="4" w:space="0" w:color="auto"/>
            </w:tcBorders>
            <w:noWrap/>
            <w:textDirection w:val="lrTb"/>
            <w:vAlign w:val="top"/>
          </w:tcPr>
          <w:p w:rsidR="009D3D85" w:rsidRPr="009D3D85" w:rsidP="009D3D85">
            <w:pPr>
              <w:bidi w:val="0"/>
              <w:spacing w:after="0" w:line="240" w:lineRule="auto"/>
              <w:jc w:val="right"/>
              <w:rPr>
                <w:rFonts w:ascii="Times New Roman" w:hAnsi="Times New Roman"/>
              </w:rPr>
            </w:pPr>
            <w:r w:rsidRPr="009D3D85">
              <w:rPr>
                <w:rFonts w:ascii="Times New Roman" w:hAnsi="Times New Roman"/>
              </w:rPr>
              <w:t>510 000</w:t>
            </w:r>
          </w:p>
        </w:tc>
      </w:tr>
      <w:tr>
        <w:tblPrEx>
          <w:tblW w:w="9360" w:type="dxa"/>
          <w:tblInd w:w="-110" w:type="dxa"/>
          <w:tblCellMar>
            <w:left w:w="70" w:type="dxa"/>
            <w:right w:w="70" w:type="dxa"/>
          </w:tblCellMar>
        </w:tblPrEx>
        <w:trPr>
          <w:trHeight w:val="151"/>
        </w:trPr>
        <w:tc>
          <w:tcPr>
            <w:tcW w:w="4304" w:type="dxa"/>
            <w:tcBorders>
              <w:top w:val="single" w:sz="4" w:space="0" w:color="auto"/>
              <w:left w:val="single" w:sz="4" w:space="0" w:color="auto"/>
              <w:bottom w:val="single" w:sz="4" w:space="0" w:color="auto"/>
              <w:right w:val="single" w:sz="4" w:space="0" w:color="auto"/>
            </w:tcBorders>
            <w:textDirection w:val="lrTb"/>
            <w:vAlign w:val="center"/>
          </w:tcPr>
          <w:p w:rsidR="009D3D85" w:rsidRPr="009D3D85" w:rsidP="009D3D85">
            <w:pPr>
              <w:bidi w:val="0"/>
              <w:spacing w:after="0" w:line="240" w:lineRule="auto"/>
              <w:rPr>
                <w:rFonts w:ascii="Times New Roman" w:hAnsi="Times New Roman"/>
              </w:rPr>
            </w:pPr>
            <w:r w:rsidRPr="009D3D85">
              <w:rPr>
                <w:rFonts w:ascii="Times New Roman" w:hAnsi="Times New Roman"/>
              </w:rPr>
              <w:t xml:space="preserve">  financovanie zabezpečené v rozpočte</w:t>
            </w:r>
          </w:p>
        </w:tc>
        <w:tc>
          <w:tcPr>
            <w:tcW w:w="1264" w:type="dxa"/>
            <w:tcBorders>
              <w:top w:val="single" w:sz="4" w:space="0" w:color="auto"/>
              <w:left w:val="single" w:sz="4" w:space="0" w:color="auto"/>
              <w:bottom w:val="single" w:sz="4" w:space="0" w:color="auto"/>
              <w:right w:val="single" w:sz="4" w:space="0" w:color="auto"/>
            </w:tcBorders>
            <w:noWrap/>
            <w:textDirection w:val="lrTb"/>
            <w:vAlign w:val="top"/>
          </w:tcPr>
          <w:p w:rsidR="009D3D85" w:rsidRPr="009D3D85" w:rsidP="009D3D85">
            <w:pPr>
              <w:bidi w:val="0"/>
              <w:spacing w:after="0" w:line="240" w:lineRule="auto"/>
              <w:jc w:val="center"/>
              <w:rPr>
                <w:rFonts w:ascii="Times New Roman" w:hAnsi="Times New Roman"/>
              </w:rPr>
            </w:pPr>
            <w:r w:rsidRPr="009D3D85">
              <w:rPr>
                <w:rFonts w:ascii="Times New Roman" w:hAnsi="Times New Roman"/>
              </w:rPr>
              <w:t>546 000</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9D3D85" w:rsidRPr="009D3D85" w:rsidP="009D3D85">
            <w:pPr>
              <w:bidi w:val="0"/>
              <w:spacing w:after="0" w:line="240" w:lineRule="auto"/>
              <w:jc w:val="right"/>
              <w:rPr>
                <w:rFonts w:ascii="Times New Roman" w:hAnsi="Times New Roman"/>
              </w:rPr>
            </w:pPr>
            <w:r w:rsidRPr="009D3D85">
              <w:rPr>
                <w:rFonts w:ascii="Times New Roman" w:hAnsi="Times New Roman"/>
              </w:rPr>
              <w:t>0</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9D3D85" w:rsidRPr="009D3D85" w:rsidP="009D3D85">
            <w:pPr>
              <w:bidi w:val="0"/>
              <w:spacing w:after="0" w:line="240" w:lineRule="auto"/>
              <w:jc w:val="right"/>
              <w:rPr>
                <w:rFonts w:ascii="Times New Roman" w:hAnsi="Times New Roman"/>
              </w:rPr>
            </w:pPr>
            <w:r w:rsidRPr="009D3D85">
              <w:rPr>
                <w:rFonts w:ascii="Times New Roman" w:hAnsi="Times New Roman"/>
              </w:rPr>
              <w:t>0</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9D3D85" w:rsidRPr="009D3D85" w:rsidP="009D3D85">
            <w:pPr>
              <w:bidi w:val="0"/>
              <w:spacing w:after="0" w:line="240" w:lineRule="auto"/>
              <w:jc w:val="right"/>
              <w:rPr>
                <w:rFonts w:ascii="Times New Roman" w:hAnsi="Times New Roman"/>
              </w:rPr>
            </w:pPr>
            <w:r w:rsidRPr="009D3D85">
              <w:rPr>
                <w:rFonts w:ascii="Times New Roman" w:hAnsi="Times New Roman"/>
              </w:rPr>
              <w:t>0</w:t>
            </w:r>
          </w:p>
        </w:tc>
      </w:tr>
      <w:tr>
        <w:tblPrEx>
          <w:tblW w:w="9360" w:type="dxa"/>
          <w:tblInd w:w="-110" w:type="dxa"/>
          <w:tblCellMar>
            <w:left w:w="70" w:type="dxa"/>
            <w:right w:w="70" w:type="dxa"/>
          </w:tblCellMar>
        </w:tblPrEx>
        <w:trPr>
          <w:trHeight w:val="135"/>
        </w:trPr>
        <w:tc>
          <w:tcPr>
            <w:tcW w:w="4304" w:type="dxa"/>
            <w:tcBorders>
              <w:top w:val="single" w:sz="4" w:space="0" w:color="auto"/>
              <w:left w:val="single" w:sz="4" w:space="0" w:color="auto"/>
              <w:bottom w:val="single" w:sz="4" w:space="0" w:color="auto"/>
              <w:right w:val="single" w:sz="4" w:space="0" w:color="auto"/>
            </w:tcBorders>
            <w:textDirection w:val="lrTb"/>
            <w:vAlign w:val="center"/>
          </w:tcPr>
          <w:p w:rsidR="009D3D85" w:rsidRPr="009D3D85" w:rsidP="009D3D85">
            <w:pPr>
              <w:bidi w:val="0"/>
              <w:spacing w:after="0" w:line="240" w:lineRule="auto"/>
              <w:rPr>
                <w:rFonts w:ascii="Times New Roman" w:hAnsi="Times New Roman"/>
                <w:highlight w:val="yellow"/>
              </w:rPr>
            </w:pPr>
            <w:r w:rsidRPr="009D3D85">
              <w:rPr>
                <w:rFonts w:ascii="Times New Roman" w:hAnsi="Times New Roman"/>
              </w:rPr>
              <w:t xml:space="preserve">  ostatné zdroje financovania</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9D3D85" w:rsidRPr="009D3D85" w:rsidP="009D3D85">
            <w:pPr>
              <w:bidi w:val="0"/>
              <w:spacing w:after="0" w:line="240" w:lineRule="auto"/>
              <w:jc w:val="right"/>
              <w:rPr>
                <w:rFonts w:ascii="Times New Roman" w:hAnsi="Times New Roman"/>
              </w:rPr>
            </w:pPr>
            <w:r w:rsidRPr="009D3D85">
              <w:rPr>
                <w:rFonts w:ascii="Times New Roman" w:hAnsi="Times New Roman"/>
              </w:rPr>
              <w:t>0</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9D3D85" w:rsidRPr="009D3D85" w:rsidP="009D3D85">
            <w:pPr>
              <w:bidi w:val="0"/>
              <w:spacing w:after="0" w:line="240" w:lineRule="auto"/>
              <w:jc w:val="right"/>
              <w:rPr>
                <w:rFonts w:ascii="Times New Roman" w:hAnsi="Times New Roman"/>
              </w:rPr>
            </w:pPr>
            <w:r w:rsidRPr="009D3D85">
              <w:rPr>
                <w:rFonts w:ascii="Times New Roman" w:hAnsi="Times New Roman"/>
              </w:rPr>
              <w:t>0</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9D3D85" w:rsidRPr="009D3D85" w:rsidP="009D3D85">
            <w:pPr>
              <w:bidi w:val="0"/>
              <w:spacing w:after="0" w:line="240" w:lineRule="auto"/>
              <w:jc w:val="right"/>
              <w:rPr>
                <w:rFonts w:ascii="Times New Roman" w:hAnsi="Times New Roman"/>
              </w:rPr>
            </w:pPr>
            <w:r w:rsidRPr="009D3D85">
              <w:rPr>
                <w:rFonts w:ascii="Times New Roman" w:hAnsi="Times New Roman"/>
              </w:rPr>
              <w:t>0</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9D3D85" w:rsidRPr="009D3D85" w:rsidP="009D3D85">
            <w:pPr>
              <w:bidi w:val="0"/>
              <w:spacing w:after="0" w:line="240" w:lineRule="auto"/>
              <w:jc w:val="right"/>
              <w:rPr>
                <w:rFonts w:ascii="Times New Roman" w:hAnsi="Times New Roman"/>
              </w:rPr>
            </w:pPr>
            <w:r w:rsidRPr="009D3D85">
              <w:rPr>
                <w:rFonts w:ascii="Times New Roman" w:hAnsi="Times New Roman"/>
              </w:rPr>
              <w:t>0</w:t>
            </w:r>
          </w:p>
        </w:tc>
      </w:tr>
      <w:tr>
        <w:tblPrEx>
          <w:tblW w:w="9360" w:type="dxa"/>
          <w:tblInd w:w="-110" w:type="dxa"/>
          <w:tblCellMar>
            <w:left w:w="70" w:type="dxa"/>
            <w:right w:w="70" w:type="dxa"/>
          </w:tblCellMar>
        </w:tblPrEx>
        <w:trPr>
          <w:trHeight w:val="70"/>
        </w:trPr>
        <w:tc>
          <w:tcPr>
            <w:tcW w:w="4304" w:type="dxa"/>
            <w:tcBorders>
              <w:top w:val="single" w:sz="4" w:space="0" w:color="auto"/>
              <w:left w:val="single" w:sz="4" w:space="0" w:color="auto"/>
              <w:bottom w:val="single" w:sz="4" w:space="0" w:color="auto"/>
              <w:right w:val="single" w:sz="4" w:space="0" w:color="auto"/>
            </w:tcBorders>
            <w:textDirection w:val="lrTb"/>
            <w:vAlign w:val="center"/>
          </w:tcPr>
          <w:p w:rsidR="009D3D85" w:rsidRPr="009D3D85" w:rsidP="009D3D85">
            <w:pPr>
              <w:bidi w:val="0"/>
              <w:spacing w:after="0" w:line="240" w:lineRule="auto"/>
              <w:rPr>
                <w:rFonts w:ascii="Times New Roman" w:hAnsi="Times New Roman"/>
                <w:b/>
                <w:bCs/>
              </w:rPr>
            </w:pPr>
            <w:r w:rsidRPr="009D3D85">
              <w:rPr>
                <w:rFonts w:ascii="Times New Roman" w:hAnsi="Times New Roman"/>
                <w:b/>
                <w:bCs/>
              </w:rPr>
              <w:t>Rozpočtovo nekrytý vplyv / úspora</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9D3D85" w:rsidRPr="009D3D85" w:rsidP="009D3D85">
            <w:pPr>
              <w:bidi w:val="0"/>
              <w:spacing w:after="0" w:line="240" w:lineRule="auto"/>
              <w:jc w:val="right"/>
              <w:rPr>
                <w:rFonts w:ascii="Times New Roman" w:hAnsi="Times New Roman"/>
                <w:b/>
                <w:bCs/>
              </w:rPr>
            </w:pPr>
            <w:r w:rsidRPr="009D3D85">
              <w:rPr>
                <w:rFonts w:ascii="Times New Roman" w:hAnsi="Times New Roman"/>
                <w:b/>
                <w:bCs/>
              </w:rPr>
              <w:t>0</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9D3D85" w:rsidRPr="009D3D85" w:rsidP="009D3D85">
            <w:pPr>
              <w:bidi w:val="0"/>
              <w:spacing w:after="0" w:line="240" w:lineRule="auto"/>
              <w:jc w:val="right"/>
              <w:rPr>
                <w:rFonts w:ascii="Times New Roman" w:hAnsi="Times New Roman"/>
                <w:b/>
                <w:bCs/>
              </w:rPr>
            </w:pPr>
            <w:r w:rsidRPr="009D3D85">
              <w:rPr>
                <w:rFonts w:ascii="Times New Roman" w:hAnsi="Times New Roman"/>
                <w:b/>
                <w:bCs/>
              </w:rPr>
              <w:t>0</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9D3D85" w:rsidRPr="009D3D85" w:rsidP="009D3D85">
            <w:pPr>
              <w:bidi w:val="0"/>
              <w:spacing w:after="0" w:line="240" w:lineRule="auto"/>
              <w:jc w:val="right"/>
              <w:rPr>
                <w:rFonts w:ascii="Times New Roman" w:hAnsi="Times New Roman"/>
                <w:b/>
                <w:bCs/>
              </w:rPr>
            </w:pPr>
            <w:r w:rsidRPr="009D3D85">
              <w:rPr>
                <w:rFonts w:ascii="Times New Roman" w:hAnsi="Times New Roman"/>
                <w:b/>
                <w:bCs/>
              </w:rPr>
              <w:t>0</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9D3D85" w:rsidRPr="009D3D85" w:rsidP="009D3D85">
            <w:pPr>
              <w:bidi w:val="0"/>
              <w:spacing w:after="0" w:line="240" w:lineRule="auto"/>
              <w:jc w:val="right"/>
              <w:rPr>
                <w:rFonts w:ascii="Times New Roman" w:hAnsi="Times New Roman"/>
                <w:b/>
                <w:bCs/>
              </w:rPr>
            </w:pPr>
            <w:r w:rsidRPr="009D3D85">
              <w:rPr>
                <w:rFonts w:ascii="Times New Roman" w:hAnsi="Times New Roman"/>
                <w:b/>
                <w:bCs/>
              </w:rPr>
              <w:t>0</w:t>
            </w:r>
          </w:p>
        </w:tc>
      </w:tr>
    </w:tbl>
    <w:p w:rsidR="009D3D85" w:rsidRPr="009D3D85" w:rsidP="009D3D85">
      <w:pPr>
        <w:bidi w:val="0"/>
        <w:jc w:val="both"/>
        <w:rPr>
          <w:rFonts w:ascii="Times New Roman" w:hAnsi="Times New Roman"/>
          <w:color w:val="000000"/>
        </w:rPr>
      </w:pPr>
    </w:p>
    <w:p w:rsidR="009D3D85" w:rsidRPr="009D3D85" w:rsidP="009D3D85">
      <w:pPr>
        <w:bidi w:val="0"/>
        <w:jc w:val="both"/>
        <w:rPr>
          <w:rFonts w:ascii="Times New Roman" w:hAnsi="Times New Roman"/>
          <w:color w:val="000000"/>
        </w:rPr>
      </w:pPr>
    </w:p>
    <w:p w:rsidR="009D3D85" w:rsidRPr="009D3D85" w:rsidP="009D3D85">
      <w:pPr>
        <w:bidi w:val="0"/>
        <w:rPr>
          <w:rFonts w:ascii="Times New Roman" w:hAnsi="Times New Roman"/>
          <w:b/>
          <w:bCs/>
        </w:rPr>
      </w:pPr>
      <w:r w:rsidRPr="009D3D85">
        <w:rPr>
          <w:rFonts w:ascii="Times New Roman" w:hAnsi="Times New Roman"/>
          <w:b/>
          <w:bCs/>
        </w:rPr>
        <w:t>Návrh na riešenie úbytku príjmov alebo zvýšených výdavkov podľa § 33 ods. 1 zákona č. 523/2004 Z. z. o rozpočtových pravidlách verejnej správy:</w:t>
      </w:r>
    </w:p>
    <w:p w:rsidR="009D3D85" w:rsidRPr="009D3D85" w:rsidP="009D3D85">
      <w:pPr>
        <w:pBdr>
          <w:top w:val="single" w:sz="4" w:space="1" w:color="auto"/>
          <w:left w:val="single" w:sz="4" w:space="4" w:color="auto"/>
          <w:bottom w:val="single" w:sz="4" w:space="1" w:color="auto"/>
          <w:right w:val="single" w:sz="4" w:space="4" w:color="auto"/>
        </w:pBdr>
        <w:bidi w:val="0"/>
        <w:rPr>
          <w:rFonts w:ascii="Times New Roman" w:hAnsi="Times New Roman"/>
          <w:b/>
          <w:bCs/>
        </w:rPr>
      </w:pPr>
    </w:p>
    <w:p w:rsidR="009D3D85" w:rsidRPr="009D3D85" w:rsidP="009D3D85">
      <w:pPr>
        <w:pBdr>
          <w:top w:val="single" w:sz="4" w:space="1" w:color="auto"/>
          <w:left w:val="single" w:sz="4" w:space="4" w:color="auto"/>
          <w:bottom w:val="single" w:sz="4" w:space="1" w:color="auto"/>
          <w:right w:val="single" w:sz="4" w:space="4" w:color="auto"/>
        </w:pBdr>
        <w:bidi w:val="0"/>
        <w:jc w:val="both"/>
        <w:rPr>
          <w:rFonts w:ascii="Times New Roman" w:hAnsi="Times New Roman"/>
          <w:bCs/>
        </w:rPr>
      </w:pPr>
      <w:r w:rsidRPr="009D3D85">
        <w:rPr>
          <w:rFonts w:ascii="Times New Roman" w:hAnsi="Times New Roman"/>
          <w:bCs/>
        </w:rPr>
        <w:t xml:space="preserve">Register účtovných závierok pri doplnení funkcionality uloženia výročných správ  si nevyžiada dodatočné finančné prostriedky zo štátneho rozpočtu, ale bude financovaný zo schváleného limitu výdavkov kapitoly Ministerstva financií SR na príslušný rozpočtový rok – konkrétne z Programu </w:t>
      </w:r>
      <w:r w:rsidRPr="009D3D85">
        <w:rPr>
          <w:rFonts w:ascii="Times New Roman" w:hAnsi="Times New Roman"/>
        </w:rPr>
        <w:t>0740602 – Rozpočtový informačný systém. Zároveň uvádzame, že ide o maximálnu sumu, ktorá môže byť nižšia v závislosti od rozsahu skutočne objednaných prác.</w:t>
      </w:r>
    </w:p>
    <w:p w:rsidR="009D3D85" w:rsidRPr="009D3D85" w:rsidP="009D3D85">
      <w:pPr>
        <w:pBdr>
          <w:top w:val="single" w:sz="4" w:space="1" w:color="auto"/>
          <w:left w:val="single" w:sz="4" w:space="4" w:color="auto"/>
          <w:bottom w:val="single" w:sz="4" w:space="1" w:color="auto"/>
          <w:right w:val="single" w:sz="4" w:space="4" w:color="auto"/>
        </w:pBdr>
        <w:bidi w:val="0"/>
        <w:rPr>
          <w:rFonts w:ascii="Times New Roman" w:hAnsi="Times New Roman"/>
          <w:b/>
          <w:bCs/>
        </w:rPr>
      </w:pPr>
    </w:p>
    <w:p w:rsidR="009D3D85" w:rsidRPr="009D3D85" w:rsidP="009D3D85">
      <w:pPr>
        <w:bidi w:val="0"/>
        <w:rPr>
          <w:rFonts w:ascii="Times New Roman" w:hAnsi="Times New Roman"/>
          <w:b/>
          <w:bCs/>
        </w:rPr>
      </w:pPr>
      <w:r w:rsidRPr="009D3D85">
        <w:rPr>
          <w:rFonts w:ascii="Times New Roman" w:hAnsi="Times New Roman"/>
          <w:b/>
          <w:bCs/>
        </w:rPr>
        <w:t>2.3. Popis a charakteristika návrhu</w:t>
      </w:r>
    </w:p>
    <w:p w:rsidR="009D3D85" w:rsidRPr="009D3D85" w:rsidP="009D3D85">
      <w:pPr>
        <w:bidi w:val="0"/>
        <w:rPr>
          <w:rFonts w:ascii="Times New Roman" w:hAnsi="Times New Roman"/>
        </w:rPr>
      </w:pPr>
    </w:p>
    <w:p w:rsidR="009D3D85" w:rsidRPr="009D3D85" w:rsidP="009D3D85">
      <w:pPr>
        <w:bidi w:val="0"/>
        <w:jc w:val="both"/>
        <w:rPr>
          <w:rFonts w:ascii="Times New Roman" w:hAnsi="Times New Roman"/>
          <w:b/>
          <w:bCs/>
        </w:rPr>
      </w:pPr>
      <w:r w:rsidRPr="009D3D85">
        <w:rPr>
          <w:rFonts w:ascii="Times New Roman" w:hAnsi="Times New Roman"/>
          <w:b/>
          <w:bCs/>
        </w:rPr>
        <w:t>2.3.1. Popis návrhu:</w:t>
      </w:r>
    </w:p>
    <w:p w:rsidR="009D3D85" w:rsidRPr="009D3D85" w:rsidP="009D3D85">
      <w:pPr>
        <w:bidi w:val="0"/>
        <w:jc w:val="both"/>
        <w:rPr>
          <w:rFonts w:ascii="Times New Roman" w:hAnsi="Times New Roman"/>
          <w:b/>
          <w:bCs/>
        </w:rPr>
      </w:pPr>
    </w:p>
    <w:p w:rsidR="009D3D85" w:rsidRPr="009D3D85" w:rsidP="009D3D85">
      <w:pPr>
        <w:bidi w:val="0"/>
        <w:ind w:firstLine="708"/>
        <w:jc w:val="both"/>
        <w:rPr>
          <w:rFonts w:ascii="Times New Roman" w:hAnsi="Times New Roman"/>
        </w:rPr>
      </w:pPr>
      <w:r w:rsidRPr="009D3D85">
        <w:rPr>
          <w:rFonts w:ascii="Times New Roman" w:hAnsi="Times New Roman"/>
        </w:rPr>
        <w:t>Akú problematiku návrhu rieši? Kto bude návrh implementovať? Kde sa budú služby poskytovať?</w:t>
      </w:r>
    </w:p>
    <w:p w:rsidR="009D3D85" w:rsidRPr="009D3D85" w:rsidP="009D3D85">
      <w:pPr>
        <w:bidi w:val="0"/>
        <w:rPr>
          <w:rFonts w:ascii="Times New Roman" w:hAnsi="Times New Roman"/>
        </w:rPr>
      </w:pPr>
      <w:r w:rsidRPr="009D3D85">
        <w:rPr>
          <w:rFonts w:ascii="Times New Roman" w:hAnsi="Times New Roman"/>
        </w:rPr>
        <w:t>.......................................................................................................................................................</w:t>
      </w:r>
    </w:p>
    <w:p w:rsidR="009D3D85" w:rsidRPr="009D3D85" w:rsidP="009D3D85">
      <w:pPr>
        <w:bidi w:val="0"/>
        <w:rPr>
          <w:rFonts w:ascii="Times New Roman" w:hAnsi="Times New Roman"/>
        </w:rPr>
      </w:pPr>
    </w:p>
    <w:p w:rsidR="009D3D85" w:rsidRPr="009D3D85" w:rsidP="009D3D85">
      <w:pPr>
        <w:bidi w:val="0"/>
        <w:rPr>
          <w:rFonts w:ascii="Times New Roman" w:hAnsi="Times New Roman"/>
          <w:b/>
          <w:bCs/>
        </w:rPr>
      </w:pPr>
      <w:r w:rsidRPr="009D3D85">
        <w:rPr>
          <w:rFonts w:ascii="Times New Roman" w:hAnsi="Times New Roman"/>
          <w:b/>
          <w:bCs/>
        </w:rPr>
        <w:t>2.3.2. Charakteristika návrhu podľa bodu  2.3.2. Metodiky :</w:t>
      </w:r>
    </w:p>
    <w:p w:rsidR="009D3D85" w:rsidRPr="009D3D85" w:rsidP="009D3D85">
      <w:pPr>
        <w:bidi w:val="0"/>
        <w:rPr>
          <w:rFonts w:ascii="Times New Roman" w:hAnsi="Times New Roman"/>
        </w:rPr>
      </w:pPr>
    </w:p>
    <w:p w:rsidR="009D3D85" w:rsidRPr="009D3D85" w:rsidP="009D3D85">
      <w:pPr>
        <w:pStyle w:val="BodyText"/>
        <w:bidi w:val="0"/>
        <w:rPr>
          <w:rFonts w:ascii="Times New Roman" w:hAnsi="Times New Roman"/>
          <w:b/>
        </w:rPr>
      </w:pPr>
      <w:r w:rsidRPr="009D3D85">
        <w:rPr>
          <w:rFonts w:ascii="Times New Roman" w:hAnsi="Times New Roman"/>
          <w:bdr w:val="single" w:sz="4" w:space="0" w:color="auto"/>
        </w:rPr>
        <w:t xml:space="preserve">     </w:t>
      </w:r>
      <w:r w:rsidRPr="009D3D85">
        <w:rPr>
          <w:rFonts w:ascii="Times New Roman" w:hAnsi="Times New Roman"/>
        </w:rPr>
        <w:t xml:space="preserve">  </w:t>
      </w:r>
      <w:r w:rsidRPr="009D3D85">
        <w:rPr>
          <w:rFonts w:ascii="Times New Roman" w:hAnsi="Times New Roman"/>
          <w:b/>
        </w:rPr>
        <w:t>zmena sadzby</w:t>
      </w:r>
    </w:p>
    <w:p w:rsidR="009D3D85" w:rsidRPr="009D3D85" w:rsidP="009D3D85">
      <w:pPr>
        <w:pStyle w:val="BodyText"/>
        <w:bidi w:val="0"/>
        <w:rPr>
          <w:rFonts w:ascii="Times New Roman" w:hAnsi="Times New Roman"/>
          <w:b/>
        </w:rPr>
      </w:pPr>
      <w:r w:rsidRPr="009D3D85">
        <w:rPr>
          <w:rFonts w:ascii="Times New Roman" w:hAnsi="Times New Roman"/>
          <w:b/>
          <w:bdr w:val="single" w:sz="4" w:space="0" w:color="auto"/>
        </w:rPr>
        <w:t xml:space="preserve">     </w:t>
      </w:r>
      <w:r w:rsidRPr="009D3D85">
        <w:rPr>
          <w:rFonts w:ascii="Times New Roman" w:hAnsi="Times New Roman"/>
          <w:b/>
        </w:rPr>
        <w:t xml:space="preserve">  zmena v nároku</w:t>
      </w:r>
    </w:p>
    <w:p w:rsidR="009D3D85" w:rsidRPr="009D3D85" w:rsidP="009D3D85">
      <w:pPr>
        <w:pStyle w:val="BodyText"/>
        <w:bidi w:val="0"/>
        <w:rPr>
          <w:rFonts w:ascii="Times New Roman" w:hAnsi="Times New Roman"/>
          <w:b/>
        </w:rPr>
      </w:pPr>
      <w:r w:rsidRPr="009D3D85">
        <w:rPr>
          <w:rFonts w:ascii="Times New Roman" w:hAnsi="Times New Roman"/>
          <w:b/>
          <w:bdr w:val="single" w:sz="4" w:space="0" w:color="auto"/>
        </w:rPr>
        <w:t xml:space="preserve">    </w:t>
      </w:r>
      <w:r w:rsidRPr="009D3D85">
        <w:rPr>
          <w:rFonts w:ascii="Times New Roman" w:hAnsi="Times New Roman"/>
          <w:b/>
        </w:rPr>
        <w:t xml:space="preserve">  nová služba alebo nariadenie (alebo ich zrušenie)</w:t>
      </w:r>
    </w:p>
    <w:p w:rsidR="009D3D85" w:rsidRPr="009D3D85" w:rsidP="009D3D85">
      <w:pPr>
        <w:pStyle w:val="BodyText"/>
        <w:bidi w:val="0"/>
        <w:rPr>
          <w:rFonts w:ascii="Times New Roman" w:hAnsi="Times New Roman"/>
          <w:b/>
        </w:rPr>
      </w:pPr>
      <w:r w:rsidRPr="009D3D85">
        <w:rPr>
          <w:rFonts w:ascii="Times New Roman" w:hAnsi="Times New Roman"/>
          <w:b/>
          <w:bdr w:val="single" w:sz="4" w:space="0" w:color="auto"/>
        </w:rPr>
        <w:t xml:space="preserve">     </w:t>
      </w:r>
      <w:r w:rsidRPr="009D3D85">
        <w:rPr>
          <w:rFonts w:ascii="Times New Roman" w:hAnsi="Times New Roman"/>
          <w:b/>
        </w:rPr>
        <w:t xml:space="preserve">  kombinovaný návrh</w:t>
      </w:r>
    </w:p>
    <w:p w:rsidR="009D3D85" w:rsidRPr="009D3D85" w:rsidP="009D3D85">
      <w:pPr>
        <w:pStyle w:val="BodyText"/>
        <w:bidi w:val="0"/>
        <w:rPr>
          <w:rFonts w:ascii="Times New Roman" w:hAnsi="Times New Roman"/>
          <w:b/>
        </w:rPr>
      </w:pPr>
      <w:r w:rsidRPr="009D3D85">
        <w:rPr>
          <w:rFonts w:ascii="Times New Roman" w:hAnsi="Times New Roman"/>
          <w:b/>
          <w:bdr w:val="single" w:sz="4" w:space="0" w:color="auto"/>
        </w:rPr>
        <w:t xml:space="preserve">  x   </w:t>
      </w:r>
      <w:r w:rsidRPr="009D3D85">
        <w:rPr>
          <w:rFonts w:ascii="Times New Roman" w:hAnsi="Times New Roman"/>
          <w:b/>
        </w:rPr>
        <w:t xml:space="preserve">  iné </w:t>
      </w:r>
    </w:p>
    <w:p w:rsidR="009D3D85" w:rsidRPr="009D3D85" w:rsidP="009D3D85">
      <w:pPr>
        <w:bidi w:val="0"/>
        <w:rPr>
          <w:rFonts w:ascii="Times New Roman" w:hAnsi="Times New Roman"/>
          <w:b/>
          <w:bCs/>
        </w:rPr>
      </w:pPr>
    </w:p>
    <w:p w:rsidR="009D3D85" w:rsidRPr="009D3D85" w:rsidP="009D3D85">
      <w:pPr>
        <w:bidi w:val="0"/>
        <w:rPr>
          <w:rFonts w:ascii="Times New Roman" w:hAnsi="Times New Roman"/>
        </w:rPr>
      </w:pPr>
      <w:r w:rsidRPr="009D3D85">
        <w:rPr>
          <w:rFonts w:ascii="Times New Roman" w:hAnsi="Times New Roman"/>
          <w:b/>
          <w:bCs/>
        </w:rPr>
        <w:t>2.3.3. Predpoklady vývoja objemu aktivít:</w:t>
      </w:r>
    </w:p>
    <w:p w:rsidR="009D3D85" w:rsidRPr="009D3D85" w:rsidP="009D3D85">
      <w:pPr>
        <w:bidi w:val="0"/>
        <w:ind w:firstLine="708"/>
        <w:jc w:val="both"/>
        <w:rPr>
          <w:rFonts w:ascii="Times New Roman" w:hAnsi="Times New Roman"/>
        </w:rPr>
      </w:pPr>
      <w:r w:rsidRPr="009D3D85">
        <w:rPr>
          <w:rFonts w:ascii="Times New Roman" w:hAnsi="Times New Roman"/>
        </w:rPr>
        <w:t>Jasne popíšte, v prípade potreby použite nižšie uvedenú tabuľku. Uveďte aj odhady základov daní a/alebo poplatkov, ak sa ich táto zmena týka.</w:t>
      </w:r>
    </w:p>
    <w:p w:rsidR="009D3D85" w:rsidRPr="009D3D85" w:rsidP="009D3D85">
      <w:pPr>
        <w:bidi w:val="0"/>
        <w:ind w:firstLine="7088"/>
        <w:rPr>
          <w:rFonts w:ascii="Times New Roman" w:hAnsi="Times New Roman"/>
          <w:b/>
        </w:rPr>
      </w:pPr>
      <w:r w:rsidRPr="009D3D85">
        <w:rPr>
          <w:rFonts w:ascii="Times New Roman" w:hAnsi="Times New Roman"/>
          <w:b/>
        </w:rPr>
        <w:t xml:space="preserve">Tabuľka č. 3 </w:t>
      </w:r>
    </w:p>
    <w:tbl>
      <w:tblPr>
        <w:tblStyle w:val="TableNorm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blGrid>
        <w:gridCol w:w="4530"/>
        <w:gridCol w:w="1134"/>
        <w:gridCol w:w="1134"/>
        <w:gridCol w:w="1134"/>
        <w:gridCol w:w="1134"/>
      </w:tblGrid>
      <w:tr>
        <w:tblPrEx>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rPr>
          <w:cantSplit/>
          <w:trHeight w:val="70"/>
        </w:trPr>
        <w:tc>
          <w:tcPr>
            <w:tcW w:w="4530"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9D3D85" w:rsidRPr="009D3D85" w:rsidP="009D3D85">
            <w:pPr>
              <w:autoSpaceDE w:val="0"/>
              <w:autoSpaceDN w:val="0"/>
              <w:bidi w:val="0"/>
              <w:spacing w:after="0" w:line="240" w:lineRule="auto"/>
              <w:jc w:val="center"/>
              <w:rPr>
                <w:rFonts w:ascii="Times New Roman" w:hAnsi="Times New Roman"/>
                <w:b/>
                <w:bCs/>
                <w:color w:val="FFFFFF"/>
              </w:rPr>
            </w:pPr>
            <w:r w:rsidRPr="009D3D85">
              <w:rPr>
                <w:rFonts w:ascii="Times New Roman" w:hAnsi="Times New Roman"/>
                <w:b/>
                <w:bCs/>
                <w:color w:val="FFFFFF"/>
              </w:rPr>
              <w:t>Objem aktivít</w:t>
            </w:r>
          </w:p>
        </w:tc>
        <w:tc>
          <w:tcPr>
            <w:tcW w:w="1134" w:type="dxa"/>
            <w:gridSpan w:val="4"/>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9D3D85" w:rsidRPr="009D3D85" w:rsidP="009D3D85">
            <w:pPr>
              <w:autoSpaceDE w:val="0"/>
              <w:autoSpaceDN w:val="0"/>
              <w:bidi w:val="0"/>
              <w:spacing w:after="0" w:line="240" w:lineRule="auto"/>
              <w:jc w:val="center"/>
              <w:rPr>
                <w:rFonts w:ascii="Times New Roman" w:hAnsi="Times New Roman"/>
                <w:b/>
                <w:bCs/>
                <w:color w:val="FFFFFF"/>
              </w:rPr>
            </w:pPr>
            <w:r w:rsidRPr="009D3D85">
              <w:rPr>
                <w:rFonts w:ascii="Times New Roman" w:hAnsi="Times New Roman"/>
                <w:b/>
                <w:bCs/>
                <w:color w:val="FFFFFF"/>
              </w:rPr>
              <w:t>Odhadované objemy</w:t>
            </w:r>
          </w:p>
        </w:tc>
      </w:tr>
      <w:tr>
        <w:tblPrEx>
          <w:tblW w:w="0" w:type="auto"/>
          <w:tblInd w:w="78" w:type="dxa"/>
          <w:tblLayout w:type="fixed"/>
        </w:tblPrEx>
        <w:trPr>
          <w:cantSplit/>
          <w:trHeight w:val="70"/>
        </w:trPr>
        <w:tc>
          <w:tcPr>
            <w:tcW w:w="4530" w:type="dxa"/>
            <w:vMerge/>
            <w:tcBorders>
              <w:top w:val="single" w:sz="4" w:space="0" w:color="auto"/>
              <w:left w:val="single" w:sz="4" w:space="0" w:color="auto"/>
              <w:bottom w:val="single" w:sz="4" w:space="0" w:color="auto"/>
              <w:right w:val="single" w:sz="4" w:space="0" w:color="auto"/>
            </w:tcBorders>
            <w:textDirection w:val="lrTb"/>
            <w:vAlign w:val="top"/>
          </w:tcPr>
          <w:p w:rsidR="009D3D85" w:rsidRPr="009D3D85" w:rsidP="009D3D85">
            <w:pPr>
              <w:autoSpaceDE w:val="0"/>
              <w:autoSpaceDN w:val="0"/>
              <w:bidi w:val="0"/>
              <w:spacing w:after="0" w:line="240" w:lineRule="auto"/>
              <w:jc w:val="center"/>
              <w:rPr>
                <w:rFonts w:ascii="Times New Roman" w:hAnsi="Times New Roman"/>
                <w:b/>
                <w:bCs/>
                <w:color w:val="FFFFFF"/>
              </w:rPr>
            </w:pPr>
          </w:p>
        </w:tc>
        <w:tc>
          <w:tcPr>
            <w:tcW w:w="113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9D3D85" w:rsidRPr="009D3D85" w:rsidP="009D3D85">
            <w:pPr>
              <w:autoSpaceDE w:val="0"/>
              <w:autoSpaceDN w:val="0"/>
              <w:bidi w:val="0"/>
              <w:spacing w:after="0" w:line="240" w:lineRule="auto"/>
              <w:jc w:val="center"/>
              <w:rPr>
                <w:rFonts w:ascii="Times New Roman" w:hAnsi="Times New Roman"/>
                <w:b/>
                <w:bCs/>
                <w:color w:val="FFFFFF"/>
              </w:rPr>
            </w:pPr>
            <w:r w:rsidRPr="009D3D85">
              <w:rPr>
                <w:rFonts w:ascii="Times New Roman" w:hAnsi="Times New Roman"/>
                <w:b/>
                <w:bCs/>
                <w:color w:val="FFFFFF"/>
              </w:rPr>
              <w:t>r</w:t>
            </w:r>
          </w:p>
        </w:tc>
        <w:tc>
          <w:tcPr>
            <w:tcW w:w="113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9D3D85" w:rsidRPr="009D3D85" w:rsidP="009D3D85">
            <w:pPr>
              <w:autoSpaceDE w:val="0"/>
              <w:autoSpaceDN w:val="0"/>
              <w:bidi w:val="0"/>
              <w:spacing w:after="0" w:line="240" w:lineRule="auto"/>
              <w:jc w:val="center"/>
              <w:rPr>
                <w:rFonts w:ascii="Times New Roman" w:hAnsi="Times New Roman"/>
                <w:b/>
                <w:bCs/>
                <w:color w:val="FFFFFF"/>
              </w:rPr>
            </w:pPr>
            <w:r w:rsidRPr="009D3D85">
              <w:rPr>
                <w:rFonts w:ascii="Times New Roman" w:hAnsi="Times New Roman"/>
                <w:b/>
                <w:bCs/>
                <w:color w:val="FFFFFF"/>
              </w:rPr>
              <w:t>r + 1</w:t>
            </w:r>
          </w:p>
        </w:tc>
        <w:tc>
          <w:tcPr>
            <w:tcW w:w="113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9D3D85" w:rsidRPr="009D3D85" w:rsidP="009D3D85">
            <w:pPr>
              <w:autoSpaceDE w:val="0"/>
              <w:autoSpaceDN w:val="0"/>
              <w:bidi w:val="0"/>
              <w:spacing w:after="0" w:line="240" w:lineRule="auto"/>
              <w:jc w:val="center"/>
              <w:rPr>
                <w:rFonts w:ascii="Times New Roman" w:hAnsi="Times New Roman"/>
                <w:b/>
                <w:bCs/>
                <w:color w:val="FFFFFF"/>
              </w:rPr>
            </w:pPr>
            <w:r w:rsidRPr="009D3D85">
              <w:rPr>
                <w:rFonts w:ascii="Times New Roman" w:hAnsi="Times New Roman"/>
                <w:b/>
                <w:bCs/>
                <w:color w:val="FFFFFF"/>
              </w:rPr>
              <w:t>r + 2</w:t>
            </w:r>
          </w:p>
        </w:tc>
        <w:tc>
          <w:tcPr>
            <w:tcW w:w="113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9D3D85" w:rsidRPr="009D3D85" w:rsidP="009D3D85">
            <w:pPr>
              <w:autoSpaceDE w:val="0"/>
              <w:autoSpaceDN w:val="0"/>
              <w:bidi w:val="0"/>
              <w:spacing w:after="0" w:line="240" w:lineRule="auto"/>
              <w:jc w:val="center"/>
              <w:rPr>
                <w:rFonts w:ascii="Times New Roman" w:hAnsi="Times New Roman"/>
                <w:b/>
                <w:bCs/>
                <w:color w:val="FFFFFF"/>
              </w:rPr>
            </w:pPr>
            <w:r w:rsidRPr="009D3D85">
              <w:rPr>
                <w:rFonts w:ascii="Times New Roman" w:hAnsi="Times New Roman"/>
                <w:b/>
                <w:bCs/>
                <w:color w:val="FFFFFF"/>
              </w:rPr>
              <w:t>r + 3</w:t>
            </w: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9D3D85" w:rsidRPr="009D3D85" w:rsidP="009D3D85">
            <w:pPr>
              <w:autoSpaceDE w:val="0"/>
              <w:autoSpaceDN w:val="0"/>
              <w:bidi w:val="0"/>
              <w:spacing w:after="0" w:line="240" w:lineRule="auto"/>
              <w:rPr>
                <w:rFonts w:ascii="Times New Roman" w:hAnsi="Times New Roman"/>
                <w:color w:val="000000"/>
              </w:rPr>
            </w:pPr>
            <w:r w:rsidRPr="009D3D85">
              <w:rPr>
                <w:rFonts w:ascii="Times New Roman" w:hAnsi="Times New Roman"/>
                <w:color w:val="000000"/>
              </w:rPr>
              <w:t>Indikátor ABC</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D3D85" w:rsidRPr="009D3D85" w:rsidP="009D3D85">
            <w:pPr>
              <w:autoSpaceDE w:val="0"/>
              <w:autoSpaceDN w:val="0"/>
              <w:bidi w:val="0"/>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D3D85" w:rsidRPr="009D3D85" w:rsidP="009D3D85">
            <w:pPr>
              <w:autoSpaceDE w:val="0"/>
              <w:autoSpaceDN w:val="0"/>
              <w:bidi w:val="0"/>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D3D85" w:rsidRPr="009D3D85" w:rsidP="009D3D85">
            <w:pPr>
              <w:autoSpaceDE w:val="0"/>
              <w:autoSpaceDN w:val="0"/>
              <w:bidi w:val="0"/>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D3D85" w:rsidRPr="009D3D85" w:rsidP="009D3D85">
            <w:pPr>
              <w:autoSpaceDE w:val="0"/>
              <w:autoSpaceDN w:val="0"/>
              <w:bidi w:val="0"/>
              <w:spacing w:after="0" w:line="240" w:lineRule="auto"/>
              <w:jc w:val="right"/>
              <w:rPr>
                <w:rFonts w:ascii="Times New Roman" w:hAnsi="Times New Roman"/>
                <w:color w:val="000000"/>
              </w:rPr>
            </w:pP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9D3D85" w:rsidRPr="009D3D85" w:rsidP="009D3D85">
            <w:pPr>
              <w:autoSpaceDE w:val="0"/>
              <w:autoSpaceDN w:val="0"/>
              <w:bidi w:val="0"/>
              <w:spacing w:after="0" w:line="240" w:lineRule="auto"/>
              <w:rPr>
                <w:rFonts w:ascii="Times New Roman" w:hAnsi="Times New Roman"/>
                <w:color w:val="000000"/>
              </w:rPr>
            </w:pPr>
            <w:r w:rsidRPr="009D3D85">
              <w:rPr>
                <w:rFonts w:ascii="Times New Roman" w:hAnsi="Times New Roman"/>
                <w:color w:val="000000"/>
              </w:rPr>
              <w:t>Indikátor KLM</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D3D85" w:rsidRPr="009D3D85" w:rsidP="009D3D85">
            <w:pPr>
              <w:autoSpaceDE w:val="0"/>
              <w:autoSpaceDN w:val="0"/>
              <w:bidi w:val="0"/>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D3D85" w:rsidRPr="009D3D85" w:rsidP="009D3D85">
            <w:pPr>
              <w:autoSpaceDE w:val="0"/>
              <w:autoSpaceDN w:val="0"/>
              <w:bidi w:val="0"/>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D3D85" w:rsidRPr="009D3D85" w:rsidP="009D3D85">
            <w:pPr>
              <w:autoSpaceDE w:val="0"/>
              <w:autoSpaceDN w:val="0"/>
              <w:bidi w:val="0"/>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D3D85" w:rsidRPr="009D3D85" w:rsidP="009D3D85">
            <w:pPr>
              <w:autoSpaceDE w:val="0"/>
              <w:autoSpaceDN w:val="0"/>
              <w:bidi w:val="0"/>
              <w:spacing w:after="0" w:line="240" w:lineRule="auto"/>
              <w:jc w:val="right"/>
              <w:rPr>
                <w:rFonts w:ascii="Times New Roman" w:hAnsi="Times New Roman"/>
                <w:color w:val="000000"/>
              </w:rPr>
            </w:pP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9D3D85" w:rsidRPr="009D3D85" w:rsidP="009D3D85">
            <w:pPr>
              <w:autoSpaceDE w:val="0"/>
              <w:autoSpaceDN w:val="0"/>
              <w:bidi w:val="0"/>
              <w:spacing w:after="0" w:line="240" w:lineRule="auto"/>
              <w:rPr>
                <w:rFonts w:ascii="Times New Roman" w:hAnsi="Times New Roman"/>
                <w:color w:val="000000"/>
              </w:rPr>
            </w:pPr>
            <w:r w:rsidRPr="009D3D85">
              <w:rPr>
                <w:rFonts w:ascii="Times New Roman" w:hAnsi="Times New Roman"/>
                <w:color w:val="000000"/>
              </w:rPr>
              <w:t>Indikátor XYZ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D3D85" w:rsidRPr="009D3D85" w:rsidP="009D3D85">
            <w:pPr>
              <w:autoSpaceDE w:val="0"/>
              <w:autoSpaceDN w:val="0"/>
              <w:bidi w:val="0"/>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D3D85" w:rsidRPr="009D3D85" w:rsidP="009D3D85">
            <w:pPr>
              <w:autoSpaceDE w:val="0"/>
              <w:autoSpaceDN w:val="0"/>
              <w:bidi w:val="0"/>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D3D85" w:rsidRPr="009D3D85" w:rsidP="009D3D85">
            <w:pPr>
              <w:autoSpaceDE w:val="0"/>
              <w:autoSpaceDN w:val="0"/>
              <w:bidi w:val="0"/>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D3D85" w:rsidRPr="009D3D85" w:rsidP="009D3D85">
            <w:pPr>
              <w:autoSpaceDE w:val="0"/>
              <w:autoSpaceDN w:val="0"/>
              <w:bidi w:val="0"/>
              <w:spacing w:after="0" w:line="240" w:lineRule="auto"/>
              <w:jc w:val="right"/>
              <w:rPr>
                <w:rFonts w:ascii="Times New Roman" w:hAnsi="Times New Roman"/>
                <w:color w:val="000000"/>
              </w:rPr>
            </w:pPr>
          </w:p>
        </w:tc>
      </w:tr>
    </w:tbl>
    <w:p w:rsidR="009D3D85" w:rsidRPr="009D3D85" w:rsidP="009D3D85">
      <w:pPr>
        <w:bidi w:val="0"/>
        <w:rPr>
          <w:rFonts w:ascii="Times New Roman" w:hAnsi="Times New Roman"/>
        </w:rPr>
      </w:pPr>
    </w:p>
    <w:p w:rsidR="009D3D85" w:rsidRPr="009D3D85" w:rsidP="009D3D85">
      <w:pPr>
        <w:bidi w:val="0"/>
        <w:rPr>
          <w:rFonts w:ascii="Times New Roman" w:hAnsi="Times New Roman"/>
          <w:b/>
          <w:bCs/>
        </w:rPr>
      </w:pPr>
      <w:r w:rsidRPr="009D3D85">
        <w:rPr>
          <w:rFonts w:ascii="Times New Roman" w:hAnsi="Times New Roman"/>
          <w:b/>
          <w:bCs/>
        </w:rPr>
        <w:t>2.3.4. Výpočty vplyvov na verejné financie</w:t>
      </w:r>
    </w:p>
    <w:p w:rsidR="009D3D85" w:rsidRPr="009D3D85" w:rsidP="009D3D85">
      <w:pPr>
        <w:bidi w:val="0"/>
        <w:rPr>
          <w:rFonts w:ascii="Times New Roman" w:hAnsi="Times New Roman"/>
          <w:b/>
          <w:bCs/>
        </w:rPr>
      </w:pPr>
    </w:p>
    <w:p w:rsidR="009D3D85" w:rsidRPr="009D3D85" w:rsidP="009D3D85">
      <w:pPr>
        <w:bidi w:val="0"/>
        <w:ind w:firstLine="708"/>
        <w:jc w:val="both"/>
        <w:rPr>
          <w:rFonts w:ascii="Times New Roman" w:hAnsi="Times New Roman"/>
        </w:rPr>
      </w:pPr>
      <w:r w:rsidRPr="009D3D85">
        <w:rPr>
          <w:rFonts w:ascii="Times New Roman" w:hAnsi="Times New Roman"/>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9D3D85" w:rsidRPr="009D3D85" w:rsidP="009D3D85">
      <w:pPr>
        <w:bidi w:val="0"/>
        <w:jc w:val="both"/>
        <w:rPr>
          <w:rFonts w:ascii="Times New Roman" w:hAnsi="Times New Roman"/>
        </w:rPr>
      </w:pPr>
    </w:p>
    <w:p w:rsidR="009D3D85" w:rsidRPr="009D3D85" w:rsidP="009D3D85">
      <w:pPr>
        <w:bidi w:val="0"/>
        <w:jc w:val="both"/>
        <w:rPr>
          <w:rFonts w:ascii="Times New Roman" w:hAnsi="Times New Roman"/>
        </w:rPr>
      </w:pPr>
      <w:r w:rsidRPr="009D3D85">
        <w:rPr>
          <w:rFonts w:ascii="Times New Roman" w:hAnsi="Times New Roman"/>
        </w:rPr>
        <w:tab/>
        <w:tab/>
        <w:tab/>
        <w:tab/>
        <w:tab/>
        <w:tab/>
        <w:tab/>
        <w:tab/>
        <w:tab/>
        <w:tab/>
        <w:tab/>
        <w:t>Tabuľka č. 4</w:t>
      </w:r>
    </w:p>
    <w:tbl>
      <w:tblPr>
        <w:tblStyle w:val="TableNormal"/>
        <w:tblW w:w="9430" w:type="dxa"/>
        <w:tblCellMar>
          <w:left w:w="70" w:type="dxa"/>
          <w:right w:w="70" w:type="dxa"/>
        </w:tblCellMar>
      </w:tblPr>
      <w:tblGrid>
        <w:gridCol w:w="3345"/>
        <w:gridCol w:w="1014"/>
        <w:gridCol w:w="1014"/>
        <w:gridCol w:w="1014"/>
        <w:gridCol w:w="1015"/>
        <w:gridCol w:w="2028"/>
      </w:tblGrid>
      <w:tr>
        <w:tblPrEx>
          <w:tblW w:w="9430" w:type="dxa"/>
          <w:tblCellMar>
            <w:left w:w="70" w:type="dxa"/>
            <w:right w:w="70" w:type="dxa"/>
          </w:tblCellMar>
        </w:tblPrEx>
        <w:trPr>
          <w:cantSplit/>
          <w:trHeight w:val="261"/>
        </w:trPr>
        <w:tc>
          <w:tcPr>
            <w:tcW w:w="3345"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9D3D85" w:rsidRPr="009D3D85" w:rsidP="009D3D85">
            <w:pPr>
              <w:bidi w:val="0"/>
              <w:spacing w:after="0" w:line="240" w:lineRule="auto"/>
              <w:jc w:val="center"/>
              <w:rPr>
                <w:rFonts w:ascii="Times New Roman" w:hAnsi="Times New Roman"/>
                <w:b/>
                <w:bCs/>
                <w:color w:val="FFFFFF"/>
              </w:rPr>
            </w:pPr>
            <w:r w:rsidRPr="009D3D85">
              <w:rPr>
                <w:rFonts w:ascii="Times New Roman" w:hAnsi="Times New Roman"/>
                <w:b/>
                <w:bCs/>
                <w:color w:val="FFFFFF"/>
              </w:rPr>
              <w:t>Príjmy (v eurách)</w:t>
            </w:r>
          </w:p>
        </w:tc>
        <w:tc>
          <w:tcPr>
            <w:tcW w:w="4057" w:type="dxa"/>
            <w:gridSpan w:val="4"/>
            <w:tcBorders>
              <w:top w:val="single" w:sz="4" w:space="0" w:color="auto"/>
              <w:left w:val="nil"/>
              <w:bottom w:val="single" w:sz="4" w:space="0" w:color="auto"/>
              <w:right w:val="single" w:sz="4" w:space="0" w:color="auto"/>
            </w:tcBorders>
            <w:shd w:val="clear" w:color="auto" w:fill="000000"/>
            <w:textDirection w:val="lrTb"/>
            <w:vAlign w:val="top"/>
          </w:tcPr>
          <w:p w:rsidR="009D3D85" w:rsidRPr="009D3D85" w:rsidP="009D3D85">
            <w:pPr>
              <w:bidi w:val="0"/>
              <w:spacing w:after="0" w:line="240" w:lineRule="auto"/>
              <w:jc w:val="center"/>
              <w:rPr>
                <w:rFonts w:ascii="Times New Roman" w:hAnsi="Times New Roman"/>
                <w:b/>
                <w:bCs/>
                <w:color w:val="FFFFFF"/>
              </w:rPr>
            </w:pPr>
            <w:r w:rsidRPr="009D3D85">
              <w:rPr>
                <w:rFonts w:ascii="Times New Roman" w:hAnsi="Times New Roman"/>
                <w:b/>
                <w:bCs/>
                <w:color w:val="FFFFFF"/>
              </w:rPr>
              <w:t>Vplyv na rozpočet verejnej správy</w:t>
            </w:r>
          </w:p>
        </w:tc>
        <w:tc>
          <w:tcPr>
            <w:tcW w:w="2028" w:type="dxa"/>
            <w:vMerge w:val="restart"/>
            <w:tcBorders>
              <w:top w:val="single" w:sz="4" w:space="0" w:color="auto"/>
              <w:left w:val="single" w:sz="4" w:space="0" w:color="auto"/>
              <w:bottom w:val="single" w:sz="4" w:space="0" w:color="auto"/>
              <w:right w:val="single" w:sz="4" w:space="0" w:color="auto"/>
            </w:tcBorders>
            <w:shd w:val="clear" w:color="auto" w:fill="000000"/>
            <w:noWrap/>
            <w:textDirection w:val="lrTb"/>
            <w:vAlign w:val="center"/>
          </w:tcPr>
          <w:p w:rsidR="009D3D85" w:rsidRPr="009D3D85" w:rsidP="009D3D85">
            <w:pPr>
              <w:bidi w:val="0"/>
              <w:spacing w:after="0" w:line="240" w:lineRule="auto"/>
              <w:jc w:val="center"/>
              <w:rPr>
                <w:rFonts w:ascii="Times New Roman" w:hAnsi="Times New Roman"/>
                <w:b/>
                <w:bCs/>
                <w:color w:val="FFFFFF"/>
              </w:rPr>
            </w:pPr>
            <w:r w:rsidRPr="009D3D85">
              <w:rPr>
                <w:rFonts w:ascii="Times New Roman" w:hAnsi="Times New Roman"/>
                <w:b/>
                <w:bCs/>
                <w:color w:val="FFFFFF"/>
              </w:rPr>
              <w:t>poznámka</w:t>
            </w:r>
          </w:p>
        </w:tc>
      </w:tr>
      <w:tr>
        <w:tblPrEx>
          <w:tblW w:w="9430" w:type="dxa"/>
          <w:tblCellMar>
            <w:left w:w="70" w:type="dxa"/>
            <w:right w:w="70" w:type="dxa"/>
          </w:tblCellMar>
        </w:tblPrEx>
        <w:trPr>
          <w:cantSplit/>
          <w:trHeight w:val="261"/>
        </w:trPr>
        <w:tc>
          <w:tcPr>
            <w:tcW w:w="3345" w:type="dxa"/>
            <w:vMerge/>
            <w:tcBorders>
              <w:top w:val="single" w:sz="4" w:space="0" w:color="auto"/>
              <w:left w:val="single" w:sz="4" w:space="0" w:color="auto"/>
              <w:bottom w:val="single" w:sz="4" w:space="0" w:color="auto"/>
              <w:right w:val="single" w:sz="4" w:space="0" w:color="auto"/>
            </w:tcBorders>
            <w:textDirection w:val="lrTb"/>
            <w:vAlign w:val="center"/>
          </w:tcPr>
          <w:p w:rsidR="009D3D85" w:rsidRPr="009D3D85" w:rsidP="009D3D85">
            <w:pPr>
              <w:bidi w:val="0"/>
              <w:spacing w:after="0" w:line="240" w:lineRule="auto"/>
              <w:rPr>
                <w:rFonts w:ascii="Times New Roman" w:hAnsi="Times New Roman"/>
                <w:b/>
                <w:bCs/>
                <w:color w:val="FFFFFF"/>
              </w:rPr>
            </w:pPr>
          </w:p>
        </w:tc>
        <w:tc>
          <w:tcPr>
            <w:tcW w:w="1014" w:type="dxa"/>
            <w:tcBorders>
              <w:top w:val="nil"/>
              <w:left w:val="nil"/>
              <w:bottom w:val="single" w:sz="4" w:space="0" w:color="auto"/>
              <w:right w:val="single" w:sz="4" w:space="0" w:color="auto"/>
            </w:tcBorders>
            <w:shd w:val="clear" w:color="auto" w:fill="000000"/>
            <w:textDirection w:val="lrTb"/>
            <w:vAlign w:val="top"/>
          </w:tcPr>
          <w:p w:rsidR="009D3D85" w:rsidRPr="009D3D85" w:rsidP="009D3D85">
            <w:pPr>
              <w:bidi w:val="0"/>
              <w:spacing w:after="0" w:line="240" w:lineRule="auto"/>
              <w:jc w:val="center"/>
              <w:rPr>
                <w:rFonts w:ascii="Times New Roman" w:hAnsi="Times New Roman"/>
                <w:b/>
                <w:bCs/>
                <w:color w:val="FFFFFF"/>
              </w:rPr>
            </w:pPr>
            <w:r w:rsidRPr="009D3D85">
              <w:rPr>
                <w:rFonts w:ascii="Times New Roman" w:hAnsi="Times New Roman"/>
                <w:b/>
                <w:bCs/>
                <w:color w:val="FFFFFF"/>
              </w:rPr>
              <w:t>2013</w:t>
            </w:r>
          </w:p>
        </w:tc>
        <w:tc>
          <w:tcPr>
            <w:tcW w:w="1014" w:type="dxa"/>
            <w:tcBorders>
              <w:top w:val="nil"/>
              <w:left w:val="nil"/>
              <w:bottom w:val="single" w:sz="4" w:space="0" w:color="auto"/>
              <w:right w:val="single" w:sz="4" w:space="0" w:color="auto"/>
            </w:tcBorders>
            <w:shd w:val="clear" w:color="auto" w:fill="000000"/>
            <w:textDirection w:val="lrTb"/>
            <w:vAlign w:val="top"/>
          </w:tcPr>
          <w:p w:rsidR="009D3D85" w:rsidRPr="009D3D85" w:rsidP="009D3D85">
            <w:pPr>
              <w:bidi w:val="0"/>
              <w:spacing w:after="0" w:line="240" w:lineRule="auto"/>
              <w:jc w:val="center"/>
              <w:rPr>
                <w:rFonts w:ascii="Times New Roman" w:hAnsi="Times New Roman"/>
                <w:b/>
                <w:bCs/>
                <w:color w:val="FFFFFF"/>
              </w:rPr>
            </w:pPr>
            <w:r w:rsidRPr="009D3D85">
              <w:rPr>
                <w:rFonts w:ascii="Times New Roman" w:hAnsi="Times New Roman"/>
                <w:b/>
                <w:bCs/>
                <w:color w:val="FFFFFF"/>
              </w:rPr>
              <w:t>2014</w:t>
            </w:r>
          </w:p>
        </w:tc>
        <w:tc>
          <w:tcPr>
            <w:tcW w:w="1014" w:type="dxa"/>
            <w:tcBorders>
              <w:top w:val="nil"/>
              <w:left w:val="nil"/>
              <w:bottom w:val="single" w:sz="4" w:space="0" w:color="auto"/>
              <w:right w:val="single" w:sz="4" w:space="0" w:color="auto"/>
            </w:tcBorders>
            <w:shd w:val="clear" w:color="auto" w:fill="000000"/>
            <w:textDirection w:val="lrTb"/>
            <w:vAlign w:val="top"/>
          </w:tcPr>
          <w:p w:rsidR="009D3D85" w:rsidRPr="009D3D85" w:rsidP="009D3D85">
            <w:pPr>
              <w:bidi w:val="0"/>
              <w:spacing w:after="0" w:line="240" w:lineRule="auto"/>
              <w:jc w:val="center"/>
              <w:rPr>
                <w:rFonts w:ascii="Times New Roman" w:hAnsi="Times New Roman"/>
                <w:b/>
                <w:bCs/>
                <w:color w:val="FFFFFF"/>
              </w:rPr>
            </w:pPr>
            <w:r w:rsidRPr="009D3D85">
              <w:rPr>
                <w:rFonts w:ascii="Times New Roman" w:hAnsi="Times New Roman"/>
                <w:b/>
                <w:bCs/>
                <w:color w:val="FFFFFF"/>
              </w:rPr>
              <w:t>2015</w:t>
            </w:r>
          </w:p>
        </w:tc>
        <w:tc>
          <w:tcPr>
            <w:tcW w:w="1015" w:type="dxa"/>
            <w:tcBorders>
              <w:top w:val="nil"/>
              <w:left w:val="nil"/>
              <w:bottom w:val="single" w:sz="4" w:space="0" w:color="auto"/>
              <w:right w:val="single" w:sz="4" w:space="0" w:color="auto"/>
            </w:tcBorders>
            <w:shd w:val="clear" w:color="auto" w:fill="000000"/>
            <w:textDirection w:val="lrTb"/>
            <w:vAlign w:val="top"/>
          </w:tcPr>
          <w:p w:rsidR="009D3D85" w:rsidRPr="009D3D85" w:rsidP="009D3D85">
            <w:pPr>
              <w:bidi w:val="0"/>
              <w:spacing w:after="0" w:line="240" w:lineRule="auto"/>
              <w:jc w:val="center"/>
              <w:rPr>
                <w:rFonts w:ascii="Times New Roman" w:hAnsi="Times New Roman"/>
                <w:b/>
                <w:bCs/>
                <w:color w:val="FFFFFF"/>
              </w:rPr>
            </w:pPr>
            <w:r w:rsidRPr="009D3D85">
              <w:rPr>
                <w:rFonts w:ascii="Times New Roman" w:hAnsi="Times New Roman"/>
                <w:b/>
                <w:bCs/>
                <w:color w:val="FFFFFF"/>
              </w:rPr>
              <w:t>2016</w:t>
            </w:r>
          </w:p>
        </w:tc>
        <w:tc>
          <w:tcPr>
            <w:tcW w:w="2028" w:type="dxa"/>
            <w:vMerge/>
            <w:tcBorders>
              <w:top w:val="single" w:sz="4" w:space="0" w:color="auto"/>
              <w:left w:val="single" w:sz="4" w:space="0" w:color="auto"/>
              <w:bottom w:val="single" w:sz="4" w:space="0" w:color="auto"/>
              <w:right w:val="single" w:sz="4" w:space="0" w:color="auto"/>
            </w:tcBorders>
            <w:textDirection w:val="lrTb"/>
            <w:vAlign w:val="center"/>
          </w:tcPr>
          <w:p w:rsidR="009D3D85" w:rsidRPr="009D3D85" w:rsidP="009D3D85">
            <w:pPr>
              <w:bidi w:val="0"/>
              <w:spacing w:after="0" w:line="240" w:lineRule="auto"/>
              <w:rPr>
                <w:rFonts w:ascii="Times New Roman" w:hAnsi="Times New Roman"/>
                <w:b/>
                <w:bCs/>
                <w:color w:val="FFFFFF"/>
              </w:rPr>
            </w:pPr>
          </w:p>
        </w:tc>
      </w:tr>
      <w:tr>
        <w:tblPrEx>
          <w:tblW w:w="9430" w:type="dxa"/>
          <w:tblCellMar>
            <w:left w:w="70" w:type="dxa"/>
            <w:right w:w="70" w:type="dxa"/>
          </w:tblCellMar>
        </w:tblPrEx>
        <w:trPr>
          <w:cantSplit/>
          <w:trHeight w:val="261"/>
        </w:trPr>
        <w:tc>
          <w:tcPr>
            <w:tcW w:w="3345" w:type="dxa"/>
            <w:tcBorders>
              <w:top w:val="nil"/>
              <w:left w:val="single" w:sz="4" w:space="0" w:color="auto"/>
              <w:bottom w:val="single" w:sz="4" w:space="0" w:color="auto"/>
              <w:right w:val="single" w:sz="4" w:space="0" w:color="auto"/>
            </w:tcBorders>
            <w:textDirection w:val="lrTb"/>
            <w:vAlign w:val="top"/>
          </w:tcPr>
          <w:p w:rsidR="009D3D85" w:rsidRPr="009D3D85" w:rsidP="009D3D85">
            <w:pPr>
              <w:bidi w:val="0"/>
              <w:spacing w:after="0" w:line="240" w:lineRule="auto"/>
              <w:rPr>
                <w:rFonts w:ascii="Times New Roman" w:hAnsi="Times New Roman"/>
                <w:b/>
                <w:bCs/>
                <w:vertAlign w:val="superscript"/>
              </w:rPr>
            </w:pPr>
            <w:r w:rsidRPr="009D3D85">
              <w:rPr>
                <w:rFonts w:ascii="Times New Roman" w:hAnsi="Times New Roman"/>
                <w:b/>
                <w:bCs/>
              </w:rPr>
              <w:t>Daňové príjmy (100)</w:t>
            </w:r>
            <w:r w:rsidRPr="009D3D85">
              <w:rPr>
                <w:rFonts w:ascii="Times New Roman" w:hAnsi="Times New Roman"/>
                <w:b/>
                <w:bCs/>
                <w:vertAlign w:val="superscript"/>
              </w:rPr>
              <w:t>1</w:t>
            </w:r>
          </w:p>
        </w:tc>
        <w:tc>
          <w:tcPr>
            <w:tcW w:w="1014"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b/>
                <w:bCs/>
              </w:rPr>
            </w:pPr>
          </w:p>
        </w:tc>
        <w:tc>
          <w:tcPr>
            <w:tcW w:w="1014"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b/>
                <w:bCs/>
              </w:rPr>
            </w:pPr>
          </w:p>
        </w:tc>
        <w:tc>
          <w:tcPr>
            <w:tcW w:w="1014"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b/>
                <w:bCs/>
              </w:rPr>
            </w:pPr>
          </w:p>
        </w:tc>
        <w:tc>
          <w:tcPr>
            <w:tcW w:w="1015"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b/>
                <w:bCs/>
              </w:rPr>
            </w:pPr>
          </w:p>
        </w:tc>
        <w:tc>
          <w:tcPr>
            <w:tcW w:w="2028" w:type="dxa"/>
            <w:tcBorders>
              <w:top w:val="nil"/>
              <w:left w:val="nil"/>
              <w:bottom w:val="single" w:sz="4" w:space="0" w:color="auto"/>
              <w:right w:val="single" w:sz="4" w:space="0" w:color="auto"/>
            </w:tcBorders>
            <w:noWrap/>
            <w:textDirection w:val="lrTb"/>
            <w:vAlign w:val="bottom"/>
          </w:tcPr>
          <w:p w:rsidR="009D3D85" w:rsidRPr="009D3D85" w:rsidP="009D3D85">
            <w:pPr>
              <w:bidi w:val="0"/>
              <w:spacing w:after="0" w:line="240" w:lineRule="auto"/>
              <w:rPr>
                <w:rFonts w:ascii="Times New Roman" w:hAnsi="Times New Roman"/>
              </w:rPr>
            </w:pPr>
            <w:r w:rsidRPr="009D3D85">
              <w:rPr>
                <w:rFonts w:ascii="Times New Roman" w:hAnsi="Times New Roman"/>
              </w:rPr>
              <w:t> </w:t>
            </w:r>
          </w:p>
        </w:tc>
      </w:tr>
      <w:tr>
        <w:tblPrEx>
          <w:tblW w:w="9430" w:type="dxa"/>
          <w:tblCellMar>
            <w:left w:w="70" w:type="dxa"/>
            <w:right w:w="70" w:type="dxa"/>
          </w:tblCellMar>
        </w:tblPrEx>
        <w:trPr>
          <w:cantSplit/>
          <w:trHeight w:val="261"/>
        </w:trPr>
        <w:tc>
          <w:tcPr>
            <w:tcW w:w="3345" w:type="dxa"/>
            <w:tcBorders>
              <w:top w:val="nil"/>
              <w:left w:val="single" w:sz="4" w:space="0" w:color="auto"/>
              <w:bottom w:val="single" w:sz="4" w:space="0" w:color="auto"/>
              <w:right w:val="single" w:sz="4" w:space="0" w:color="auto"/>
            </w:tcBorders>
            <w:textDirection w:val="lrTb"/>
            <w:vAlign w:val="top"/>
          </w:tcPr>
          <w:p w:rsidR="009D3D85" w:rsidRPr="009D3D85" w:rsidP="009D3D85">
            <w:pPr>
              <w:bidi w:val="0"/>
              <w:spacing w:after="0" w:line="240" w:lineRule="auto"/>
              <w:rPr>
                <w:rFonts w:ascii="Times New Roman" w:hAnsi="Times New Roman"/>
                <w:b/>
                <w:bCs/>
              </w:rPr>
            </w:pPr>
            <w:r w:rsidRPr="009D3D85">
              <w:rPr>
                <w:rFonts w:ascii="Times New Roman" w:hAnsi="Times New Roman"/>
                <w:b/>
                <w:bCs/>
              </w:rPr>
              <w:t>Nedaňové príjmy (200)</w:t>
            </w:r>
            <w:r w:rsidRPr="009D3D85">
              <w:rPr>
                <w:rFonts w:ascii="Times New Roman" w:hAnsi="Times New Roman"/>
                <w:b/>
                <w:bCs/>
                <w:vertAlign w:val="superscript"/>
              </w:rPr>
              <w:t>1</w:t>
            </w:r>
          </w:p>
        </w:tc>
        <w:tc>
          <w:tcPr>
            <w:tcW w:w="1014" w:type="dxa"/>
            <w:tcBorders>
              <w:top w:val="nil"/>
              <w:left w:val="nil"/>
              <w:bottom w:val="single" w:sz="4" w:space="0" w:color="auto"/>
              <w:right w:val="single" w:sz="4" w:space="0" w:color="auto"/>
            </w:tcBorders>
            <w:textDirection w:val="lrTb"/>
            <w:vAlign w:val="center"/>
          </w:tcPr>
          <w:p w:rsidR="009D3D85" w:rsidRPr="009D3D85" w:rsidP="009D3D85">
            <w:pPr>
              <w:bidi w:val="0"/>
              <w:spacing w:after="0" w:line="240" w:lineRule="auto"/>
              <w:jc w:val="right"/>
              <w:rPr>
                <w:rFonts w:ascii="Times New Roman" w:hAnsi="Times New Roman"/>
                <w:bCs/>
                <w:iCs/>
              </w:rPr>
            </w:pPr>
            <w:r w:rsidRPr="009D3D85">
              <w:rPr>
                <w:rFonts w:ascii="Times New Roman" w:hAnsi="Times New Roman"/>
                <w:bCs/>
                <w:iCs/>
              </w:rPr>
              <w:t>0</w:t>
            </w:r>
          </w:p>
        </w:tc>
        <w:tc>
          <w:tcPr>
            <w:tcW w:w="1014" w:type="dxa"/>
            <w:tcBorders>
              <w:top w:val="nil"/>
              <w:left w:val="nil"/>
              <w:bottom w:val="single" w:sz="4" w:space="0" w:color="auto"/>
              <w:right w:val="single" w:sz="4" w:space="0" w:color="auto"/>
            </w:tcBorders>
            <w:textDirection w:val="lrTb"/>
            <w:vAlign w:val="center"/>
          </w:tcPr>
          <w:p w:rsidR="009D3D85" w:rsidRPr="009D3D85" w:rsidP="009D3D85">
            <w:pPr>
              <w:bidi w:val="0"/>
              <w:spacing w:after="0" w:line="240" w:lineRule="auto"/>
              <w:jc w:val="right"/>
              <w:rPr>
                <w:rFonts w:ascii="Times New Roman" w:hAnsi="Times New Roman"/>
                <w:bCs/>
                <w:iCs/>
              </w:rPr>
            </w:pPr>
            <w:r w:rsidRPr="009D3D85">
              <w:rPr>
                <w:rFonts w:ascii="Times New Roman" w:hAnsi="Times New Roman"/>
                <w:bCs/>
                <w:iCs/>
              </w:rPr>
              <w:t>- 510 000</w:t>
            </w:r>
          </w:p>
        </w:tc>
        <w:tc>
          <w:tcPr>
            <w:tcW w:w="1014" w:type="dxa"/>
            <w:tcBorders>
              <w:top w:val="nil"/>
              <w:left w:val="nil"/>
              <w:bottom w:val="single" w:sz="4" w:space="0" w:color="auto"/>
              <w:right w:val="single" w:sz="4" w:space="0" w:color="auto"/>
            </w:tcBorders>
            <w:textDirection w:val="lrTb"/>
            <w:vAlign w:val="center"/>
          </w:tcPr>
          <w:p w:rsidR="009D3D85" w:rsidRPr="009D3D85" w:rsidP="009D3D85">
            <w:pPr>
              <w:bidi w:val="0"/>
              <w:spacing w:after="0" w:line="240" w:lineRule="auto"/>
              <w:jc w:val="right"/>
              <w:rPr>
                <w:rFonts w:ascii="Times New Roman" w:hAnsi="Times New Roman"/>
                <w:bCs/>
                <w:iCs/>
              </w:rPr>
            </w:pPr>
            <w:r w:rsidRPr="009D3D85">
              <w:rPr>
                <w:rFonts w:ascii="Times New Roman" w:hAnsi="Times New Roman"/>
                <w:bCs/>
                <w:iCs/>
              </w:rPr>
              <w:t>- 510 000</w:t>
            </w:r>
          </w:p>
        </w:tc>
        <w:tc>
          <w:tcPr>
            <w:tcW w:w="1015" w:type="dxa"/>
            <w:tcBorders>
              <w:top w:val="nil"/>
              <w:left w:val="nil"/>
              <w:bottom w:val="single" w:sz="4" w:space="0" w:color="auto"/>
              <w:right w:val="single" w:sz="4" w:space="0" w:color="auto"/>
            </w:tcBorders>
            <w:textDirection w:val="lrTb"/>
            <w:vAlign w:val="center"/>
          </w:tcPr>
          <w:p w:rsidR="009D3D85" w:rsidRPr="009D3D85" w:rsidP="009D3D85">
            <w:pPr>
              <w:bidi w:val="0"/>
              <w:spacing w:after="0" w:line="240" w:lineRule="auto"/>
              <w:jc w:val="right"/>
              <w:rPr>
                <w:rFonts w:ascii="Times New Roman" w:hAnsi="Times New Roman"/>
                <w:bCs/>
                <w:iCs/>
              </w:rPr>
            </w:pPr>
            <w:r w:rsidRPr="009D3D85">
              <w:rPr>
                <w:rFonts w:ascii="Times New Roman" w:hAnsi="Times New Roman"/>
                <w:bCs/>
                <w:iCs/>
              </w:rPr>
              <w:t>- 510 000</w:t>
            </w:r>
          </w:p>
        </w:tc>
        <w:tc>
          <w:tcPr>
            <w:tcW w:w="2028" w:type="dxa"/>
            <w:tcBorders>
              <w:top w:val="nil"/>
              <w:left w:val="nil"/>
              <w:bottom w:val="single" w:sz="4" w:space="0" w:color="auto"/>
              <w:right w:val="single" w:sz="4" w:space="0" w:color="auto"/>
            </w:tcBorders>
            <w:noWrap/>
            <w:textDirection w:val="lrTb"/>
            <w:vAlign w:val="bottom"/>
          </w:tcPr>
          <w:p w:rsidR="009D3D85" w:rsidRPr="009D3D85" w:rsidP="009D3D85">
            <w:pPr>
              <w:bidi w:val="0"/>
              <w:spacing w:after="0" w:line="240" w:lineRule="auto"/>
              <w:rPr>
                <w:rFonts w:ascii="Times New Roman" w:hAnsi="Times New Roman"/>
              </w:rPr>
            </w:pPr>
            <w:r w:rsidRPr="009D3D85">
              <w:rPr>
                <w:rFonts w:ascii="Times New Roman" w:hAnsi="Times New Roman"/>
              </w:rPr>
              <w:t> </w:t>
            </w:r>
          </w:p>
        </w:tc>
      </w:tr>
      <w:tr>
        <w:tblPrEx>
          <w:tblW w:w="9430" w:type="dxa"/>
          <w:tblCellMar>
            <w:left w:w="70" w:type="dxa"/>
            <w:right w:w="70" w:type="dxa"/>
          </w:tblCellMar>
        </w:tblPrEx>
        <w:trPr>
          <w:cantSplit/>
          <w:trHeight w:val="261"/>
        </w:trPr>
        <w:tc>
          <w:tcPr>
            <w:tcW w:w="3345" w:type="dxa"/>
            <w:tcBorders>
              <w:top w:val="nil"/>
              <w:left w:val="single" w:sz="4" w:space="0" w:color="auto"/>
              <w:bottom w:val="single" w:sz="4" w:space="0" w:color="auto"/>
              <w:right w:val="single" w:sz="4" w:space="0" w:color="auto"/>
            </w:tcBorders>
            <w:textDirection w:val="lrTb"/>
            <w:vAlign w:val="top"/>
          </w:tcPr>
          <w:p w:rsidR="009D3D85" w:rsidRPr="009D3D85" w:rsidP="009D3D85">
            <w:pPr>
              <w:bidi w:val="0"/>
              <w:spacing w:after="0" w:line="240" w:lineRule="auto"/>
              <w:rPr>
                <w:rFonts w:ascii="Times New Roman" w:hAnsi="Times New Roman"/>
                <w:b/>
                <w:bCs/>
              </w:rPr>
            </w:pPr>
            <w:r w:rsidRPr="009D3D85">
              <w:rPr>
                <w:rFonts w:ascii="Times New Roman" w:hAnsi="Times New Roman"/>
                <w:b/>
                <w:bCs/>
              </w:rPr>
              <w:t>Granty a transfery (300)</w:t>
            </w:r>
            <w:r w:rsidRPr="009D3D85">
              <w:rPr>
                <w:rFonts w:ascii="Times New Roman" w:hAnsi="Times New Roman"/>
                <w:b/>
                <w:bCs/>
                <w:vertAlign w:val="superscript"/>
              </w:rPr>
              <w:t>1</w:t>
            </w:r>
          </w:p>
        </w:tc>
        <w:tc>
          <w:tcPr>
            <w:tcW w:w="1014"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b/>
                <w:bCs/>
              </w:rPr>
            </w:pPr>
          </w:p>
        </w:tc>
        <w:tc>
          <w:tcPr>
            <w:tcW w:w="1014"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b/>
                <w:bCs/>
              </w:rPr>
            </w:pPr>
          </w:p>
        </w:tc>
        <w:tc>
          <w:tcPr>
            <w:tcW w:w="1014"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b/>
                <w:bCs/>
              </w:rPr>
            </w:pPr>
          </w:p>
        </w:tc>
        <w:tc>
          <w:tcPr>
            <w:tcW w:w="1015"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b/>
                <w:bCs/>
              </w:rPr>
            </w:pPr>
          </w:p>
        </w:tc>
        <w:tc>
          <w:tcPr>
            <w:tcW w:w="2028" w:type="dxa"/>
            <w:tcBorders>
              <w:top w:val="nil"/>
              <w:left w:val="nil"/>
              <w:bottom w:val="single" w:sz="4" w:space="0" w:color="auto"/>
              <w:right w:val="single" w:sz="4" w:space="0" w:color="auto"/>
            </w:tcBorders>
            <w:noWrap/>
            <w:textDirection w:val="lrTb"/>
            <w:vAlign w:val="bottom"/>
          </w:tcPr>
          <w:p w:rsidR="009D3D85" w:rsidRPr="009D3D85" w:rsidP="009D3D85">
            <w:pPr>
              <w:bidi w:val="0"/>
              <w:spacing w:after="0" w:line="240" w:lineRule="auto"/>
              <w:rPr>
                <w:rFonts w:ascii="Times New Roman" w:hAnsi="Times New Roman"/>
              </w:rPr>
            </w:pPr>
            <w:r w:rsidRPr="009D3D85">
              <w:rPr>
                <w:rFonts w:ascii="Times New Roman" w:hAnsi="Times New Roman"/>
              </w:rPr>
              <w:t> </w:t>
            </w:r>
          </w:p>
        </w:tc>
      </w:tr>
      <w:tr>
        <w:tblPrEx>
          <w:tblW w:w="9430" w:type="dxa"/>
          <w:tblCellMar>
            <w:left w:w="70" w:type="dxa"/>
            <w:right w:w="70" w:type="dxa"/>
          </w:tblCellMar>
        </w:tblPrEx>
        <w:trPr>
          <w:cantSplit/>
          <w:trHeight w:val="261"/>
        </w:trPr>
        <w:tc>
          <w:tcPr>
            <w:tcW w:w="3345" w:type="dxa"/>
            <w:tcBorders>
              <w:top w:val="nil"/>
              <w:left w:val="single" w:sz="4" w:space="0" w:color="auto"/>
              <w:bottom w:val="single" w:sz="4" w:space="0" w:color="auto"/>
              <w:right w:val="single" w:sz="4" w:space="0" w:color="auto"/>
            </w:tcBorders>
            <w:textDirection w:val="lrTb"/>
            <w:vAlign w:val="top"/>
          </w:tcPr>
          <w:p w:rsidR="009D3D85" w:rsidRPr="009D3D85" w:rsidP="009D3D85">
            <w:pPr>
              <w:bidi w:val="0"/>
              <w:spacing w:after="0" w:line="240" w:lineRule="auto"/>
              <w:rPr>
                <w:rFonts w:ascii="Times New Roman" w:hAnsi="Times New Roman"/>
                <w:b/>
                <w:bCs/>
              </w:rPr>
            </w:pPr>
            <w:r w:rsidRPr="009D3D85">
              <w:rPr>
                <w:rFonts w:ascii="Times New Roman" w:hAnsi="Times New Roman"/>
                <w:b/>
                <w:bCs/>
              </w:rPr>
              <w:t>Príjmy z transakcií s finančnými aktívami a finančnými pasívami (400)</w:t>
            </w:r>
          </w:p>
        </w:tc>
        <w:tc>
          <w:tcPr>
            <w:tcW w:w="1014"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b/>
                <w:bCs/>
              </w:rPr>
            </w:pPr>
            <w:r w:rsidRPr="009D3D85">
              <w:rPr>
                <w:rFonts w:ascii="Times New Roman" w:hAnsi="Times New Roman"/>
                <w:b/>
                <w:bCs/>
              </w:rPr>
              <w:t> </w:t>
            </w:r>
          </w:p>
        </w:tc>
        <w:tc>
          <w:tcPr>
            <w:tcW w:w="1014"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b/>
                <w:bCs/>
              </w:rPr>
            </w:pPr>
            <w:r w:rsidRPr="009D3D85">
              <w:rPr>
                <w:rFonts w:ascii="Times New Roman" w:hAnsi="Times New Roman"/>
                <w:b/>
                <w:bCs/>
              </w:rPr>
              <w:t> </w:t>
            </w:r>
          </w:p>
        </w:tc>
        <w:tc>
          <w:tcPr>
            <w:tcW w:w="1014"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b/>
                <w:bCs/>
              </w:rPr>
            </w:pPr>
            <w:r w:rsidRPr="009D3D85">
              <w:rPr>
                <w:rFonts w:ascii="Times New Roman" w:hAnsi="Times New Roman"/>
                <w:b/>
                <w:bCs/>
              </w:rPr>
              <w:t> </w:t>
            </w:r>
          </w:p>
        </w:tc>
        <w:tc>
          <w:tcPr>
            <w:tcW w:w="1015"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b/>
                <w:bCs/>
              </w:rPr>
            </w:pPr>
            <w:r w:rsidRPr="009D3D85">
              <w:rPr>
                <w:rFonts w:ascii="Times New Roman" w:hAnsi="Times New Roman"/>
                <w:b/>
                <w:bCs/>
              </w:rPr>
              <w:t> </w:t>
            </w:r>
          </w:p>
        </w:tc>
        <w:tc>
          <w:tcPr>
            <w:tcW w:w="2028" w:type="dxa"/>
            <w:tcBorders>
              <w:top w:val="nil"/>
              <w:left w:val="nil"/>
              <w:bottom w:val="single" w:sz="4" w:space="0" w:color="auto"/>
              <w:right w:val="single" w:sz="4" w:space="0" w:color="auto"/>
            </w:tcBorders>
            <w:noWrap/>
            <w:textDirection w:val="lrTb"/>
            <w:vAlign w:val="bottom"/>
          </w:tcPr>
          <w:p w:rsidR="009D3D85" w:rsidRPr="009D3D85" w:rsidP="009D3D85">
            <w:pPr>
              <w:bidi w:val="0"/>
              <w:spacing w:after="0" w:line="240" w:lineRule="auto"/>
              <w:rPr>
                <w:rFonts w:ascii="Times New Roman" w:hAnsi="Times New Roman"/>
              </w:rPr>
            </w:pPr>
            <w:r w:rsidRPr="009D3D85">
              <w:rPr>
                <w:rFonts w:ascii="Times New Roman" w:hAnsi="Times New Roman"/>
              </w:rPr>
              <w:t> </w:t>
            </w:r>
          </w:p>
        </w:tc>
      </w:tr>
      <w:tr>
        <w:tblPrEx>
          <w:tblW w:w="9430" w:type="dxa"/>
          <w:tblCellMar>
            <w:left w:w="70" w:type="dxa"/>
            <w:right w:w="70" w:type="dxa"/>
          </w:tblCellMar>
        </w:tblPrEx>
        <w:trPr>
          <w:cantSplit/>
          <w:trHeight w:val="261"/>
        </w:trPr>
        <w:tc>
          <w:tcPr>
            <w:tcW w:w="3345" w:type="dxa"/>
            <w:tcBorders>
              <w:top w:val="nil"/>
              <w:left w:val="single" w:sz="4" w:space="0" w:color="auto"/>
              <w:bottom w:val="single" w:sz="4" w:space="0" w:color="auto"/>
              <w:right w:val="single" w:sz="4" w:space="0" w:color="auto"/>
            </w:tcBorders>
            <w:textDirection w:val="lrTb"/>
            <w:vAlign w:val="top"/>
          </w:tcPr>
          <w:p w:rsidR="009D3D85" w:rsidRPr="009D3D85" w:rsidP="009D3D85">
            <w:pPr>
              <w:bidi w:val="0"/>
              <w:spacing w:after="0" w:line="240" w:lineRule="auto"/>
              <w:rPr>
                <w:rFonts w:ascii="Times New Roman" w:hAnsi="Times New Roman"/>
                <w:b/>
                <w:bCs/>
              </w:rPr>
            </w:pPr>
            <w:r w:rsidRPr="009D3D85">
              <w:rPr>
                <w:rFonts w:ascii="Times New Roman" w:hAnsi="Times New Roman"/>
                <w:b/>
                <w:bCs/>
              </w:rPr>
              <w:t>Prijaté úvery, pôžičky a návratné finančné výpomoci (500)</w:t>
            </w:r>
          </w:p>
        </w:tc>
        <w:tc>
          <w:tcPr>
            <w:tcW w:w="1014"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b/>
                <w:bCs/>
              </w:rPr>
            </w:pPr>
            <w:r w:rsidRPr="009D3D85">
              <w:rPr>
                <w:rFonts w:ascii="Times New Roman" w:hAnsi="Times New Roman"/>
                <w:b/>
                <w:bCs/>
              </w:rPr>
              <w:t> </w:t>
            </w:r>
          </w:p>
        </w:tc>
        <w:tc>
          <w:tcPr>
            <w:tcW w:w="1014"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b/>
                <w:bCs/>
              </w:rPr>
            </w:pPr>
            <w:r w:rsidRPr="009D3D85">
              <w:rPr>
                <w:rFonts w:ascii="Times New Roman" w:hAnsi="Times New Roman"/>
                <w:b/>
                <w:bCs/>
              </w:rPr>
              <w:t> </w:t>
            </w:r>
          </w:p>
        </w:tc>
        <w:tc>
          <w:tcPr>
            <w:tcW w:w="1014"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b/>
                <w:bCs/>
              </w:rPr>
            </w:pPr>
            <w:r w:rsidRPr="009D3D85">
              <w:rPr>
                <w:rFonts w:ascii="Times New Roman" w:hAnsi="Times New Roman"/>
                <w:b/>
                <w:bCs/>
              </w:rPr>
              <w:t> </w:t>
            </w:r>
          </w:p>
        </w:tc>
        <w:tc>
          <w:tcPr>
            <w:tcW w:w="1015"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b/>
                <w:bCs/>
              </w:rPr>
            </w:pPr>
            <w:r w:rsidRPr="009D3D85">
              <w:rPr>
                <w:rFonts w:ascii="Times New Roman" w:hAnsi="Times New Roman"/>
                <w:b/>
                <w:bCs/>
              </w:rPr>
              <w:t> </w:t>
            </w:r>
          </w:p>
        </w:tc>
        <w:tc>
          <w:tcPr>
            <w:tcW w:w="2028" w:type="dxa"/>
            <w:tcBorders>
              <w:top w:val="nil"/>
              <w:left w:val="nil"/>
              <w:bottom w:val="single" w:sz="4" w:space="0" w:color="auto"/>
              <w:right w:val="single" w:sz="4" w:space="0" w:color="auto"/>
            </w:tcBorders>
            <w:noWrap/>
            <w:textDirection w:val="lrTb"/>
            <w:vAlign w:val="bottom"/>
          </w:tcPr>
          <w:p w:rsidR="009D3D85" w:rsidRPr="009D3D85" w:rsidP="009D3D85">
            <w:pPr>
              <w:bidi w:val="0"/>
              <w:spacing w:after="0" w:line="240" w:lineRule="auto"/>
              <w:rPr>
                <w:rFonts w:ascii="Times New Roman" w:hAnsi="Times New Roman"/>
              </w:rPr>
            </w:pPr>
            <w:r w:rsidRPr="009D3D85">
              <w:rPr>
                <w:rFonts w:ascii="Times New Roman" w:hAnsi="Times New Roman"/>
              </w:rPr>
              <w:t> </w:t>
            </w:r>
          </w:p>
        </w:tc>
      </w:tr>
      <w:tr>
        <w:tblPrEx>
          <w:tblW w:w="9430" w:type="dxa"/>
          <w:tblCellMar>
            <w:left w:w="70" w:type="dxa"/>
            <w:right w:w="70" w:type="dxa"/>
          </w:tblCellMar>
        </w:tblPrEx>
        <w:trPr>
          <w:cantSplit/>
          <w:trHeight w:val="261"/>
        </w:trPr>
        <w:tc>
          <w:tcPr>
            <w:tcW w:w="3345" w:type="dxa"/>
            <w:tcBorders>
              <w:top w:val="nil"/>
              <w:left w:val="single" w:sz="4" w:space="0" w:color="auto"/>
              <w:bottom w:val="single" w:sz="4" w:space="0" w:color="auto"/>
              <w:right w:val="single" w:sz="4" w:space="0" w:color="auto"/>
            </w:tcBorders>
            <w:shd w:val="clear" w:color="auto" w:fill="000000"/>
            <w:textDirection w:val="lrTb"/>
            <w:vAlign w:val="top"/>
          </w:tcPr>
          <w:p w:rsidR="009D3D85" w:rsidRPr="009D3D85" w:rsidP="009D3D85">
            <w:pPr>
              <w:bidi w:val="0"/>
              <w:spacing w:after="0" w:line="240" w:lineRule="auto"/>
              <w:rPr>
                <w:rFonts w:ascii="Times New Roman" w:hAnsi="Times New Roman"/>
                <w:b/>
                <w:bCs/>
                <w:color w:val="FFFFFF"/>
              </w:rPr>
            </w:pPr>
            <w:r w:rsidRPr="009D3D85">
              <w:rPr>
                <w:rFonts w:ascii="Times New Roman" w:hAnsi="Times New Roman"/>
                <w:b/>
                <w:bCs/>
                <w:color w:val="FFFFFF"/>
              </w:rPr>
              <w:t>Dopad na príjmy verejnej správy celkom</w:t>
            </w:r>
          </w:p>
        </w:tc>
        <w:tc>
          <w:tcPr>
            <w:tcW w:w="1014" w:type="dxa"/>
            <w:tcBorders>
              <w:top w:val="nil"/>
              <w:left w:val="nil"/>
              <w:bottom w:val="single" w:sz="4" w:space="0" w:color="auto"/>
              <w:right w:val="single" w:sz="4" w:space="0" w:color="auto"/>
            </w:tcBorders>
            <w:shd w:val="clear" w:color="auto" w:fill="000000"/>
            <w:textDirection w:val="lrTb"/>
            <w:vAlign w:val="center"/>
          </w:tcPr>
          <w:p w:rsidR="009D3D85" w:rsidRPr="009D3D85" w:rsidP="009D3D85">
            <w:pPr>
              <w:bidi w:val="0"/>
              <w:spacing w:after="0" w:line="240" w:lineRule="auto"/>
              <w:jc w:val="right"/>
              <w:rPr>
                <w:rFonts w:ascii="Times New Roman" w:hAnsi="Times New Roman"/>
                <w:bCs/>
                <w:iCs/>
              </w:rPr>
            </w:pPr>
            <w:r w:rsidRPr="009D3D85">
              <w:rPr>
                <w:rFonts w:ascii="Times New Roman" w:hAnsi="Times New Roman"/>
                <w:bCs/>
                <w:iCs/>
              </w:rPr>
              <w:t>0</w:t>
            </w:r>
          </w:p>
        </w:tc>
        <w:tc>
          <w:tcPr>
            <w:tcW w:w="1014" w:type="dxa"/>
            <w:tcBorders>
              <w:top w:val="nil"/>
              <w:left w:val="nil"/>
              <w:bottom w:val="single" w:sz="4" w:space="0" w:color="auto"/>
              <w:right w:val="single" w:sz="4" w:space="0" w:color="auto"/>
            </w:tcBorders>
            <w:shd w:val="clear" w:color="auto" w:fill="000000"/>
            <w:textDirection w:val="lrTb"/>
            <w:vAlign w:val="center"/>
          </w:tcPr>
          <w:p w:rsidR="009D3D85" w:rsidRPr="009D3D85" w:rsidP="009D3D85">
            <w:pPr>
              <w:bidi w:val="0"/>
              <w:spacing w:after="0" w:line="240" w:lineRule="auto"/>
              <w:jc w:val="right"/>
              <w:rPr>
                <w:rFonts w:ascii="Times New Roman" w:hAnsi="Times New Roman"/>
                <w:bCs/>
                <w:iCs/>
              </w:rPr>
            </w:pPr>
            <w:r w:rsidRPr="009D3D85">
              <w:rPr>
                <w:rFonts w:ascii="Times New Roman" w:hAnsi="Times New Roman"/>
                <w:bCs/>
                <w:iCs/>
              </w:rPr>
              <w:t>- 510 000</w:t>
            </w:r>
          </w:p>
        </w:tc>
        <w:tc>
          <w:tcPr>
            <w:tcW w:w="1014" w:type="dxa"/>
            <w:tcBorders>
              <w:top w:val="nil"/>
              <w:left w:val="nil"/>
              <w:bottom w:val="single" w:sz="4" w:space="0" w:color="auto"/>
              <w:right w:val="single" w:sz="4" w:space="0" w:color="auto"/>
            </w:tcBorders>
            <w:shd w:val="clear" w:color="auto" w:fill="000000"/>
            <w:textDirection w:val="lrTb"/>
            <w:vAlign w:val="center"/>
          </w:tcPr>
          <w:p w:rsidR="009D3D85" w:rsidRPr="009D3D85" w:rsidP="009D3D85">
            <w:pPr>
              <w:bidi w:val="0"/>
              <w:spacing w:after="0" w:line="240" w:lineRule="auto"/>
              <w:jc w:val="right"/>
              <w:rPr>
                <w:rFonts w:ascii="Times New Roman" w:hAnsi="Times New Roman"/>
                <w:bCs/>
                <w:iCs/>
              </w:rPr>
            </w:pPr>
            <w:r w:rsidRPr="009D3D85">
              <w:rPr>
                <w:rFonts w:ascii="Times New Roman" w:hAnsi="Times New Roman"/>
                <w:bCs/>
                <w:iCs/>
              </w:rPr>
              <w:t>- 510 000</w:t>
            </w:r>
          </w:p>
        </w:tc>
        <w:tc>
          <w:tcPr>
            <w:tcW w:w="1015" w:type="dxa"/>
            <w:tcBorders>
              <w:top w:val="nil"/>
              <w:left w:val="nil"/>
              <w:bottom w:val="single" w:sz="4" w:space="0" w:color="auto"/>
              <w:right w:val="single" w:sz="4" w:space="0" w:color="auto"/>
            </w:tcBorders>
            <w:shd w:val="clear" w:color="auto" w:fill="000000"/>
            <w:textDirection w:val="lrTb"/>
            <w:vAlign w:val="center"/>
          </w:tcPr>
          <w:p w:rsidR="009D3D85" w:rsidRPr="009D3D85" w:rsidP="009D3D85">
            <w:pPr>
              <w:bidi w:val="0"/>
              <w:spacing w:after="0" w:line="240" w:lineRule="auto"/>
              <w:jc w:val="right"/>
              <w:rPr>
                <w:rFonts w:ascii="Times New Roman" w:hAnsi="Times New Roman"/>
                <w:bCs/>
                <w:iCs/>
              </w:rPr>
            </w:pPr>
            <w:r w:rsidRPr="009D3D85">
              <w:rPr>
                <w:rFonts w:ascii="Times New Roman" w:hAnsi="Times New Roman"/>
                <w:bCs/>
                <w:iCs/>
              </w:rPr>
              <w:t>- 510 000</w:t>
            </w:r>
          </w:p>
        </w:tc>
        <w:tc>
          <w:tcPr>
            <w:tcW w:w="2028" w:type="dxa"/>
            <w:tcBorders>
              <w:top w:val="nil"/>
              <w:left w:val="nil"/>
              <w:bottom w:val="single" w:sz="4" w:space="0" w:color="auto"/>
              <w:right w:val="single" w:sz="4" w:space="0" w:color="auto"/>
            </w:tcBorders>
            <w:shd w:val="clear" w:color="auto" w:fill="000000"/>
            <w:noWrap/>
            <w:textDirection w:val="lrTb"/>
            <w:vAlign w:val="bottom"/>
          </w:tcPr>
          <w:p w:rsidR="009D3D85" w:rsidRPr="009D3D85" w:rsidP="009D3D85">
            <w:pPr>
              <w:bidi w:val="0"/>
              <w:spacing w:after="0" w:line="240" w:lineRule="auto"/>
              <w:rPr>
                <w:rFonts w:ascii="Times New Roman" w:hAnsi="Times New Roman"/>
                <w:color w:val="FFFFFF"/>
              </w:rPr>
            </w:pPr>
            <w:r w:rsidRPr="009D3D85">
              <w:rPr>
                <w:rFonts w:ascii="Times New Roman" w:hAnsi="Times New Roman"/>
                <w:color w:val="FFFFFF"/>
              </w:rPr>
              <w:t> </w:t>
            </w:r>
          </w:p>
        </w:tc>
      </w:tr>
    </w:tbl>
    <w:p w:rsidR="009D3D85" w:rsidRPr="009D3D85" w:rsidP="009D3D85">
      <w:pPr>
        <w:pStyle w:val="BodyText"/>
        <w:tabs>
          <w:tab w:val="num" w:pos="1080"/>
        </w:tabs>
        <w:bidi w:val="0"/>
        <w:jc w:val="both"/>
        <w:rPr>
          <w:rFonts w:ascii="Times New Roman" w:hAnsi="Times New Roman"/>
          <w:b/>
          <w:bCs/>
        </w:rPr>
      </w:pPr>
      <w:r w:rsidRPr="009D3D85">
        <w:rPr>
          <w:rFonts w:ascii="Times New Roman" w:hAnsi="Times New Roman"/>
          <w:b/>
          <w:bCs/>
        </w:rPr>
        <w:t>1 –  príjmy rozpísať až do položiek platnej ekonomickej klasifikácie</w:t>
      </w:r>
    </w:p>
    <w:p w:rsidR="009D3D85" w:rsidRPr="009D3D85" w:rsidP="009D3D85">
      <w:pPr>
        <w:bidi w:val="0"/>
        <w:jc w:val="center"/>
        <w:rPr>
          <w:rFonts w:ascii="Times New Roman" w:hAnsi="Times New Roman"/>
          <w:b/>
          <w:bCs/>
        </w:rPr>
      </w:pPr>
    </w:p>
    <w:p w:rsidR="009D3D85" w:rsidRPr="009D3D85" w:rsidP="009D3D85">
      <w:pPr>
        <w:bidi w:val="0"/>
        <w:jc w:val="center"/>
        <w:rPr>
          <w:rFonts w:ascii="Times New Roman" w:hAnsi="Times New Roman"/>
          <w:b/>
          <w:bCs/>
        </w:rPr>
      </w:pPr>
      <w:r w:rsidRPr="009D3D85">
        <w:rPr>
          <w:rFonts w:ascii="Times New Roman" w:hAnsi="Times New Roman"/>
          <w:b/>
          <w:bCs/>
        </w:rPr>
        <w:t>Vplyvy na rozpočet verejnej správy,</w:t>
      </w:r>
    </w:p>
    <w:p w:rsidR="009D3D85" w:rsidRPr="009D3D85" w:rsidP="009D3D85">
      <w:pPr>
        <w:bidi w:val="0"/>
        <w:jc w:val="center"/>
        <w:rPr>
          <w:rFonts w:ascii="Times New Roman" w:hAnsi="Times New Roman"/>
          <w:b/>
          <w:bCs/>
        </w:rPr>
      </w:pPr>
      <w:r w:rsidRPr="009D3D85">
        <w:rPr>
          <w:rFonts w:ascii="Times New Roman" w:hAnsi="Times New Roman"/>
          <w:b/>
          <w:bCs/>
        </w:rPr>
        <w:t xml:space="preserve">na zamestnanosť vo verejnej správe a financovanie návrhu </w:t>
      </w:r>
    </w:p>
    <w:p w:rsidR="009D3D85" w:rsidRPr="009D3D85" w:rsidP="009D3D85">
      <w:pPr>
        <w:pStyle w:val="BodyText"/>
        <w:tabs>
          <w:tab w:val="num" w:pos="1080"/>
        </w:tabs>
        <w:bidi w:val="0"/>
        <w:jc w:val="center"/>
        <w:rPr>
          <w:rFonts w:ascii="Times New Roman" w:hAnsi="Times New Roman"/>
          <w:b/>
          <w:bCs/>
        </w:rPr>
      </w:pPr>
      <w:r w:rsidRPr="009D3D85">
        <w:rPr>
          <w:rFonts w:ascii="Times New Roman" w:hAnsi="Times New Roman"/>
          <w:b/>
          <w:bCs/>
        </w:rPr>
        <w:t>(MF SR)</w:t>
      </w:r>
    </w:p>
    <w:p w:rsidR="009D3D85" w:rsidRPr="009D3D85" w:rsidP="009D3D85">
      <w:pPr>
        <w:pStyle w:val="BodyText"/>
        <w:tabs>
          <w:tab w:val="num" w:pos="1080"/>
        </w:tabs>
        <w:bidi w:val="0"/>
        <w:jc w:val="right"/>
        <w:rPr>
          <w:rFonts w:ascii="Times New Roman" w:hAnsi="Times New Roman"/>
          <w:bCs/>
        </w:rPr>
      </w:pPr>
      <w:r w:rsidRPr="009D3D85">
        <w:rPr>
          <w:rFonts w:ascii="Times New Roman" w:hAnsi="Times New Roman"/>
          <w:b/>
          <w:bCs/>
        </w:rPr>
        <w:tab/>
        <w:tab/>
        <w:tab/>
      </w:r>
      <w:r w:rsidRPr="009D3D85">
        <w:rPr>
          <w:rFonts w:ascii="Times New Roman" w:hAnsi="Times New Roman"/>
          <w:bCs/>
        </w:rPr>
        <w:t>Tabuľka č. 5</w:t>
      </w:r>
    </w:p>
    <w:tbl>
      <w:tblPr>
        <w:tblStyle w:val="TableNormal"/>
        <w:tblW w:w="9248" w:type="dxa"/>
        <w:tblCellMar>
          <w:left w:w="70" w:type="dxa"/>
          <w:right w:w="70" w:type="dxa"/>
        </w:tblCellMar>
      </w:tblPr>
      <w:tblGrid>
        <w:gridCol w:w="4231"/>
        <w:gridCol w:w="922"/>
        <w:gridCol w:w="922"/>
        <w:gridCol w:w="922"/>
        <w:gridCol w:w="923"/>
        <w:gridCol w:w="1328"/>
      </w:tblGrid>
      <w:tr>
        <w:tblPrEx>
          <w:tblW w:w="9248" w:type="dxa"/>
          <w:tblCellMar>
            <w:left w:w="70" w:type="dxa"/>
            <w:right w:w="70" w:type="dxa"/>
          </w:tblCellMar>
        </w:tblPrEx>
        <w:trPr>
          <w:trHeight w:val="251"/>
        </w:trPr>
        <w:tc>
          <w:tcPr>
            <w:tcW w:w="4231" w:type="dxa"/>
            <w:vMerge w:val="restart"/>
            <w:tcBorders>
              <w:top w:val="single" w:sz="4" w:space="0" w:color="auto"/>
              <w:left w:val="single" w:sz="4" w:space="0" w:color="auto"/>
              <w:bottom w:val="single" w:sz="4" w:space="0" w:color="000000"/>
              <w:right w:val="single" w:sz="4" w:space="0" w:color="auto"/>
            </w:tcBorders>
            <w:shd w:val="clear" w:color="auto" w:fill="000000"/>
            <w:textDirection w:val="lrTb"/>
            <w:vAlign w:val="center"/>
          </w:tcPr>
          <w:p w:rsidR="009D3D85" w:rsidRPr="009D3D85" w:rsidP="009D3D85">
            <w:pPr>
              <w:bidi w:val="0"/>
              <w:spacing w:after="0" w:line="240" w:lineRule="auto"/>
              <w:jc w:val="center"/>
              <w:rPr>
                <w:rFonts w:ascii="Times New Roman" w:hAnsi="Times New Roman"/>
                <w:b/>
                <w:bCs/>
                <w:color w:val="FFFFFF"/>
              </w:rPr>
            </w:pPr>
            <w:r w:rsidRPr="009D3D85">
              <w:rPr>
                <w:rFonts w:ascii="Times New Roman" w:hAnsi="Times New Roman"/>
                <w:b/>
                <w:bCs/>
                <w:color w:val="FFFFFF"/>
              </w:rPr>
              <w:t>Výdavky (v eurách)</w:t>
            </w:r>
          </w:p>
        </w:tc>
        <w:tc>
          <w:tcPr>
            <w:tcW w:w="3689" w:type="dxa"/>
            <w:gridSpan w:val="4"/>
            <w:tcBorders>
              <w:top w:val="single" w:sz="4" w:space="0" w:color="auto"/>
              <w:left w:val="nil"/>
              <w:bottom w:val="single" w:sz="4" w:space="0" w:color="auto"/>
              <w:right w:val="single" w:sz="4" w:space="0" w:color="auto"/>
            </w:tcBorders>
            <w:shd w:val="clear" w:color="auto" w:fill="000000"/>
            <w:textDirection w:val="lrTb"/>
            <w:vAlign w:val="top"/>
          </w:tcPr>
          <w:p w:rsidR="009D3D85" w:rsidRPr="009D3D85" w:rsidP="009D3D85">
            <w:pPr>
              <w:bidi w:val="0"/>
              <w:spacing w:after="0" w:line="240" w:lineRule="auto"/>
              <w:jc w:val="center"/>
              <w:rPr>
                <w:rFonts w:ascii="Times New Roman" w:hAnsi="Times New Roman"/>
                <w:b/>
                <w:bCs/>
                <w:color w:val="FFFFFF"/>
              </w:rPr>
            </w:pPr>
            <w:r w:rsidRPr="009D3D85">
              <w:rPr>
                <w:rFonts w:ascii="Times New Roman" w:hAnsi="Times New Roman"/>
                <w:b/>
                <w:bCs/>
                <w:color w:val="FFFFFF"/>
              </w:rPr>
              <w:t>Vplyv na rozpočet verejnej správy</w:t>
            </w:r>
          </w:p>
        </w:tc>
        <w:tc>
          <w:tcPr>
            <w:tcW w:w="1328" w:type="dxa"/>
            <w:vMerge w:val="restart"/>
            <w:tcBorders>
              <w:top w:val="single" w:sz="4" w:space="0" w:color="auto"/>
              <w:left w:val="single" w:sz="4" w:space="0" w:color="auto"/>
              <w:bottom w:val="single" w:sz="4" w:space="0" w:color="auto"/>
              <w:right w:val="single" w:sz="4" w:space="0" w:color="auto"/>
            </w:tcBorders>
            <w:shd w:val="clear" w:color="auto" w:fill="000000"/>
            <w:noWrap/>
            <w:textDirection w:val="lrTb"/>
            <w:vAlign w:val="center"/>
          </w:tcPr>
          <w:p w:rsidR="009D3D85" w:rsidRPr="009D3D85" w:rsidP="009D3D85">
            <w:pPr>
              <w:bidi w:val="0"/>
              <w:spacing w:after="0" w:line="240" w:lineRule="auto"/>
              <w:jc w:val="center"/>
              <w:rPr>
                <w:rFonts w:ascii="Times New Roman" w:hAnsi="Times New Roman"/>
                <w:b/>
                <w:bCs/>
                <w:color w:val="FFFFFF"/>
              </w:rPr>
            </w:pPr>
            <w:r w:rsidRPr="009D3D85">
              <w:rPr>
                <w:rFonts w:ascii="Times New Roman" w:hAnsi="Times New Roman"/>
                <w:b/>
                <w:bCs/>
                <w:color w:val="FFFFFF"/>
              </w:rPr>
              <w:t>poznámka</w:t>
            </w:r>
          </w:p>
        </w:tc>
      </w:tr>
      <w:tr>
        <w:tblPrEx>
          <w:tblW w:w="9248" w:type="dxa"/>
          <w:tblCellMar>
            <w:left w:w="70" w:type="dxa"/>
            <w:right w:w="70" w:type="dxa"/>
          </w:tblCellMar>
        </w:tblPrEx>
        <w:trPr>
          <w:trHeight w:val="251"/>
        </w:trPr>
        <w:tc>
          <w:tcPr>
            <w:tcW w:w="4231" w:type="dxa"/>
            <w:vMerge/>
            <w:tcBorders>
              <w:top w:val="single" w:sz="4" w:space="0" w:color="auto"/>
              <w:left w:val="single" w:sz="4" w:space="0" w:color="auto"/>
              <w:bottom w:val="single" w:sz="4" w:space="0" w:color="000000"/>
              <w:right w:val="single" w:sz="4" w:space="0" w:color="auto"/>
            </w:tcBorders>
            <w:textDirection w:val="lrTb"/>
            <w:vAlign w:val="center"/>
          </w:tcPr>
          <w:p w:rsidR="009D3D85" w:rsidRPr="009D3D85" w:rsidP="009D3D85">
            <w:pPr>
              <w:bidi w:val="0"/>
              <w:spacing w:after="0" w:line="240" w:lineRule="auto"/>
              <w:rPr>
                <w:rFonts w:ascii="Times New Roman" w:hAnsi="Times New Roman"/>
                <w:b/>
                <w:bCs/>
                <w:color w:val="FFFFFF"/>
              </w:rPr>
            </w:pPr>
          </w:p>
        </w:tc>
        <w:tc>
          <w:tcPr>
            <w:tcW w:w="922" w:type="dxa"/>
            <w:tcBorders>
              <w:top w:val="nil"/>
              <w:left w:val="nil"/>
              <w:bottom w:val="single" w:sz="4" w:space="0" w:color="auto"/>
              <w:right w:val="single" w:sz="4" w:space="0" w:color="auto"/>
            </w:tcBorders>
            <w:shd w:val="clear" w:color="auto" w:fill="000000"/>
            <w:textDirection w:val="lrTb"/>
            <w:vAlign w:val="top"/>
          </w:tcPr>
          <w:p w:rsidR="009D3D85" w:rsidRPr="009D3D85" w:rsidP="009D3D85">
            <w:pPr>
              <w:bidi w:val="0"/>
              <w:spacing w:after="0" w:line="240" w:lineRule="auto"/>
              <w:jc w:val="center"/>
              <w:rPr>
                <w:rFonts w:ascii="Times New Roman" w:hAnsi="Times New Roman"/>
                <w:b/>
                <w:bCs/>
                <w:color w:val="FFFFFF"/>
              </w:rPr>
            </w:pPr>
            <w:r w:rsidRPr="009D3D85">
              <w:rPr>
                <w:rFonts w:ascii="Times New Roman" w:hAnsi="Times New Roman"/>
                <w:b/>
                <w:bCs/>
                <w:color w:val="FFFFFF"/>
              </w:rPr>
              <w:t>2013</w:t>
            </w:r>
          </w:p>
        </w:tc>
        <w:tc>
          <w:tcPr>
            <w:tcW w:w="922" w:type="dxa"/>
            <w:tcBorders>
              <w:top w:val="nil"/>
              <w:left w:val="nil"/>
              <w:bottom w:val="single" w:sz="4" w:space="0" w:color="auto"/>
              <w:right w:val="single" w:sz="4" w:space="0" w:color="auto"/>
            </w:tcBorders>
            <w:shd w:val="clear" w:color="auto" w:fill="000000"/>
            <w:textDirection w:val="lrTb"/>
            <w:vAlign w:val="top"/>
          </w:tcPr>
          <w:p w:rsidR="009D3D85" w:rsidRPr="009D3D85" w:rsidP="009D3D85">
            <w:pPr>
              <w:bidi w:val="0"/>
              <w:spacing w:after="0" w:line="240" w:lineRule="auto"/>
              <w:jc w:val="center"/>
              <w:rPr>
                <w:rFonts w:ascii="Times New Roman" w:hAnsi="Times New Roman"/>
                <w:b/>
                <w:bCs/>
                <w:color w:val="FFFFFF"/>
              </w:rPr>
            </w:pPr>
            <w:r w:rsidRPr="009D3D85">
              <w:rPr>
                <w:rFonts w:ascii="Times New Roman" w:hAnsi="Times New Roman"/>
                <w:b/>
                <w:bCs/>
                <w:color w:val="FFFFFF"/>
              </w:rPr>
              <w:t>2014</w:t>
            </w:r>
          </w:p>
        </w:tc>
        <w:tc>
          <w:tcPr>
            <w:tcW w:w="922" w:type="dxa"/>
            <w:tcBorders>
              <w:top w:val="nil"/>
              <w:left w:val="nil"/>
              <w:bottom w:val="single" w:sz="4" w:space="0" w:color="auto"/>
              <w:right w:val="single" w:sz="4" w:space="0" w:color="auto"/>
            </w:tcBorders>
            <w:shd w:val="clear" w:color="auto" w:fill="000000"/>
            <w:textDirection w:val="lrTb"/>
            <w:vAlign w:val="top"/>
          </w:tcPr>
          <w:p w:rsidR="009D3D85" w:rsidRPr="009D3D85" w:rsidP="009D3D85">
            <w:pPr>
              <w:bidi w:val="0"/>
              <w:spacing w:after="0" w:line="240" w:lineRule="auto"/>
              <w:jc w:val="center"/>
              <w:rPr>
                <w:rFonts w:ascii="Times New Roman" w:hAnsi="Times New Roman"/>
                <w:b/>
                <w:bCs/>
                <w:color w:val="FFFFFF"/>
              </w:rPr>
            </w:pPr>
            <w:r w:rsidRPr="009D3D85">
              <w:rPr>
                <w:rFonts w:ascii="Times New Roman" w:hAnsi="Times New Roman"/>
                <w:b/>
                <w:bCs/>
                <w:color w:val="FFFFFF"/>
              </w:rPr>
              <w:t>2015</w:t>
            </w:r>
          </w:p>
        </w:tc>
        <w:tc>
          <w:tcPr>
            <w:tcW w:w="923" w:type="dxa"/>
            <w:tcBorders>
              <w:top w:val="nil"/>
              <w:left w:val="nil"/>
              <w:bottom w:val="single" w:sz="4" w:space="0" w:color="auto"/>
              <w:right w:val="single" w:sz="4" w:space="0" w:color="auto"/>
            </w:tcBorders>
            <w:shd w:val="clear" w:color="auto" w:fill="000000"/>
            <w:textDirection w:val="lrTb"/>
            <w:vAlign w:val="top"/>
          </w:tcPr>
          <w:p w:rsidR="009D3D85" w:rsidRPr="009D3D85" w:rsidP="009D3D85">
            <w:pPr>
              <w:bidi w:val="0"/>
              <w:spacing w:after="0" w:line="240" w:lineRule="auto"/>
              <w:jc w:val="center"/>
              <w:rPr>
                <w:rFonts w:ascii="Times New Roman" w:hAnsi="Times New Roman"/>
                <w:b/>
                <w:bCs/>
                <w:color w:val="FFFFFF"/>
              </w:rPr>
            </w:pPr>
            <w:r w:rsidRPr="009D3D85">
              <w:rPr>
                <w:rFonts w:ascii="Times New Roman" w:hAnsi="Times New Roman"/>
                <w:b/>
                <w:bCs/>
                <w:color w:val="FFFFFF"/>
              </w:rPr>
              <w:t>2016</w:t>
            </w:r>
          </w:p>
        </w:tc>
        <w:tc>
          <w:tcPr>
            <w:tcW w:w="1328" w:type="dxa"/>
            <w:vMerge/>
            <w:tcBorders>
              <w:top w:val="single" w:sz="4" w:space="0" w:color="auto"/>
              <w:left w:val="single" w:sz="4" w:space="0" w:color="auto"/>
              <w:bottom w:val="single" w:sz="4" w:space="0" w:color="auto"/>
              <w:right w:val="single" w:sz="4" w:space="0" w:color="auto"/>
            </w:tcBorders>
            <w:textDirection w:val="lrTb"/>
            <w:vAlign w:val="center"/>
          </w:tcPr>
          <w:p w:rsidR="009D3D85" w:rsidRPr="009D3D85" w:rsidP="009D3D85">
            <w:pPr>
              <w:bidi w:val="0"/>
              <w:spacing w:after="0" w:line="240" w:lineRule="auto"/>
              <w:rPr>
                <w:rFonts w:ascii="Times New Roman" w:hAnsi="Times New Roman"/>
                <w:b/>
                <w:bCs/>
                <w:color w:val="FFFFFF"/>
              </w:rPr>
            </w:pPr>
          </w:p>
        </w:tc>
      </w:tr>
      <w:tr>
        <w:tblPrEx>
          <w:tblW w:w="9248" w:type="dxa"/>
          <w:tblCellMar>
            <w:left w:w="70" w:type="dxa"/>
            <w:right w:w="70" w:type="dxa"/>
          </w:tblCellMar>
        </w:tblPrEx>
        <w:trPr>
          <w:trHeight w:val="251"/>
        </w:trPr>
        <w:tc>
          <w:tcPr>
            <w:tcW w:w="4231" w:type="dxa"/>
            <w:tcBorders>
              <w:top w:val="nil"/>
              <w:left w:val="single" w:sz="4" w:space="0" w:color="auto"/>
              <w:bottom w:val="single" w:sz="4" w:space="0" w:color="auto"/>
              <w:right w:val="single" w:sz="4" w:space="0" w:color="auto"/>
            </w:tcBorders>
            <w:textDirection w:val="lrTb"/>
            <w:vAlign w:val="top"/>
          </w:tcPr>
          <w:p w:rsidR="009D3D85" w:rsidRPr="009D3D85" w:rsidP="009D3D85">
            <w:pPr>
              <w:bidi w:val="0"/>
              <w:spacing w:after="0" w:line="240" w:lineRule="auto"/>
              <w:rPr>
                <w:rFonts w:ascii="Times New Roman" w:hAnsi="Times New Roman"/>
                <w:b/>
                <w:bCs/>
              </w:rPr>
            </w:pPr>
            <w:r w:rsidRPr="009D3D85">
              <w:rPr>
                <w:rFonts w:ascii="Times New Roman" w:hAnsi="Times New Roman"/>
                <w:b/>
                <w:bCs/>
              </w:rPr>
              <w:t>Bežné výdavky (600)</w:t>
            </w:r>
          </w:p>
        </w:tc>
        <w:tc>
          <w:tcPr>
            <w:tcW w:w="922"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b/>
                <w:bCs/>
              </w:rPr>
            </w:pPr>
            <w:r w:rsidRPr="009D3D85">
              <w:rPr>
                <w:rFonts w:ascii="Times New Roman" w:hAnsi="Times New Roman"/>
                <w:b/>
              </w:rPr>
              <w:t>0</w:t>
            </w:r>
          </w:p>
        </w:tc>
        <w:tc>
          <w:tcPr>
            <w:tcW w:w="922" w:type="dxa"/>
            <w:tcBorders>
              <w:top w:val="nil"/>
              <w:left w:val="nil"/>
              <w:bottom w:val="single" w:sz="4" w:space="0" w:color="auto"/>
              <w:right w:val="single" w:sz="4" w:space="0" w:color="auto"/>
            </w:tcBorders>
            <w:textDirection w:val="lrTb"/>
            <w:vAlign w:val="bottom"/>
          </w:tcPr>
          <w:p w:rsidR="009D3D85" w:rsidRPr="009D3D85" w:rsidP="009D3D85">
            <w:pPr>
              <w:bidi w:val="0"/>
              <w:spacing w:after="0" w:line="240" w:lineRule="auto"/>
              <w:jc w:val="center"/>
              <w:rPr>
                <w:rFonts w:ascii="Times New Roman" w:hAnsi="Times New Roman"/>
                <w:b/>
                <w:bCs/>
                <w:iCs/>
                <w:color w:val="000000"/>
              </w:rPr>
            </w:pPr>
            <w:r w:rsidRPr="009D3D85">
              <w:rPr>
                <w:rFonts w:ascii="Times New Roman" w:hAnsi="Times New Roman"/>
                <w:b/>
              </w:rPr>
              <w:t>0</w:t>
            </w:r>
          </w:p>
        </w:tc>
        <w:tc>
          <w:tcPr>
            <w:tcW w:w="922" w:type="dxa"/>
            <w:tcBorders>
              <w:top w:val="nil"/>
              <w:left w:val="nil"/>
              <w:bottom w:val="single" w:sz="4" w:space="0" w:color="auto"/>
              <w:right w:val="single" w:sz="4" w:space="0" w:color="auto"/>
            </w:tcBorders>
            <w:textDirection w:val="lrTb"/>
            <w:vAlign w:val="bottom"/>
          </w:tcPr>
          <w:p w:rsidR="009D3D85" w:rsidRPr="009D3D85" w:rsidP="009D3D85">
            <w:pPr>
              <w:bidi w:val="0"/>
              <w:spacing w:after="0" w:line="240" w:lineRule="auto"/>
              <w:jc w:val="center"/>
              <w:rPr>
                <w:rFonts w:ascii="Times New Roman" w:hAnsi="Times New Roman"/>
                <w:b/>
                <w:bCs/>
                <w:iCs/>
                <w:color w:val="000000"/>
              </w:rPr>
            </w:pPr>
            <w:r w:rsidRPr="009D3D85">
              <w:rPr>
                <w:rFonts w:ascii="Times New Roman" w:hAnsi="Times New Roman"/>
                <w:b/>
                <w:bCs/>
                <w:iCs/>
                <w:color w:val="000000"/>
              </w:rPr>
              <w:t>0</w:t>
            </w:r>
          </w:p>
        </w:tc>
        <w:tc>
          <w:tcPr>
            <w:tcW w:w="923" w:type="dxa"/>
            <w:tcBorders>
              <w:top w:val="nil"/>
              <w:left w:val="nil"/>
              <w:bottom w:val="single" w:sz="4" w:space="0" w:color="auto"/>
              <w:right w:val="single" w:sz="4" w:space="0" w:color="auto"/>
            </w:tcBorders>
            <w:textDirection w:val="lrTb"/>
            <w:vAlign w:val="bottom"/>
          </w:tcPr>
          <w:p w:rsidR="009D3D85" w:rsidRPr="009D3D85" w:rsidP="009D3D85">
            <w:pPr>
              <w:bidi w:val="0"/>
              <w:spacing w:after="0" w:line="240" w:lineRule="auto"/>
              <w:jc w:val="center"/>
              <w:rPr>
                <w:rFonts w:ascii="Times New Roman" w:hAnsi="Times New Roman"/>
                <w:b/>
                <w:bCs/>
                <w:iCs/>
                <w:color w:val="000000"/>
              </w:rPr>
            </w:pPr>
            <w:r w:rsidRPr="009D3D85">
              <w:rPr>
                <w:rFonts w:ascii="Times New Roman" w:hAnsi="Times New Roman"/>
                <w:b/>
                <w:bCs/>
                <w:iCs/>
                <w:color w:val="000000"/>
              </w:rPr>
              <w:t>0</w:t>
            </w:r>
          </w:p>
        </w:tc>
        <w:tc>
          <w:tcPr>
            <w:tcW w:w="1328" w:type="dxa"/>
            <w:tcBorders>
              <w:top w:val="nil"/>
              <w:left w:val="nil"/>
              <w:bottom w:val="single" w:sz="4" w:space="0" w:color="auto"/>
              <w:right w:val="single" w:sz="4" w:space="0" w:color="auto"/>
            </w:tcBorders>
            <w:noWrap/>
            <w:textDirection w:val="lrTb"/>
            <w:vAlign w:val="bottom"/>
          </w:tcPr>
          <w:p w:rsidR="009D3D85" w:rsidRPr="009D3D85" w:rsidP="009D3D85">
            <w:pPr>
              <w:bidi w:val="0"/>
              <w:spacing w:after="0" w:line="240" w:lineRule="auto"/>
              <w:rPr>
                <w:rFonts w:ascii="Times New Roman" w:hAnsi="Times New Roman"/>
              </w:rPr>
            </w:pPr>
            <w:r w:rsidRPr="009D3D85">
              <w:rPr>
                <w:rFonts w:ascii="Times New Roman" w:hAnsi="Times New Roman"/>
              </w:rPr>
              <w:t> </w:t>
            </w:r>
          </w:p>
        </w:tc>
      </w:tr>
      <w:tr>
        <w:tblPrEx>
          <w:tblW w:w="9248" w:type="dxa"/>
          <w:tblCellMar>
            <w:left w:w="70" w:type="dxa"/>
            <w:right w:w="70" w:type="dxa"/>
          </w:tblCellMar>
        </w:tblPrEx>
        <w:trPr>
          <w:trHeight w:val="251"/>
        </w:trPr>
        <w:tc>
          <w:tcPr>
            <w:tcW w:w="4231" w:type="dxa"/>
            <w:tcBorders>
              <w:top w:val="nil"/>
              <w:left w:val="single" w:sz="4" w:space="0" w:color="auto"/>
              <w:bottom w:val="single" w:sz="4" w:space="0" w:color="auto"/>
              <w:right w:val="single" w:sz="4" w:space="0" w:color="auto"/>
            </w:tcBorders>
            <w:textDirection w:val="lrTb"/>
            <w:vAlign w:val="top"/>
          </w:tcPr>
          <w:p w:rsidR="009D3D85" w:rsidRPr="009D3D85" w:rsidP="009D3D85">
            <w:pPr>
              <w:bidi w:val="0"/>
              <w:spacing w:after="0" w:line="240" w:lineRule="auto"/>
              <w:rPr>
                <w:rFonts w:ascii="Times New Roman" w:hAnsi="Times New Roman"/>
              </w:rPr>
            </w:pPr>
            <w:r w:rsidRPr="009D3D85">
              <w:rPr>
                <w:rFonts w:ascii="Times New Roman" w:hAnsi="Times New Roman"/>
              </w:rPr>
              <w:t xml:space="preserve">  Mzdy, platy, služobné príjmy a ostatné osobné vyrovnania (610)</w:t>
            </w:r>
          </w:p>
        </w:tc>
        <w:tc>
          <w:tcPr>
            <w:tcW w:w="922"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rPr>
            </w:pPr>
          </w:p>
        </w:tc>
        <w:tc>
          <w:tcPr>
            <w:tcW w:w="922"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rPr>
            </w:pPr>
          </w:p>
        </w:tc>
        <w:tc>
          <w:tcPr>
            <w:tcW w:w="922"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rPr>
            </w:pPr>
          </w:p>
        </w:tc>
        <w:tc>
          <w:tcPr>
            <w:tcW w:w="923"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rPr>
            </w:pPr>
          </w:p>
        </w:tc>
        <w:tc>
          <w:tcPr>
            <w:tcW w:w="1328" w:type="dxa"/>
            <w:tcBorders>
              <w:top w:val="nil"/>
              <w:left w:val="nil"/>
              <w:bottom w:val="single" w:sz="4" w:space="0" w:color="auto"/>
              <w:right w:val="single" w:sz="4" w:space="0" w:color="auto"/>
            </w:tcBorders>
            <w:noWrap/>
            <w:textDirection w:val="lrTb"/>
            <w:vAlign w:val="bottom"/>
          </w:tcPr>
          <w:p w:rsidR="009D3D85" w:rsidRPr="009D3D85" w:rsidP="009D3D85">
            <w:pPr>
              <w:bidi w:val="0"/>
              <w:spacing w:after="0" w:line="240" w:lineRule="auto"/>
              <w:rPr>
                <w:rFonts w:ascii="Times New Roman" w:hAnsi="Times New Roman"/>
              </w:rPr>
            </w:pPr>
            <w:r w:rsidRPr="009D3D85">
              <w:rPr>
                <w:rFonts w:ascii="Times New Roman" w:hAnsi="Times New Roman"/>
              </w:rPr>
              <w:t> </w:t>
            </w:r>
          </w:p>
        </w:tc>
      </w:tr>
      <w:tr>
        <w:tblPrEx>
          <w:tblW w:w="9248" w:type="dxa"/>
          <w:tblCellMar>
            <w:left w:w="70" w:type="dxa"/>
            <w:right w:w="70" w:type="dxa"/>
          </w:tblCellMar>
        </w:tblPrEx>
        <w:trPr>
          <w:trHeight w:val="251"/>
        </w:trPr>
        <w:tc>
          <w:tcPr>
            <w:tcW w:w="4231" w:type="dxa"/>
            <w:tcBorders>
              <w:top w:val="nil"/>
              <w:left w:val="single" w:sz="4" w:space="0" w:color="auto"/>
              <w:bottom w:val="single" w:sz="4" w:space="0" w:color="auto"/>
              <w:right w:val="single" w:sz="4" w:space="0" w:color="auto"/>
            </w:tcBorders>
            <w:textDirection w:val="lrTb"/>
            <w:vAlign w:val="top"/>
          </w:tcPr>
          <w:p w:rsidR="009D3D85" w:rsidRPr="009D3D85" w:rsidP="009D3D85">
            <w:pPr>
              <w:bidi w:val="0"/>
              <w:spacing w:after="0" w:line="240" w:lineRule="auto"/>
              <w:rPr>
                <w:rFonts w:ascii="Times New Roman" w:hAnsi="Times New Roman"/>
                <w:vertAlign w:val="superscript"/>
              </w:rPr>
            </w:pPr>
            <w:r w:rsidRPr="009D3D85">
              <w:rPr>
                <w:rFonts w:ascii="Times New Roman" w:hAnsi="Times New Roman"/>
              </w:rPr>
              <w:t xml:space="preserve">  Poistné a príspevok do poisťovní (620)</w:t>
            </w:r>
          </w:p>
        </w:tc>
        <w:tc>
          <w:tcPr>
            <w:tcW w:w="922"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rPr>
            </w:pPr>
          </w:p>
        </w:tc>
        <w:tc>
          <w:tcPr>
            <w:tcW w:w="922"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rPr>
            </w:pPr>
          </w:p>
        </w:tc>
        <w:tc>
          <w:tcPr>
            <w:tcW w:w="922"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rPr>
            </w:pPr>
          </w:p>
        </w:tc>
        <w:tc>
          <w:tcPr>
            <w:tcW w:w="923"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rPr>
            </w:pPr>
          </w:p>
        </w:tc>
        <w:tc>
          <w:tcPr>
            <w:tcW w:w="1328" w:type="dxa"/>
            <w:tcBorders>
              <w:top w:val="nil"/>
              <w:left w:val="nil"/>
              <w:bottom w:val="single" w:sz="4" w:space="0" w:color="auto"/>
              <w:right w:val="single" w:sz="4" w:space="0" w:color="auto"/>
            </w:tcBorders>
            <w:noWrap/>
            <w:textDirection w:val="lrTb"/>
            <w:vAlign w:val="bottom"/>
          </w:tcPr>
          <w:p w:rsidR="009D3D85" w:rsidRPr="009D3D85" w:rsidP="009D3D85">
            <w:pPr>
              <w:bidi w:val="0"/>
              <w:spacing w:after="0" w:line="240" w:lineRule="auto"/>
              <w:rPr>
                <w:rFonts w:ascii="Times New Roman" w:hAnsi="Times New Roman"/>
              </w:rPr>
            </w:pPr>
            <w:r w:rsidRPr="009D3D85">
              <w:rPr>
                <w:rFonts w:ascii="Times New Roman" w:hAnsi="Times New Roman"/>
              </w:rPr>
              <w:t> </w:t>
            </w:r>
          </w:p>
        </w:tc>
      </w:tr>
      <w:tr>
        <w:tblPrEx>
          <w:tblW w:w="9248" w:type="dxa"/>
          <w:tblCellMar>
            <w:left w:w="70" w:type="dxa"/>
            <w:right w:w="70" w:type="dxa"/>
          </w:tblCellMar>
        </w:tblPrEx>
        <w:trPr>
          <w:trHeight w:val="251"/>
        </w:trPr>
        <w:tc>
          <w:tcPr>
            <w:tcW w:w="4231" w:type="dxa"/>
            <w:tcBorders>
              <w:top w:val="nil"/>
              <w:left w:val="single" w:sz="4" w:space="0" w:color="auto"/>
              <w:bottom w:val="single" w:sz="4" w:space="0" w:color="auto"/>
              <w:right w:val="single" w:sz="4" w:space="0" w:color="auto"/>
            </w:tcBorders>
            <w:textDirection w:val="lrTb"/>
            <w:vAlign w:val="top"/>
          </w:tcPr>
          <w:p w:rsidR="009D3D85" w:rsidRPr="009D3D85" w:rsidP="009D3D85">
            <w:pPr>
              <w:bidi w:val="0"/>
              <w:spacing w:after="0" w:line="240" w:lineRule="auto"/>
              <w:rPr>
                <w:rFonts w:ascii="Times New Roman" w:hAnsi="Times New Roman"/>
                <w:vertAlign w:val="superscript"/>
              </w:rPr>
            </w:pPr>
            <w:r w:rsidRPr="009D3D85">
              <w:rPr>
                <w:rFonts w:ascii="Times New Roman" w:hAnsi="Times New Roman"/>
              </w:rPr>
              <w:t xml:space="preserve">  Tovary a služby (630)</w:t>
            </w:r>
            <w:r w:rsidRPr="009D3D85">
              <w:rPr>
                <w:rFonts w:ascii="Times New Roman" w:hAnsi="Times New Roman"/>
                <w:vertAlign w:val="superscript"/>
              </w:rPr>
              <w:t>2</w:t>
            </w:r>
          </w:p>
        </w:tc>
        <w:tc>
          <w:tcPr>
            <w:tcW w:w="922" w:type="dxa"/>
            <w:tcBorders>
              <w:top w:val="nil"/>
              <w:left w:val="nil"/>
              <w:bottom w:val="single" w:sz="4" w:space="0" w:color="auto"/>
              <w:right w:val="single" w:sz="4" w:space="0" w:color="auto"/>
            </w:tcBorders>
            <w:textDirection w:val="lrTb"/>
            <w:vAlign w:val="bottom"/>
          </w:tcPr>
          <w:p w:rsidR="009D3D85" w:rsidRPr="009D3D85" w:rsidP="009D3D85">
            <w:pPr>
              <w:bidi w:val="0"/>
              <w:spacing w:after="0" w:line="240" w:lineRule="auto"/>
              <w:jc w:val="center"/>
              <w:rPr>
                <w:rFonts w:ascii="Times New Roman" w:hAnsi="Times New Roman"/>
                <w:b/>
                <w:bCs/>
                <w:iCs/>
                <w:color w:val="000000"/>
              </w:rPr>
            </w:pPr>
            <w:r w:rsidRPr="009D3D85">
              <w:rPr>
                <w:rFonts w:ascii="Times New Roman" w:hAnsi="Times New Roman"/>
                <w:b/>
              </w:rPr>
              <w:t>0</w:t>
            </w:r>
          </w:p>
        </w:tc>
        <w:tc>
          <w:tcPr>
            <w:tcW w:w="922" w:type="dxa"/>
            <w:tcBorders>
              <w:top w:val="nil"/>
              <w:left w:val="nil"/>
              <w:bottom w:val="single" w:sz="4" w:space="0" w:color="auto"/>
              <w:right w:val="single" w:sz="4" w:space="0" w:color="auto"/>
            </w:tcBorders>
            <w:textDirection w:val="lrTb"/>
            <w:vAlign w:val="bottom"/>
          </w:tcPr>
          <w:p w:rsidR="009D3D85" w:rsidRPr="009D3D85" w:rsidP="009D3D85">
            <w:pPr>
              <w:bidi w:val="0"/>
              <w:spacing w:after="0" w:line="240" w:lineRule="auto"/>
              <w:jc w:val="center"/>
              <w:rPr>
                <w:rFonts w:ascii="Times New Roman" w:hAnsi="Times New Roman"/>
                <w:b/>
                <w:bCs/>
                <w:iCs/>
                <w:color w:val="000000"/>
              </w:rPr>
            </w:pPr>
            <w:r w:rsidRPr="009D3D85">
              <w:rPr>
                <w:rFonts w:ascii="Times New Roman" w:hAnsi="Times New Roman"/>
                <w:b/>
                <w:bCs/>
                <w:iCs/>
                <w:color w:val="000000"/>
              </w:rPr>
              <w:t>0</w:t>
            </w:r>
          </w:p>
        </w:tc>
        <w:tc>
          <w:tcPr>
            <w:tcW w:w="922" w:type="dxa"/>
            <w:tcBorders>
              <w:top w:val="nil"/>
              <w:left w:val="nil"/>
              <w:bottom w:val="single" w:sz="4" w:space="0" w:color="auto"/>
              <w:right w:val="single" w:sz="4" w:space="0" w:color="auto"/>
            </w:tcBorders>
            <w:textDirection w:val="lrTb"/>
            <w:vAlign w:val="bottom"/>
          </w:tcPr>
          <w:p w:rsidR="009D3D85" w:rsidRPr="009D3D85" w:rsidP="009D3D85">
            <w:pPr>
              <w:bidi w:val="0"/>
              <w:spacing w:after="0" w:line="240" w:lineRule="auto"/>
              <w:jc w:val="center"/>
              <w:rPr>
                <w:rFonts w:ascii="Times New Roman" w:hAnsi="Times New Roman"/>
                <w:b/>
                <w:bCs/>
                <w:iCs/>
                <w:color w:val="000000"/>
              </w:rPr>
            </w:pPr>
            <w:r w:rsidRPr="009D3D85">
              <w:rPr>
                <w:rFonts w:ascii="Times New Roman" w:hAnsi="Times New Roman"/>
                <w:b/>
                <w:bCs/>
                <w:iCs/>
                <w:color w:val="000000"/>
              </w:rPr>
              <w:t>0</w:t>
            </w:r>
          </w:p>
        </w:tc>
        <w:tc>
          <w:tcPr>
            <w:tcW w:w="923" w:type="dxa"/>
            <w:tcBorders>
              <w:top w:val="nil"/>
              <w:left w:val="nil"/>
              <w:bottom w:val="single" w:sz="4" w:space="0" w:color="auto"/>
              <w:right w:val="single" w:sz="4" w:space="0" w:color="auto"/>
            </w:tcBorders>
            <w:textDirection w:val="lrTb"/>
            <w:vAlign w:val="bottom"/>
          </w:tcPr>
          <w:p w:rsidR="009D3D85" w:rsidRPr="009D3D85" w:rsidP="009D3D85">
            <w:pPr>
              <w:bidi w:val="0"/>
              <w:spacing w:after="0" w:line="240" w:lineRule="auto"/>
              <w:jc w:val="center"/>
              <w:rPr>
                <w:rFonts w:ascii="Times New Roman" w:hAnsi="Times New Roman"/>
                <w:b/>
                <w:bCs/>
                <w:iCs/>
                <w:color w:val="000000"/>
              </w:rPr>
            </w:pPr>
            <w:r w:rsidRPr="009D3D85">
              <w:rPr>
                <w:rFonts w:ascii="Times New Roman" w:hAnsi="Times New Roman"/>
                <w:b/>
              </w:rPr>
              <w:t>0</w:t>
            </w:r>
          </w:p>
        </w:tc>
        <w:tc>
          <w:tcPr>
            <w:tcW w:w="1328" w:type="dxa"/>
            <w:tcBorders>
              <w:top w:val="nil"/>
              <w:left w:val="nil"/>
              <w:bottom w:val="single" w:sz="4" w:space="0" w:color="auto"/>
              <w:right w:val="single" w:sz="4" w:space="0" w:color="auto"/>
            </w:tcBorders>
            <w:noWrap/>
            <w:textDirection w:val="lrTb"/>
            <w:vAlign w:val="bottom"/>
          </w:tcPr>
          <w:p w:rsidR="009D3D85" w:rsidRPr="009D3D85" w:rsidP="009D3D85">
            <w:pPr>
              <w:bidi w:val="0"/>
              <w:spacing w:after="0" w:line="240" w:lineRule="auto"/>
              <w:rPr>
                <w:rFonts w:ascii="Times New Roman" w:hAnsi="Times New Roman"/>
              </w:rPr>
            </w:pPr>
            <w:r w:rsidRPr="009D3D85">
              <w:rPr>
                <w:rFonts w:ascii="Times New Roman" w:hAnsi="Times New Roman"/>
              </w:rPr>
              <w:t> </w:t>
            </w:r>
          </w:p>
        </w:tc>
      </w:tr>
      <w:tr>
        <w:tblPrEx>
          <w:tblW w:w="9248" w:type="dxa"/>
          <w:tblCellMar>
            <w:left w:w="70" w:type="dxa"/>
            <w:right w:w="70" w:type="dxa"/>
          </w:tblCellMar>
        </w:tblPrEx>
        <w:trPr>
          <w:trHeight w:val="251"/>
        </w:trPr>
        <w:tc>
          <w:tcPr>
            <w:tcW w:w="4231" w:type="dxa"/>
            <w:tcBorders>
              <w:top w:val="nil"/>
              <w:left w:val="single" w:sz="4" w:space="0" w:color="auto"/>
              <w:bottom w:val="single" w:sz="4" w:space="0" w:color="auto"/>
              <w:right w:val="single" w:sz="4" w:space="0" w:color="auto"/>
            </w:tcBorders>
            <w:textDirection w:val="lrTb"/>
            <w:vAlign w:val="top"/>
          </w:tcPr>
          <w:p w:rsidR="009D3D85" w:rsidRPr="009D3D85" w:rsidP="009D3D85">
            <w:pPr>
              <w:bidi w:val="0"/>
              <w:spacing w:after="0" w:line="240" w:lineRule="auto"/>
              <w:rPr>
                <w:rFonts w:ascii="Times New Roman" w:hAnsi="Times New Roman"/>
              </w:rPr>
            </w:pPr>
            <w:r w:rsidRPr="009D3D85">
              <w:rPr>
                <w:rFonts w:ascii="Times New Roman" w:hAnsi="Times New Roman"/>
              </w:rPr>
              <w:t xml:space="preserve">  Bežné transfery (640)</w:t>
            </w:r>
            <w:r w:rsidRPr="009D3D85">
              <w:rPr>
                <w:rFonts w:ascii="Times New Roman" w:hAnsi="Times New Roman"/>
                <w:vertAlign w:val="superscript"/>
              </w:rPr>
              <w:t>2</w:t>
            </w:r>
          </w:p>
        </w:tc>
        <w:tc>
          <w:tcPr>
            <w:tcW w:w="922"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rPr>
            </w:pPr>
          </w:p>
        </w:tc>
        <w:tc>
          <w:tcPr>
            <w:tcW w:w="922"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rPr>
            </w:pPr>
          </w:p>
        </w:tc>
        <w:tc>
          <w:tcPr>
            <w:tcW w:w="922"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rPr>
            </w:pPr>
          </w:p>
        </w:tc>
        <w:tc>
          <w:tcPr>
            <w:tcW w:w="923"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rPr>
            </w:pPr>
          </w:p>
        </w:tc>
        <w:tc>
          <w:tcPr>
            <w:tcW w:w="1328" w:type="dxa"/>
            <w:tcBorders>
              <w:top w:val="nil"/>
              <w:left w:val="nil"/>
              <w:bottom w:val="single" w:sz="4" w:space="0" w:color="auto"/>
              <w:right w:val="single" w:sz="4" w:space="0" w:color="auto"/>
            </w:tcBorders>
            <w:noWrap/>
            <w:textDirection w:val="lrTb"/>
            <w:vAlign w:val="bottom"/>
          </w:tcPr>
          <w:p w:rsidR="009D3D85" w:rsidRPr="009D3D85" w:rsidP="009D3D85">
            <w:pPr>
              <w:bidi w:val="0"/>
              <w:spacing w:after="0" w:line="240" w:lineRule="auto"/>
              <w:rPr>
                <w:rFonts w:ascii="Times New Roman" w:hAnsi="Times New Roman"/>
              </w:rPr>
            </w:pPr>
            <w:r w:rsidRPr="009D3D85">
              <w:rPr>
                <w:rFonts w:ascii="Times New Roman" w:hAnsi="Times New Roman"/>
              </w:rPr>
              <w:t> </w:t>
            </w:r>
          </w:p>
        </w:tc>
      </w:tr>
      <w:tr>
        <w:tblPrEx>
          <w:tblW w:w="9248" w:type="dxa"/>
          <w:tblCellMar>
            <w:left w:w="70" w:type="dxa"/>
            <w:right w:w="70" w:type="dxa"/>
          </w:tblCellMar>
        </w:tblPrEx>
        <w:trPr>
          <w:trHeight w:val="251"/>
        </w:trPr>
        <w:tc>
          <w:tcPr>
            <w:tcW w:w="4231" w:type="dxa"/>
            <w:tcBorders>
              <w:top w:val="nil"/>
              <w:left w:val="single" w:sz="4" w:space="0" w:color="auto"/>
              <w:bottom w:val="single" w:sz="4" w:space="0" w:color="auto"/>
              <w:right w:val="single" w:sz="4" w:space="0" w:color="auto"/>
            </w:tcBorders>
            <w:textDirection w:val="lrTb"/>
            <w:vAlign w:val="center"/>
          </w:tcPr>
          <w:p w:rsidR="009D3D85" w:rsidRPr="009D3D85" w:rsidP="009D3D85">
            <w:pPr>
              <w:bidi w:val="0"/>
              <w:spacing w:after="0" w:line="240" w:lineRule="auto"/>
              <w:rPr>
                <w:rFonts w:ascii="Times New Roman" w:hAnsi="Times New Roman"/>
              </w:rPr>
            </w:pPr>
            <w:r w:rsidRPr="009D3D85">
              <w:rPr>
                <w:rFonts w:ascii="Times New Roman" w:hAnsi="Times New Roman"/>
              </w:rPr>
              <w:t xml:space="preserve">  Splácanie úrokov a ostatné platby súvisiace s úvermi, pôžičkami a NFV (650)</w:t>
            </w:r>
            <w:r w:rsidRPr="009D3D85">
              <w:rPr>
                <w:rFonts w:ascii="Times New Roman" w:hAnsi="Times New Roman"/>
                <w:vertAlign w:val="superscript"/>
              </w:rPr>
              <w:t>2</w:t>
            </w:r>
          </w:p>
        </w:tc>
        <w:tc>
          <w:tcPr>
            <w:tcW w:w="922"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rPr>
            </w:pPr>
          </w:p>
        </w:tc>
        <w:tc>
          <w:tcPr>
            <w:tcW w:w="922"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rPr>
            </w:pPr>
          </w:p>
        </w:tc>
        <w:tc>
          <w:tcPr>
            <w:tcW w:w="922"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rPr>
            </w:pPr>
          </w:p>
        </w:tc>
        <w:tc>
          <w:tcPr>
            <w:tcW w:w="923"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rPr>
            </w:pPr>
          </w:p>
        </w:tc>
        <w:tc>
          <w:tcPr>
            <w:tcW w:w="1328" w:type="dxa"/>
            <w:tcBorders>
              <w:top w:val="nil"/>
              <w:left w:val="nil"/>
              <w:bottom w:val="single" w:sz="4" w:space="0" w:color="auto"/>
              <w:right w:val="single" w:sz="4" w:space="0" w:color="auto"/>
            </w:tcBorders>
            <w:noWrap/>
            <w:textDirection w:val="lrTb"/>
            <w:vAlign w:val="bottom"/>
          </w:tcPr>
          <w:p w:rsidR="009D3D85" w:rsidRPr="009D3D85" w:rsidP="009D3D85">
            <w:pPr>
              <w:bidi w:val="0"/>
              <w:spacing w:after="0" w:line="240" w:lineRule="auto"/>
              <w:rPr>
                <w:rFonts w:ascii="Times New Roman" w:hAnsi="Times New Roman"/>
              </w:rPr>
            </w:pPr>
          </w:p>
        </w:tc>
      </w:tr>
      <w:tr>
        <w:tblPrEx>
          <w:tblW w:w="9248" w:type="dxa"/>
          <w:tblCellMar>
            <w:left w:w="70" w:type="dxa"/>
            <w:right w:w="70" w:type="dxa"/>
          </w:tblCellMar>
        </w:tblPrEx>
        <w:trPr>
          <w:trHeight w:val="251"/>
        </w:trPr>
        <w:tc>
          <w:tcPr>
            <w:tcW w:w="4231" w:type="dxa"/>
            <w:tcBorders>
              <w:top w:val="nil"/>
              <w:left w:val="single" w:sz="4" w:space="0" w:color="auto"/>
              <w:bottom w:val="single" w:sz="4" w:space="0" w:color="auto"/>
              <w:right w:val="single" w:sz="4" w:space="0" w:color="auto"/>
            </w:tcBorders>
            <w:textDirection w:val="lrTb"/>
            <w:vAlign w:val="top"/>
          </w:tcPr>
          <w:p w:rsidR="009D3D85" w:rsidRPr="009D3D85" w:rsidP="009D3D85">
            <w:pPr>
              <w:bidi w:val="0"/>
              <w:spacing w:after="0" w:line="240" w:lineRule="auto"/>
              <w:rPr>
                <w:rFonts w:ascii="Times New Roman" w:hAnsi="Times New Roman"/>
                <w:b/>
                <w:bCs/>
              </w:rPr>
            </w:pPr>
            <w:r w:rsidRPr="009D3D85">
              <w:rPr>
                <w:rFonts w:ascii="Times New Roman" w:hAnsi="Times New Roman"/>
                <w:b/>
                <w:bCs/>
              </w:rPr>
              <w:t>Kapitálové výdavky (700)</w:t>
            </w:r>
          </w:p>
        </w:tc>
        <w:tc>
          <w:tcPr>
            <w:tcW w:w="922"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b/>
                <w:bCs/>
              </w:rPr>
            </w:pPr>
            <w:r w:rsidRPr="009D3D85">
              <w:rPr>
                <w:rFonts w:ascii="Times New Roman" w:hAnsi="Times New Roman"/>
              </w:rPr>
              <w:t>546 000</w:t>
            </w:r>
          </w:p>
        </w:tc>
        <w:tc>
          <w:tcPr>
            <w:tcW w:w="922"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b/>
                <w:bCs/>
              </w:rPr>
            </w:pPr>
          </w:p>
        </w:tc>
        <w:tc>
          <w:tcPr>
            <w:tcW w:w="922"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b/>
                <w:bCs/>
              </w:rPr>
            </w:pPr>
          </w:p>
        </w:tc>
        <w:tc>
          <w:tcPr>
            <w:tcW w:w="923"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b/>
                <w:bCs/>
              </w:rPr>
            </w:pPr>
          </w:p>
        </w:tc>
        <w:tc>
          <w:tcPr>
            <w:tcW w:w="1328" w:type="dxa"/>
            <w:tcBorders>
              <w:top w:val="nil"/>
              <w:left w:val="nil"/>
              <w:bottom w:val="single" w:sz="4" w:space="0" w:color="auto"/>
              <w:right w:val="single" w:sz="4" w:space="0" w:color="auto"/>
            </w:tcBorders>
            <w:noWrap/>
            <w:textDirection w:val="lrTb"/>
            <w:vAlign w:val="bottom"/>
          </w:tcPr>
          <w:p w:rsidR="009D3D85" w:rsidRPr="009D3D85" w:rsidP="009D3D85">
            <w:pPr>
              <w:bidi w:val="0"/>
              <w:spacing w:after="0" w:line="240" w:lineRule="auto"/>
              <w:rPr>
                <w:rFonts w:ascii="Times New Roman" w:hAnsi="Times New Roman"/>
              </w:rPr>
            </w:pPr>
            <w:r w:rsidRPr="009D3D85">
              <w:rPr>
                <w:rFonts w:ascii="Times New Roman" w:hAnsi="Times New Roman"/>
              </w:rPr>
              <w:t> </w:t>
            </w:r>
          </w:p>
        </w:tc>
      </w:tr>
      <w:tr>
        <w:tblPrEx>
          <w:tblW w:w="9248" w:type="dxa"/>
          <w:tblCellMar>
            <w:left w:w="70" w:type="dxa"/>
            <w:right w:w="70" w:type="dxa"/>
          </w:tblCellMar>
        </w:tblPrEx>
        <w:trPr>
          <w:trHeight w:val="251"/>
        </w:trPr>
        <w:tc>
          <w:tcPr>
            <w:tcW w:w="4231" w:type="dxa"/>
            <w:tcBorders>
              <w:top w:val="nil"/>
              <w:left w:val="single" w:sz="4" w:space="0" w:color="auto"/>
              <w:bottom w:val="single" w:sz="4" w:space="0" w:color="auto"/>
              <w:right w:val="single" w:sz="4" w:space="0" w:color="auto"/>
            </w:tcBorders>
            <w:textDirection w:val="lrTb"/>
            <w:vAlign w:val="top"/>
          </w:tcPr>
          <w:p w:rsidR="009D3D85" w:rsidRPr="009D3D85" w:rsidP="009D3D85">
            <w:pPr>
              <w:bidi w:val="0"/>
              <w:spacing w:after="0" w:line="240" w:lineRule="auto"/>
              <w:rPr>
                <w:rFonts w:ascii="Times New Roman" w:hAnsi="Times New Roman"/>
              </w:rPr>
            </w:pPr>
            <w:r w:rsidRPr="009D3D85">
              <w:rPr>
                <w:rFonts w:ascii="Times New Roman" w:hAnsi="Times New Roman"/>
              </w:rPr>
              <w:t xml:space="preserve">  Obstarávanie kapitálových aktív (710)</w:t>
            </w:r>
            <w:r w:rsidRPr="009D3D85">
              <w:rPr>
                <w:rFonts w:ascii="Times New Roman" w:hAnsi="Times New Roman"/>
                <w:vertAlign w:val="superscript"/>
              </w:rPr>
              <w:t>2</w:t>
            </w:r>
          </w:p>
        </w:tc>
        <w:tc>
          <w:tcPr>
            <w:tcW w:w="922"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rPr>
            </w:pPr>
            <w:r w:rsidRPr="009D3D85">
              <w:rPr>
                <w:rFonts w:ascii="Times New Roman" w:hAnsi="Times New Roman"/>
              </w:rPr>
              <w:t>546 000</w:t>
            </w:r>
          </w:p>
        </w:tc>
        <w:tc>
          <w:tcPr>
            <w:tcW w:w="922"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rPr>
            </w:pPr>
          </w:p>
        </w:tc>
        <w:tc>
          <w:tcPr>
            <w:tcW w:w="922"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rPr>
            </w:pPr>
          </w:p>
        </w:tc>
        <w:tc>
          <w:tcPr>
            <w:tcW w:w="923"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rPr>
            </w:pPr>
          </w:p>
        </w:tc>
        <w:tc>
          <w:tcPr>
            <w:tcW w:w="1328" w:type="dxa"/>
            <w:tcBorders>
              <w:top w:val="nil"/>
              <w:left w:val="nil"/>
              <w:bottom w:val="single" w:sz="4" w:space="0" w:color="auto"/>
              <w:right w:val="single" w:sz="4" w:space="0" w:color="auto"/>
            </w:tcBorders>
            <w:noWrap/>
            <w:textDirection w:val="lrTb"/>
            <w:vAlign w:val="bottom"/>
          </w:tcPr>
          <w:p w:rsidR="009D3D85" w:rsidRPr="009D3D85" w:rsidP="009D3D85">
            <w:pPr>
              <w:bidi w:val="0"/>
              <w:spacing w:after="0" w:line="240" w:lineRule="auto"/>
              <w:rPr>
                <w:rFonts w:ascii="Times New Roman" w:hAnsi="Times New Roman"/>
              </w:rPr>
            </w:pPr>
            <w:r w:rsidRPr="009D3D85">
              <w:rPr>
                <w:rFonts w:ascii="Times New Roman" w:hAnsi="Times New Roman"/>
              </w:rPr>
              <w:t> </w:t>
            </w:r>
          </w:p>
        </w:tc>
      </w:tr>
      <w:tr>
        <w:tblPrEx>
          <w:tblW w:w="9248" w:type="dxa"/>
          <w:tblCellMar>
            <w:left w:w="70" w:type="dxa"/>
            <w:right w:w="70" w:type="dxa"/>
          </w:tblCellMar>
        </w:tblPrEx>
        <w:trPr>
          <w:trHeight w:val="251"/>
        </w:trPr>
        <w:tc>
          <w:tcPr>
            <w:tcW w:w="4231" w:type="dxa"/>
            <w:tcBorders>
              <w:top w:val="nil"/>
              <w:left w:val="single" w:sz="4" w:space="0" w:color="auto"/>
              <w:bottom w:val="single" w:sz="4" w:space="0" w:color="auto"/>
              <w:right w:val="single" w:sz="4" w:space="0" w:color="auto"/>
            </w:tcBorders>
            <w:textDirection w:val="lrTb"/>
            <w:vAlign w:val="top"/>
          </w:tcPr>
          <w:p w:rsidR="009D3D85" w:rsidRPr="009D3D85" w:rsidP="009D3D85">
            <w:pPr>
              <w:bidi w:val="0"/>
              <w:spacing w:after="0" w:line="240" w:lineRule="auto"/>
              <w:rPr>
                <w:rFonts w:ascii="Times New Roman" w:hAnsi="Times New Roman"/>
              </w:rPr>
            </w:pPr>
            <w:r w:rsidRPr="009D3D85">
              <w:rPr>
                <w:rFonts w:ascii="Times New Roman" w:hAnsi="Times New Roman"/>
              </w:rPr>
              <w:t xml:space="preserve">  Kapitálové transfery (720)</w:t>
            </w:r>
            <w:r w:rsidRPr="009D3D85">
              <w:rPr>
                <w:rFonts w:ascii="Times New Roman" w:hAnsi="Times New Roman"/>
                <w:vertAlign w:val="superscript"/>
              </w:rPr>
              <w:t>2</w:t>
            </w:r>
          </w:p>
        </w:tc>
        <w:tc>
          <w:tcPr>
            <w:tcW w:w="922"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rPr>
            </w:pPr>
          </w:p>
        </w:tc>
        <w:tc>
          <w:tcPr>
            <w:tcW w:w="922"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rPr>
            </w:pPr>
          </w:p>
        </w:tc>
        <w:tc>
          <w:tcPr>
            <w:tcW w:w="922"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rPr>
            </w:pPr>
          </w:p>
        </w:tc>
        <w:tc>
          <w:tcPr>
            <w:tcW w:w="923"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rPr>
            </w:pPr>
          </w:p>
        </w:tc>
        <w:tc>
          <w:tcPr>
            <w:tcW w:w="1328" w:type="dxa"/>
            <w:tcBorders>
              <w:top w:val="nil"/>
              <w:left w:val="nil"/>
              <w:bottom w:val="single" w:sz="4" w:space="0" w:color="auto"/>
              <w:right w:val="single" w:sz="4" w:space="0" w:color="auto"/>
            </w:tcBorders>
            <w:noWrap/>
            <w:textDirection w:val="lrTb"/>
            <w:vAlign w:val="bottom"/>
          </w:tcPr>
          <w:p w:rsidR="009D3D85" w:rsidRPr="009D3D85" w:rsidP="009D3D85">
            <w:pPr>
              <w:bidi w:val="0"/>
              <w:spacing w:after="0" w:line="240" w:lineRule="auto"/>
              <w:rPr>
                <w:rFonts w:ascii="Times New Roman" w:hAnsi="Times New Roman"/>
              </w:rPr>
            </w:pPr>
            <w:r w:rsidRPr="009D3D85">
              <w:rPr>
                <w:rFonts w:ascii="Times New Roman" w:hAnsi="Times New Roman"/>
              </w:rPr>
              <w:t> </w:t>
            </w:r>
          </w:p>
        </w:tc>
      </w:tr>
      <w:tr>
        <w:tblPrEx>
          <w:tblW w:w="9248" w:type="dxa"/>
          <w:tblCellMar>
            <w:left w:w="70" w:type="dxa"/>
            <w:right w:w="70" w:type="dxa"/>
          </w:tblCellMar>
        </w:tblPrEx>
        <w:trPr>
          <w:trHeight w:val="251"/>
        </w:trPr>
        <w:tc>
          <w:tcPr>
            <w:tcW w:w="4231" w:type="dxa"/>
            <w:tcBorders>
              <w:top w:val="nil"/>
              <w:left w:val="single" w:sz="4" w:space="0" w:color="auto"/>
              <w:bottom w:val="single" w:sz="4" w:space="0" w:color="auto"/>
              <w:right w:val="single" w:sz="4" w:space="0" w:color="auto"/>
            </w:tcBorders>
            <w:textDirection w:val="lrTb"/>
            <w:vAlign w:val="top"/>
          </w:tcPr>
          <w:p w:rsidR="009D3D85" w:rsidRPr="009D3D85" w:rsidP="009D3D85">
            <w:pPr>
              <w:bidi w:val="0"/>
              <w:spacing w:after="0" w:line="240" w:lineRule="auto"/>
              <w:rPr>
                <w:rFonts w:ascii="Times New Roman" w:hAnsi="Times New Roman"/>
                <w:b/>
                <w:bCs/>
              </w:rPr>
            </w:pPr>
            <w:r w:rsidRPr="009D3D85">
              <w:rPr>
                <w:rFonts w:ascii="Times New Roman" w:hAnsi="Times New Roman"/>
                <w:b/>
                <w:bCs/>
              </w:rPr>
              <w:t>Výdavky z transakcií s finančnými aktívami a finančnými pasívami (800)</w:t>
            </w:r>
          </w:p>
        </w:tc>
        <w:tc>
          <w:tcPr>
            <w:tcW w:w="922"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b/>
                <w:bCs/>
              </w:rPr>
            </w:pPr>
            <w:r w:rsidRPr="009D3D85">
              <w:rPr>
                <w:rFonts w:ascii="Times New Roman" w:hAnsi="Times New Roman"/>
                <w:b/>
                <w:bCs/>
              </w:rPr>
              <w:t> </w:t>
            </w:r>
          </w:p>
        </w:tc>
        <w:tc>
          <w:tcPr>
            <w:tcW w:w="922"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b/>
                <w:bCs/>
              </w:rPr>
            </w:pPr>
            <w:r w:rsidRPr="009D3D85">
              <w:rPr>
                <w:rFonts w:ascii="Times New Roman" w:hAnsi="Times New Roman"/>
                <w:b/>
                <w:bCs/>
              </w:rPr>
              <w:t> </w:t>
            </w:r>
          </w:p>
        </w:tc>
        <w:tc>
          <w:tcPr>
            <w:tcW w:w="922"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b/>
                <w:bCs/>
              </w:rPr>
            </w:pPr>
            <w:r w:rsidRPr="009D3D85">
              <w:rPr>
                <w:rFonts w:ascii="Times New Roman" w:hAnsi="Times New Roman"/>
                <w:b/>
                <w:bCs/>
              </w:rPr>
              <w:t> </w:t>
            </w:r>
          </w:p>
        </w:tc>
        <w:tc>
          <w:tcPr>
            <w:tcW w:w="923"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b/>
                <w:bCs/>
              </w:rPr>
            </w:pPr>
            <w:r w:rsidRPr="009D3D85">
              <w:rPr>
                <w:rFonts w:ascii="Times New Roman" w:hAnsi="Times New Roman"/>
                <w:b/>
                <w:bCs/>
              </w:rPr>
              <w:t> </w:t>
            </w:r>
          </w:p>
        </w:tc>
        <w:tc>
          <w:tcPr>
            <w:tcW w:w="1328" w:type="dxa"/>
            <w:tcBorders>
              <w:top w:val="nil"/>
              <w:left w:val="nil"/>
              <w:bottom w:val="single" w:sz="4" w:space="0" w:color="auto"/>
              <w:right w:val="single" w:sz="4" w:space="0" w:color="auto"/>
            </w:tcBorders>
            <w:noWrap/>
            <w:textDirection w:val="lrTb"/>
            <w:vAlign w:val="bottom"/>
          </w:tcPr>
          <w:p w:rsidR="009D3D85" w:rsidRPr="009D3D85" w:rsidP="009D3D85">
            <w:pPr>
              <w:bidi w:val="0"/>
              <w:spacing w:after="0" w:line="240" w:lineRule="auto"/>
              <w:rPr>
                <w:rFonts w:ascii="Times New Roman" w:hAnsi="Times New Roman"/>
              </w:rPr>
            </w:pPr>
            <w:r w:rsidRPr="009D3D85">
              <w:rPr>
                <w:rFonts w:ascii="Times New Roman" w:hAnsi="Times New Roman"/>
              </w:rPr>
              <w:t> </w:t>
            </w:r>
          </w:p>
        </w:tc>
      </w:tr>
      <w:tr>
        <w:tblPrEx>
          <w:tblW w:w="9248" w:type="dxa"/>
          <w:tblCellMar>
            <w:left w:w="70" w:type="dxa"/>
            <w:right w:w="70" w:type="dxa"/>
          </w:tblCellMar>
        </w:tblPrEx>
        <w:trPr>
          <w:trHeight w:val="251"/>
        </w:trPr>
        <w:tc>
          <w:tcPr>
            <w:tcW w:w="4231" w:type="dxa"/>
            <w:tcBorders>
              <w:top w:val="nil"/>
              <w:left w:val="single" w:sz="4" w:space="0" w:color="auto"/>
              <w:bottom w:val="none" w:sz="0" w:space="0" w:color="auto"/>
              <w:right w:val="single" w:sz="4" w:space="0" w:color="auto"/>
            </w:tcBorders>
            <w:shd w:val="clear" w:color="auto" w:fill="000000"/>
            <w:textDirection w:val="lrTb"/>
            <w:vAlign w:val="top"/>
          </w:tcPr>
          <w:p w:rsidR="009D3D85" w:rsidRPr="009D3D85" w:rsidP="009D3D85">
            <w:pPr>
              <w:bidi w:val="0"/>
              <w:spacing w:after="0" w:line="240" w:lineRule="auto"/>
              <w:rPr>
                <w:rFonts w:ascii="Times New Roman" w:hAnsi="Times New Roman"/>
                <w:b/>
                <w:bCs/>
                <w:color w:val="FFFFFF"/>
              </w:rPr>
            </w:pPr>
            <w:r w:rsidRPr="009D3D85">
              <w:rPr>
                <w:rFonts w:ascii="Times New Roman" w:hAnsi="Times New Roman"/>
                <w:b/>
                <w:bCs/>
                <w:color w:val="FFFFFF"/>
              </w:rPr>
              <w:t>Dopad na výdavky verejnej správy celkom</w:t>
            </w:r>
          </w:p>
        </w:tc>
        <w:tc>
          <w:tcPr>
            <w:tcW w:w="922" w:type="dxa"/>
            <w:tcBorders>
              <w:top w:val="nil"/>
              <w:left w:val="nil"/>
              <w:bottom w:val="none" w:sz="0" w:space="0" w:color="auto"/>
              <w:right w:val="single" w:sz="4" w:space="0" w:color="auto"/>
            </w:tcBorders>
            <w:shd w:val="clear" w:color="auto" w:fill="000000"/>
            <w:textDirection w:val="lrTb"/>
            <w:vAlign w:val="top"/>
          </w:tcPr>
          <w:p w:rsidR="009D3D85" w:rsidRPr="009D3D85" w:rsidP="009D3D85">
            <w:pPr>
              <w:bidi w:val="0"/>
              <w:spacing w:after="0" w:line="240" w:lineRule="auto"/>
              <w:jc w:val="center"/>
              <w:rPr>
                <w:rFonts w:ascii="Times New Roman" w:hAnsi="Times New Roman"/>
                <w:b/>
                <w:bCs/>
                <w:color w:val="FFFFFF"/>
              </w:rPr>
            </w:pPr>
            <w:r w:rsidRPr="009D3D85">
              <w:rPr>
                <w:rFonts w:ascii="Times New Roman" w:hAnsi="Times New Roman"/>
                <w:b/>
                <w:bCs/>
                <w:color w:val="FFFFFF"/>
              </w:rPr>
              <w:t>546 000</w:t>
            </w:r>
          </w:p>
        </w:tc>
        <w:tc>
          <w:tcPr>
            <w:tcW w:w="922" w:type="dxa"/>
            <w:tcBorders>
              <w:top w:val="nil"/>
              <w:left w:val="nil"/>
              <w:bottom w:val="none" w:sz="0" w:space="0" w:color="auto"/>
              <w:right w:val="single" w:sz="4" w:space="0" w:color="auto"/>
            </w:tcBorders>
            <w:shd w:val="clear" w:color="auto" w:fill="000000"/>
            <w:textDirection w:val="lrTb"/>
            <w:vAlign w:val="top"/>
          </w:tcPr>
          <w:p w:rsidR="009D3D85" w:rsidRPr="009D3D85" w:rsidP="009D3D85">
            <w:pPr>
              <w:bidi w:val="0"/>
              <w:spacing w:after="0" w:line="240" w:lineRule="auto"/>
              <w:jc w:val="center"/>
              <w:rPr>
                <w:rFonts w:ascii="Times New Roman" w:hAnsi="Times New Roman"/>
                <w:b/>
                <w:bCs/>
                <w:color w:val="FFFFFF"/>
              </w:rPr>
            </w:pPr>
            <w:r w:rsidRPr="009D3D85">
              <w:rPr>
                <w:rFonts w:ascii="Times New Roman" w:hAnsi="Times New Roman"/>
                <w:b/>
                <w:bCs/>
                <w:color w:val="FFFFFF"/>
              </w:rPr>
              <w:t>0</w:t>
            </w:r>
          </w:p>
        </w:tc>
        <w:tc>
          <w:tcPr>
            <w:tcW w:w="922" w:type="dxa"/>
            <w:tcBorders>
              <w:top w:val="nil"/>
              <w:left w:val="nil"/>
              <w:bottom w:val="none" w:sz="0" w:space="0" w:color="auto"/>
              <w:right w:val="single" w:sz="4" w:space="0" w:color="auto"/>
            </w:tcBorders>
            <w:shd w:val="clear" w:color="auto" w:fill="000000"/>
            <w:textDirection w:val="lrTb"/>
            <w:vAlign w:val="top"/>
          </w:tcPr>
          <w:p w:rsidR="009D3D85" w:rsidRPr="009D3D85" w:rsidP="009D3D85">
            <w:pPr>
              <w:bidi w:val="0"/>
              <w:spacing w:after="0" w:line="240" w:lineRule="auto"/>
              <w:jc w:val="center"/>
              <w:rPr>
                <w:rFonts w:ascii="Times New Roman" w:hAnsi="Times New Roman"/>
                <w:b/>
                <w:bCs/>
                <w:color w:val="FFFFFF"/>
              </w:rPr>
            </w:pPr>
            <w:r w:rsidRPr="009D3D85">
              <w:rPr>
                <w:rFonts w:ascii="Times New Roman" w:hAnsi="Times New Roman"/>
                <w:b/>
                <w:bCs/>
                <w:color w:val="FFFFFF"/>
              </w:rPr>
              <w:t>0</w:t>
            </w:r>
          </w:p>
        </w:tc>
        <w:tc>
          <w:tcPr>
            <w:tcW w:w="923" w:type="dxa"/>
            <w:tcBorders>
              <w:top w:val="nil"/>
              <w:left w:val="nil"/>
              <w:bottom w:val="none" w:sz="0" w:space="0" w:color="auto"/>
              <w:right w:val="single" w:sz="4" w:space="0" w:color="auto"/>
            </w:tcBorders>
            <w:shd w:val="clear" w:color="auto" w:fill="000000"/>
            <w:textDirection w:val="lrTb"/>
            <w:vAlign w:val="top"/>
          </w:tcPr>
          <w:p w:rsidR="009D3D85" w:rsidRPr="009D3D85" w:rsidP="009D3D85">
            <w:pPr>
              <w:bidi w:val="0"/>
              <w:spacing w:after="0" w:line="240" w:lineRule="auto"/>
              <w:jc w:val="center"/>
              <w:rPr>
                <w:rFonts w:ascii="Times New Roman" w:hAnsi="Times New Roman"/>
                <w:b/>
                <w:bCs/>
                <w:color w:val="FFFFFF"/>
              </w:rPr>
            </w:pPr>
            <w:r w:rsidRPr="009D3D85">
              <w:rPr>
                <w:rFonts w:ascii="Times New Roman" w:hAnsi="Times New Roman"/>
                <w:b/>
                <w:bCs/>
                <w:color w:val="FFFFFF"/>
              </w:rPr>
              <w:t>0</w:t>
            </w:r>
          </w:p>
        </w:tc>
        <w:tc>
          <w:tcPr>
            <w:tcW w:w="1328" w:type="dxa"/>
            <w:tcBorders>
              <w:top w:val="nil"/>
              <w:left w:val="nil"/>
              <w:bottom w:val="none" w:sz="0" w:space="0" w:color="auto"/>
              <w:right w:val="single" w:sz="4" w:space="0" w:color="auto"/>
            </w:tcBorders>
            <w:shd w:val="clear" w:color="auto" w:fill="000000"/>
            <w:noWrap/>
            <w:textDirection w:val="lrTb"/>
            <w:vAlign w:val="bottom"/>
          </w:tcPr>
          <w:p w:rsidR="009D3D85" w:rsidRPr="009D3D85" w:rsidP="009D3D85">
            <w:pPr>
              <w:bidi w:val="0"/>
              <w:spacing w:after="0" w:line="240" w:lineRule="auto"/>
              <w:rPr>
                <w:rFonts w:ascii="Times New Roman" w:hAnsi="Times New Roman"/>
                <w:color w:val="FFFFFF"/>
              </w:rPr>
            </w:pPr>
            <w:r w:rsidRPr="009D3D85">
              <w:rPr>
                <w:rFonts w:ascii="Times New Roman" w:hAnsi="Times New Roman"/>
                <w:color w:val="FFFFFF"/>
              </w:rPr>
              <w:t> </w:t>
            </w:r>
          </w:p>
        </w:tc>
      </w:tr>
      <w:tr>
        <w:tblPrEx>
          <w:tblW w:w="9248" w:type="dxa"/>
          <w:tblCellMar>
            <w:left w:w="70" w:type="dxa"/>
            <w:right w:w="70" w:type="dxa"/>
          </w:tblCellMar>
        </w:tblPrEx>
        <w:trPr>
          <w:trHeight w:val="251"/>
        </w:trPr>
        <w:tc>
          <w:tcPr>
            <w:tcW w:w="4231" w:type="dxa"/>
            <w:tcBorders>
              <w:top w:val="nil"/>
              <w:left w:val="single" w:sz="4" w:space="0" w:color="auto"/>
              <w:bottom w:val="single" w:sz="4" w:space="0" w:color="auto"/>
              <w:right w:val="single" w:sz="4" w:space="0" w:color="auto"/>
            </w:tcBorders>
            <w:textDirection w:val="lrTb"/>
            <w:vAlign w:val="top"/>
          </w:tcPr>
          <w:p w:rsidR="009D3D85" w:rsidRPr="009D3D85" w:rsidP="009D3D85">
            <w:pPr>
              <w:bidi w:val="0"/>
              <w:spacing w:after="0" w:line="240" w:lineRule="auto"/>
              <w:rPr>
                <w:rFonts w:ascii="Times New Roman" w:hAnsi="Times New Roman"/>
                <w:b/>
                <w:bCs/>
              </w:rPr>
            </w:pPr>
            <w:r w:rsidRPr="009D3D85">
              <w:rPr>
                <w:rFonts w:ascii="Times New Roman" w:hAnsi="Times New Roman"/>
                <w:b/>
                <w:bCs/>
              </w:rPr>
              <w:t xml:space="preserve">  z toho výdavky na ŠR</w:t>
            </w:r>
          </w:p>
        </w:tc>
        <w:tc>
          <w:tcPr>
            <w:tcW w:w="922"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b/>
                <w:bCs/>
              </w:rPr>
            </w:pPr>
          </w:p>
        </w:tc>
        <w:tc>
          <w:tcPr>
            <w:tcW w:w="922"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b/>
                <w:bCs/>
              </w:rPr>
            </w:pPr>
          </w:p>
        </w:tc>
        <w:tc>
          <w:tcPr>
            <w:tcW w:w="922"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b/>
                <w:bCs/>
              </w:rPr>
            </w:pPr>
          </w:p>
        </w:tc>
        <w:tc>
          <w:tcPr>
            <w:tcW w:w="923"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b/>
                <w:bCs/>
              </w:rPr>
            </w:pPr>
          </w:p>
        </w:tc>
        <w:tc>
          <w:tcPr>
            <w:tcW w:w="1328" w:type="dxa"/>
            <w:tcBorders>
              <w:top w:val="nil"/>
              <w:left w:val="nil"/>
              <w:bottom w:val="single" w:sz="4" w:space="0" w:color="auto"/>
              <w:right w:val="single" w:sz="4" w:space="0" w:color="auto"/>
            </w:tcBorders>
            <w:noWrap/>
            <w:textDirection w:val="lrTb"/>
            <w:vAlign w:val="bottom"/>
          </w:tcPr>
          <w:p w:rsidR="009D3D85" w:rsidRPr="009D3D85" w:rsidP="009D3D85">
            <w:pPr>
              <w:bidi w:val="0"/>
              <w:spacing w:after="0" w:line="240" w:lineRule="auto"/>
              <w:rPr>
                <w:rFonts w:ascii="Times New Roman" w:hAnsi="Times New Roman"/>
              </w:rPr>
            </w:pPr>
          </w:p>
        </w:tc>
      </w:tr>
      <w:tr>
        <w:tblPrEx>
          <w:tblW w:w="9248" w:type="dxa"/>
          <w:tblCellMar>
            <w:left w:w="70" w:type="dxa"/>
            <w:right w:w="70" w:type="dxa"/>
          </w:tblCellMar>
        </w:tblPrEx>
        <w:trPr>
          <w:trHeight w:val="251"/>
        </w:trPr>
        <w:tc>
          <w:tcPr>
            <w:tcW w:w="4231" w:type="dxa"/>
            <w:tcBorders>
              <w:top w:val="single" w:sz="4" w:space="0" w:color="auto"/>
              <w:left w:val="single" w:sz="4" w:space="0" w:color="auto"/>
              <w:bottom w:val="single" w:sz="4" w:space="0" w:color="auto"/>
              <w:right w:val="single" w:sz="4" w:space="0" w:color="auto"/>
            </w:tcBorders>
            <w:textDirection w:val="lrTb"/>
            <w:vAlign w:val="top"/>
          </w:tcPr>
          <w:p w:rsidR="009D3D85" w:rsidRPr="009D3D85" w:rsidP="009D3D85">
            <w:pPr>
              <w:bidi w:val="0"/>
              <w:spacing w:after="0" w:line="240" w:lineRule="auto"/>
              <w:rPr>
                <w:rFonts w:ascii="Times New Roman" w:hAnsi="Times New Roman"/>
                <w:b/>
                <w:bCs/>
              </w:rPr>
            </w:pPr>
            <w:r w:rsidRPr="009D3D85">
              <w:rPr>
                <w:rFonts w:ascii="Times New Roman" w:hAnsi="Times New Roman"/>
                <w:bCs/>
              </w:rPr>
              <w:t xml:space="preserve">        Bežné výdavky</w:t>
            </w:r>
            <w:r w:rsidRPr="009D3D85">
              <w:rPr>
                <w:rFonts w:ascii="Times New Roman" w:hAnsi="Times New Roman"/>
                <w:b/>
                <w:bCs/>
              </w:rPr>
              <w:t xml:space="preserve"> </w:t>
            </w:r>
            <w:r w:rsidRPr="009D3D85">
              <w:rPr>
                <w:rFonts w:ascii="Times New Roman" w:hAnsi="Times New Roman"/>
                <w:bCs/>
              </w:rPr>
              <w:t>(600)</w:t>
            </w:r>
            <w:r w:rsidRPr="009D3D85">
              <w:rPr>
                <w:rFonts w:ascii="Times New Roman" w:hAnsi="Times New Roman"/>
                <w:b/>
                <w:bCs/>
              </w:rPr>
              <w:t xml:space="preserve"> </w:t>
            </w:r>
          </w:p>
        </w:tc>
        <w:tc>
          <w:tcPr>
            <w:tcW w:w="922" w:type="dxa"/>
            <w:tcBorders>
              <w:top w:val="single" w:sz="4" w:space="0" w:color="auto"/>
              <w:left w:val="nil"/>
              <w:bottom w:val="single" w:sz="4" w:space="0" w:color="auto"/>
              <w:right w:val="single" w:sz="4" w:space="0" w:color="auto"/>
            </w:tcBorders>
            <w:textDirection w:val="lrTb"/>
            <w:vAlign w:val="bottom"/>
          </w:tcPr>
          <w:p w:rsidR="009D3D85" w:rsidRPr="009D3D85" w:rsidP="009D3D85">
            <w:pPr>
              <w:bidi w:val="0"/>
              <w:spacing w:after="0" w:line="240" w:lineRule="auto"/>
              <w:jc w:val="center"/>
              <w:rPr>
                <w:rFonts w:ascii="Times New Roman" w:hAnsi="Times New Roman"/>
                <w:b/>
                <w:bCs/>
                <w:iCs/>
                <w:color w:val="000000"/>
              </w:rPr>
            </w:pPr>
            <w:r w:rsidRPr="009D3D85">
              <w:rPr>
                <w:rFonts w:ascii="Times New Roman" w:hAnsi="Times New Roman"/>
                <w:b/>
              </w:rPr>
              <w:t>0</w:t>
            </w:r>
          </w:p>
        </w:tc>
        <w:tc>
          <w:tcPr>
            <w:tcW w:w="922" w:type="dxa"/>
            <w:tcBorders>
              <w:top w:val="single" w:sz="4" w:space="0" w:color="auto"/>
              <w:left w:val="nil"/>
              <w:bottom w:val="single" w:sz="4" w:space="0" w:color="auto"/>
              <w:right w:val="single" w:sz="4" w:space="0" w:color="auto"/>
            </w:tcBorders>
            <w:textDirection w:val="lrTb"/>
            <w:vAlign w:val="bottom"/>
          </w:tcPr>
          <w:p w:rsidR="009D3D85" w:rsidRPr="009D3D85" w:rsidP="009D3D85">
            <w:pPr>
              <w:bidi w:val="0"/>
              <w:spacing w:after="0" w:line="240" w:lineRule="auto"/>
              <w:jc w:val="center"/>
              <w:rPr>
                <w:rFonts w:ascii="Times New Roman" w:hAnsi="Times New Roman"/>
                <w:b/>
                <w:bCs/>
                <w:iCs/>
                <w:color w:val="000000"/>
              </w:rPr>
            </w:pPr>
            <w:r w:rsidRPr="009D3D85">
              <w:rPr>
                <w:rFonts w:ascii="Times New Roman" w:hAnsi="Times New Roman"/>
                <w:b/>
                <w:bCs/>
                <w:iCs/>
                <w:color w:val="000000"/>
              </w:rPr>
              <w:t>0</w:t>
            </w:r>
          </w:p>
        </w:tc>
        <w:tc>
          <w:tcPr>
            <w:tcW w:w="922" w:type="dxa"/>
            <w:tcBorders>
              <w:top w:val="single" w:sz="4" w:space="0" w:color="auto"/>
              <w:left w:val="nil"/>
              <w:bottom w:val="single" w:sz="4" w:space="0" w:color="auto"/>
              <w:right w:val="single" w:sz="4" w:space="0" w:color="auto"/>
            </w:tcBorders>
            <w:textDirection w:val="lrTb"/>
            <w:vAlign w:val="bottom"/>
          </w:tcPr>
          <w:p w:rsidR="009D3D85" w:rsidRPr="009D3D85" w:rsidP="009D3D85">
            <w:pPr>
              <w:bidi w:val="0"/>
              <w:spacing w:after="0" w:line="240" w:lineRule="auto"/>
              <w:jc w:val="center"/>
              <w:rPr>
                <w:rFonts w:ascii="Times New Roman" w:hAnsi="Times New Roman"/>
                <w:b/>
                <w:bCs/>
                <w:iCs/>
                <w:color w:val="000000"/>
              </w:rPr>
            </w:pPr>
            <w:r w:rsidRPr="009D3D85">
              <w:rPr>
                <w:rFonts w:ascii="Times New Roman" w:hAnsi="Times New Roman"/>
                <w:b/>
                <w:bCs/>
                <w:iCs/>
                <w:color w:val="000000"/>
              </w:rPr>
              <w:t>0</w:t>
            </w:r>
          </w:p>
        </w:tc>
        <w:tc>
          <w:tcPr>
            <w:tcW w:w="923" w:type="dxa"/>
            <w:tcBorders>
              <w:top w:val="single" w:sz="4" w:space="0" w:color="auto"/>
              <w:left w:val="nil"/>
              <w:bottom w:val="single" w:sz="4" w:space="0" w:color="auto"/>
              <w:right w:val="single" w:sz="4" w:space="0" w:color="auto"/>
            </w:tcBorders>
            <w:textDirection w:val="lrTb"/>
            <w:vAlign w:val="bottom"/>
          </w:tcPr>
          <w:p w:rsidR="009D3D85" w:rsidRPr="009D3D85" w:rsidP="009D3D85">
            <w:pPr>
              <w:bidi w:val="0"/>
              <w:spacing w:after="0" w:line="240" w:lineRule="auto"/>
              <w:jc w:val="center"/>
              <w:rPr>
                <w:rFonts w:ascii="Times New Roman" w:hAnsi="Times New Roman"/>
                <w:b/>
                <w:bCs/>
                <w:iCs/>
                <w:color w:val="000000"/>
              </w:rPr>
            </w:pPr>
            <w:r w:rsidRPr="009D3D85">
              <w:rPr>
                <w:rFonts w:ascii="Times New Roman" w:hAnsi="Times New Roman"/>
                <w:b/>
              </w:rPr>
              <w:t>0</w:t>
            </w:r>
          </w:p>
        </w:tc>
        <w:tc>
          <w:tcPr>
            <w:tcW w:w="1328" w:type="dxa"/>
            <w:tcBorders>
              <w:top w:val="single" w:sz="4" w:space="0" w:color="auto"/>
              <w:left w:val="nil"/>
              <w:bottom w:val="single" w:sz="4" w:space="0" w:color="auto"/>
              <w:right w:val="single" w:sz="4" w:space="0" w:color="auto"/>
            </w:tcBorders>
            <w:noWrap/>
            <w:textDirection w:val="lrTb"/>
            <w:vAlign w:val="bottom"/>
          </w:tcPr>
          <w:p w:rsidR="009D3D85" w:rsidRPr="009D3D85" w:rsidP="009D3D85">
            <w:pPr>
              <w:bidi w:val="0"/>
              <w:spacing w:after="0" w:line="240" w:lineRule="auto"/>
              <w:rPr>
                <w:rFonts w:ascii="Times New Roman" w:hAnsi="Times New Roman"/>
              </w:rPr>
            </w:pPr>
          </w:p>
        </w:tc>
      </w:tr>
      <w:tr>
        <w:tblPrEx>
          <w:tblW w:w="9248" w:type="dxa"/>
          <w:tblCellMar>
            <w:left w:w="70" w:type="dxa"/>
            <w:right w:w="70" w:type="dxa"/>
          </w:tblCellMar>
        </w:tblPrEx>
        <w:trPr>
          <w:trHeight w:val="251"/>
        </w:trPr>
        <w:tc>
          <w:tcPr>
            <w:tcW w:w="4231" w:type="dxa"/>
            <w:tcBorders>
              <w:top w:val="single" w:sz="4" w:space="0" w:color="auto"/>
              <w:left w:val="single" w:sz="4" w:space="0" w:color="auto"/>
              <w:bottom w:val="single" w:sz="4" w:space="0" w:color="auto"/>
              <w:right w:val="single" w:sz="4" w:space="0" w:color="auto"/>
            </w:tcBorders>
            <w:textDirection w:val="lrTb"/>
            <w:vAlign w:val="top"/>
          </w:tcPr>
          <w:p w:rsidR="009D3D85" w:rsidRPr="009D3D85" w:rsidP="009D3D85">
            <w:pPr>
              <w:bidi w:val="0"/>
              <w:spacing w:after="0" w:line="240" w:lineRule="auto"/>
              <w:rPr>
                <w:rFonts w:ascii="Times New Roman" w:hAnsi="Times New Roman"/>
                <w:b/>
                <w:bCs/>
              </w:rPr>
            </w:pPr>
            <w:r w:rsidRPr="009D3D85">
              <w:rPr>
                <w:rFonts w:ascii="Times New Roman" w:hAnsi="Times New Roman"/>
                <w:b/>
                <w:bCs/>
              </w:rPr>
              <w:t xml:space="preserve">               </w:t>
            </w:r>
            <w:r w:rsidRPr="009D3D85">
              <w:rPr>
                <w:rFonts w:ascii="Times New Roman" w:hAnsi="Times New Roman"/>
              </w:rPr>
              <w:t xml:space="preserve"> Mzdy, platy, služobné príjmy a ostatné osobné vyrovnania (610)</w:t>
            </w:r>
          </w:p>
        </w:tc>
        <w:tc>
          <w:tcPr>
            <w:tcW w:w="922" w:type="dxa"/>
            <w:tcBorders>
              <w:top w:val="single" w:sz="4" w:space="0" w:color="auto"/>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b/>
                <w:bCs/>
              </w:rPr>
            </w:pPr>
          </w:p>
        </w:tc>
        <w:tc>
          <w:tcPr>
            <w:tcW w:w="922" w:type="dxa"/>
            <w:tcBorders>
              <w:top w:val="single" w:sz="4" w:space="0" w:color="auto"/>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b/>
                <w:bCs/>
              </w:rPr>
            </w:pPr>
          </w:p>
        </w:tc>
        <w:tc>
          <w:tcPr>
            <w:tcW w:w="922" w:type="dxa"/>
            <w:tcBorders>
              <w:top w:val="single" w:sz="4" w:space="0" w:color="auto"/>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b/>
                <w:bCs/>
              </w:rPr>
            </w:pPr>
          </w:p>
        </w:tc>
        <w:tc>
          <w:tcPr>
            <w:tcW w:w="923" w:type="dxa"/>
            <w:tcBorders>
              <w:top w:val="single" w:sz="4" w:space="0" w:color="auto"/>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b/>
                <w:bCs/>
              </w:rPr>
            </w:pPr>
          </w:p>
        </w:tc>
        <w:tc>
          <w:tcPr>
            <w:tcW w:w="1328" w:type="dxa"/>
            <w:tcBorders>
              <w:top w:val="single" w:sz="4" w:space="0" w:color="auto"/>
              <w:left w:val="nil"/>
              <w:bottom w:val="single" w:sz="4" w:space="0" w:color="auto"/>
              <w:right w:val="single" w:sz="4" w:space="0" w:color="auto"/>
            </w:tcBorders>
            <w:noWrap/>
            <w:textDirection w:val="lrTb"/>
            <w:vAlign w:val="bottom"/>
          </w:tcPr>
          <w:p w:rsidR="009D3D85" w:rsidRPr="009D3D85" w:rsidP="009D3D85">
            <w:pPr>
              <w:bidi w:val="0"/>
              <w:spacing w:after="0" w:line="240" w:lineRule="auto"/>
              <w:rPr>
                <w:rFonts w:ascii="Times New Roman" w:hAnsi="Times New Roman"/>
              </w:rPr>
            </w:pPr>
          </w:p>
        </w:tc>
      </w:tr>
      <w:tr>
        <w:tblPrEx>
          <w:tblW w:w="9248" w:type="dxa"/>
          <w:tblCellMar>
            <w:left w:w="70" w:type="dxa"/>
            <w:right w:w="70" w:type="dxa"/>
          </w:tblCellMar>
        </w:tblPrEx>
        <w:trPr>
          <w:trHeight w:val="251"/>
        </w:trPr>
        <w:tc>
          <w:tcPr>
            <w:tcW w:w="4231" w:type="dxa"/>
            <w:tcBorders>
              <w:top w:val="single" w:sz="4" w:space="0" w:color="auto"/>
              <w:left w:val="single" w:sz="4" w:space="0" w:color="auto"/>
              <w:bottom w:val="single" w:sz="4" w:space="0" w:color="auto"/>
              <w:right w:val="single" w:sz="4" w:space="0" w:color="auto"/>
            </w:tcBorders>
            <w:textDirection w:val="lrTb"/>
            <w:vAlign w:val="top"/>
          </w:tcPr>
          <w:p w:rsidR="009D3D85" w:rsidRPr="009D3D85" w:rsidP="009D3D85">
            <w:pPr>
              <w:bidi w:val="0"/>
              <w:spacing w:after="0" w:line="240" w:lineRule="auto"/>
              <w:rPr>
                <w:rFonts w:ascii="Times New Roman" w:hAnsi="Times New Roman"/>
                <w:b/>
                <w:bCs/>
              </w:rPr>
            </w:pPr>
            <w:r w:rsidRPr="009D3D85">
              <w:rPr>
                <w:rFonts w:ascii="Times New Roman" w:hAnsi="Times New Roman"/>
                <w:bCs/>
              </w:rPr>
              <w:t xml:space="preserve">        Kapitálové výdavky (700)</w:t>
            </w:r>
          </w:p>
        </w:tc>
        <w:tc>
          <w:tcPr>
            <w:tcW w:w="922" w:type="dxa"/>
            <w:tcBorders>
              <w:top w:val="single" w:sz="4" w:space="0" w:color="auto"/>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b/>
                <w:bCs/>
              </w:rPr>
            </w:pPr>
          </w:p>
        </w:tc>
        <w:tc>
          <w:tcPr>
            <w:tcW w:w="922" w:type="dxa"/>
            <w:tcBorders>
              <w:top w:val="single" w:sz="4" w:space="0" w:color="auto"/>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b/>
                <w:bCs/>
              </w:rPr>
            </w:pPr>
          </w:p>
        </w:tc>
        <w:tc>
          <w:tcPr>
            <w:tcW w:w="922" w:type="dxa"/>
            <w:tcBorders>
              <w:top w:val="single" w:sz="4" w:space="0" w:color="auto"/>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b/>
                <w:bCs/>
              </w:rPr>
            </w:pPr>
          </w:p>
        </w:tc>
        <w:tc>
          <w:tcPr>
            <w:tcW w:w="923" w:type="dxa"/>
            <w:tcBorders>
              <w:top w:val="single" w:sz="4" w:space="0" w:color="auto"/>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b/>
                <w:bCs/>
              </w:rPr>
            </w:pPr>
          </w:p>
        </w:tc>
        <w:tc>
          <w:tcPr>
            <w:tcW w:w="1328" w:type="dxa"/>
            <w:tcBorders>
              <w:top w:val="single" w:sz="4" w:space="0" w:color="auto"/>
              <w:left w:val="nil"/>
              <w:bottom w:val="single" w:sz="4" w:space="0" w:color="auto"/>
              <w:right w:val="single" w:sz="4" w:space="0" w:color="auto"/>
            </w:tcBorders>
            <w:noWrap/>
            <w:textDirection w:val="lrTb"/>
            <w:vAlign w:val="bottom"/>
          </w:tcPr>
          <w:p w:rsidR="009D3D85" w:rsidRPr="009D3D85" w:rsidP="009D3D85">
            <w:pPr>
              <w:bidi w:val="0"/>
              <w:spacing w:after="0" w:line="240" w:lineRule="auto"/>
              <w:rPr>
                <w:rFonts w:ascii="Times New Roman" w:hAnsi="Times New Roman"/>
              </w:rPr>
            </w:pPr>
          </w:p>
        </w:tc>
      </w:tr>
      <w:tr>
        <w:tblPrEx>
          <w:tblW w:w="9248" w:type="dxa"/>
          <w:tblCellMar>
            <w:left w:w="70" w:type="dxa"/>
            <w:right w:w="70" w:type="dxa"/>
          </w:tblCellMar>
        </w:tblPrEx>
        <w:trPr>
          <w:trHeight w:val="251"/>
        </w:trPr>
        <w:tc>
          <w:tcPr>
            <w:tcW w:w="4231" w:type="dxa"/>
            <w:tcBorders>
              <w:top w:val="single" w:sz="4" w:space="0" w:color="auto"/>
              <w:left w:val="single" w:sz="4" w:space="0" w:color="auto"/>
              <w:bottom w:val="single" w:sz="4" w:space="0" w:color="auto"/>
              <w:right w:val="single" w:sz="4" w:space="0" w:color="auto"/>
            </w:tcBorders>
            <w:textDirection w:val="lrTb"/>
            <w:vAlign w:val="top"/>
          </w:tcPr>
          <w:p w:rsidR="009D3D85" w:rsidRPr="009D3D85" w:rsidP="009D3D85">
            <w:pPr>
              <w:bidi w:val="0"/>
              <w:spacing w:after="0" w:line="240" w:lineRule="auto"/>
              <w:rPr>
                <w:rFonts w:ascii="Times New Roman" w:hAnsi="Times New Roman"/>
                <w:bCs/>
              </w:rPr>
            </w:pPr>
            <w:r w:rsidRPr="009D3D85">
              <w:rPr>
                <w:rFonts w:ascii="Times New Roman" w:hAnsi="Times New Roman"/>
                <w:bCs/>
              </w:rPr>
              <w:t xml:space="preserve">        Výdavky z transakcií s finančnými aktívami a finančnými pasívami (800)</w:t>
            </w:r>
          </w:p>
        </w:tc>
        <w:tc>
          <w:tcPr>
            <w:tcW w:w="922" w:type="dxa"/>
            <w:tcBorders>
              <w:top w:val="single" w:sz="4" w:space="0" w:color="auto"/>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b/>
                <w:bCs/>
              </w:rPr>
            </w:pPr>
          </w:p>
        </w:tc>
        <w:tc>
          <w:tcPr>
            <w:tcW w:w="922" w:type="dxa"/>
            <w:tcBorders>
              <w:top w:val="single" w:sz="4" w:space="0" w:color="auto"/>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b/>
                <w:bCs/>
              </w:rPr>
            </w:pPr>
          </w:p>
        </w:tc>
        <w:tc>
          <w:tcPr>
            <w:tcW w:w="922" w:type="dxa"/>
            <w:tcBorders>
              <w:top w:val="single" w:sz="4" w:space="0" w:color="auto"/>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b/>
                <w:bCs/>
              </w:rPr>
            </w:pPr>
          </w:p>
        </w:tc>
        <w:tc>
          <w:tcPr>
            <w:tcW w:w="923" w:type="dxa"/>
            <w:tcBorders>
              <w:top w:val="single" w:sz="4" w:space="0" w:color="auto"/>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b/>
                <w:bCs/>
              </w:rPr>
            </w:pPr>
          </w:p>
        </w:tc>
        <w:tc>
          <w:tcPr>
            <w:tcW w:w="1328" w:type="dxa"/>
            <w:tcBorders>
              <w:top w:val="single" w:sz="4" w:space="0" w:color="auto"/>
              <w:left w:val="nil"/>
              <w:bottom w:val="single" w:sz="4" w:space="0" w:color="auto"/>
              <w:right w:val="single" w:sz="4" w:space="0" w:color="auto"/>
            </w:tcBorders>
            <w:noWrap/>
            <w:textDirection w:val="lrTb"/>
            <w:vAlign w:val="bottom"/>
          </w:tcPr>
          <w:p w:rsidR="009D3D85" w:rsidRPr="009D3D85" w:rsidP="009D3D85">
            <w:pPr>
              <w:bidi w:val="0"/>
              <w:spacing w:after="0" w:line="240" w:lineRule="auto"/>
              <w:rPr>
                <w:rFonts w:ascii="Times New Roman" w:hAnsi="Times New Roman"/>
              </w:rPr>
            </w:pPr>
          </w:p>
        </w:tc>
      </w:tr>
    </w:tbl>
    <w:p w:rsidR="009D3D85" w:rsidRPr="009D3D85" w:rsidP="009D3D85">
      <w:pPr>
        <w:pStyle w:val="BodyText"/>
        <w:tabs>
          <w:tab w:val="num" w:pos="1080"/>
        </w:tabs>
        <w:bidi w:val="0"/>
        <w:rPr>
          <w:rFonts w:ascii="Times New Roman" w:hAnsi="Times New Roman"/>
          <w:b/>
          <w:bCs/>
        </w:rPr>
      </w:pPr>
    </w:p>
    <w:p w:rsidR="009D3D85" w:rsidRPr="009D3D85" w:rsidP="009D3D85">
      <w:pPr>
        <w:pStyle w:val="BodyText"/>
        <w:tabs>
          <w:tab w:val="num" w:pos="1080"/>
        </w:tabs>
        <w:bidi w:val="0"/>
        <w:rPr>
          <w:rFonts w:ascii="Times New Roman" w:hAnsi="Times New Roman"/>
          <w:b/>
          <w:bCs/>
        </w:rPr>
      </w:pPr>
      <w:r w:rsidRPr="009D3D85">
        <w:rPr>
          <w:rFonts w:ascii="Times New Roman" w:hAnsi="Times New Roman"/>
          <w:b/>
          <w:bCs/>
        </w:rPr>
        <w:t xml:space="preserve">2 –  výdavky rozpísať až do položiek platnej ekonomickej klasifikácie </w:t>
      </w:r>
    </w:p>
    <w:p w:rsidR="009D3D85" w:rsidRPr="009D3D85" w:rsidP="009D3D85">
      <w:pPr>
        <w:bidi w:val="0"/>
        <w:ind w:left="6381" w:firstLine="709"/>
        <w:jc w:val="center"/>
        <w:rPr>
          <w:rFonts w:ascii="Times New Roman" w:hAnsi="Times New Roman"/>
          <w:bCs/>
        </w:rPr>
      </w:pPr>
      <w:r w:rsidRPr="009D3D85">
        <w:rPr>
          <w:rFonts w:ascii="Times New Roman" w:hAnsi="Times New Roman"/>
          <w:bCs/>
        </w:rPr>
        <w:t>Tabuľka č. 6</w:t>
      </w:r>
    </w:p>
    <w:tbl>
      <w:tblPr>
        <w:tblStyle w:val="TableNormal"/>
        <w:tblW w:w="9293" w:type="dxa"/>
        <w:tblCellMar>
          <w:left w:w="70" w:type="dxa"/>
          <w:right w:w="70" w:type="dxa"/>
        </w:tblCellMar>
      </w:tblPr>
      <w:tblGrid>
        <w:gridCol w:w="3622"/>
        <w:gridCol w:w="994"/>
        <w:gridCol w:w="1046"/>
        <w:gridCol w:w="1415"/>
        <w:gridCol w:w="1009"/>
        <w:gridCol w:w="1207"/>
      </w:tblGrid>
      <w:tr>
        <w:tblPrEx>
          <w:tblW w:w="9293" w:type="dxa"/>
          <w:tblCellMar>
            <w:left w:w="70" w:type="dxa"/>
            <w:right w:w="70" w:type="dxa"/>
          </w:tblCellMar>
        </w:tblPrEx>
        <w:trPr>
          <w:trHeight w:val="415"/>
        </w:trPr>
        <w:tc>
          <w:tcPr>
            <w:tcW w:w="3622"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9D3D85" w:rsidRPr="009D3D85" w:rsidP="009D3D85">
            <w:pPr>
              <w:bidi w:val="0"/>
              <w:spacing w:after="0" w:line="240" w:lineRule="auto"/>
              <w:jc w:val="center"/>
              <w:rPr>
                <w:rFonts w:ascii="Times New Roman" w:hAnsi="Times New Roman"/>
                <w:b/>
                <w:bCs/>
                <w:color w:val="FFFFFF"/>
              </w:rPr>
            </w:pPr>
            <w:r w:rsidRPr="009D3D85">
              <w:rPr>
                <w:rFonts w:ascii="Times New Roman" w:hAnsi="Times New Roman"/>
                <w:b/>
                <w:bCs/>
                <w:color w:val="FFFFFF"/>
              </w:rPr>
              <w:t>Zamestnanosť</w:t>
            </w:r>
          </w:p>
        </w:tc>
        <w:tc>
          <w:tcPr>
            <w:tcW w:w="4464" w:type="dxa"/>
            <w:gridSpan w:val="4"/>
            <w:tcBorders>
              <w:top w:val="single" w:sz="4" w:space="0" w:color="auto"/>
              <w:left w:val="nil"/>
              <w:bottom w:val="single" w:sz="4" w:space="0" w:color="auto"/>
              <w:right w:val="single" w:sz="4" w:space="0" w:color="auto"/>
            </w:tcBorders>
            <w:shd w:val="clear" w:color="auto" w:fill="000000"/>
            <w:textDirection w:val="lrTb"/>
            <w:vAlign w:val="top"/>
          </w:tcPr>
          <w:p w:rsidR="009D3D85" w:rsidRPr="009D3D85" w:rsidP="009D3D85">
            <w:pPr>
              <w:bidi w:val="0"/>
              <w:spacing w:after="0" w:line="240" w:lineRule="auto"/>
              <w:jc w:val="center"/>
              <w:rPr>
                <w:rFonts w:ascii="Times New Roman" w:hAnsi="Times New Roman"/>
                <w:b/>
                <w:bCs/>
                <w:color w:val="FFFFFF"/>
              </w:rPr>
            </w:pPr>
            <w:r w:rsidRPr="009D3D85">
              <w:rPr>
                <w:rFonts w:ascii="Times New Roman" w:hAnsi="Times New Roman"/>
                <w:b/>
                <w:bCs/>
                <w:color w:val="FFFFFF"/>
              </w:rPr>
              <w:t>Vplyv na rozpočet verejnej správy</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000000"/>
            <w:noWrap/>
            <w:textDirection w:val="lrTb"/>
            <w:vAlign w:val="center"/>
          </w:tcPr>
          <w:p w:rsidR="009D3D85" w:rsidRPr="009D3D85" w:rsidP="009D3D85">
            <w:pPr>
              <w:bidi w:val="0"/>
              <w:spacing w:after="0" w:line="240" w:lineRule="auto"/>
              <w:jc w:val="center"/>
              <w:rPr>
                <w:rFonts w:ascii="Times New Roman" w:hAnsi="Times New Roman"/>
                <w:b/>
                <w:bCs/>
                <w:color w:val="FFFFFF"/>
              </w:rPr>
            </w:pPr>
            <w:r w:rsidRPr="009D3D85">
              <w:rPr>
                <w:rFonts w:ascii="Times New Roman" w:hAnsi="Times New Roman"/>
                <w:b/>
                <w:bCs/>
                <w:color w:val="FFFFFF"/>
              </w:rPr>
              <w:t>poznámka</w:t>
            </w:r>
          </w:p>
        </w:tc>
      </w:tr>
      <w:tr>
        <w:tblPrEx>
          <w:tblW w:w="9293" w:type="dxa"/>
          <w:tblCellMar>
            <w:left w:w="70" w:type="dxa"/>
            <w:right w:w="70" w:type="dxa"/>
          </w:tblCellMar>
        </w:tblPrEx>
        <w:trPr>
          <w:trHeight w:val="415"/>
        </w:trPr>
        <w:tc>
          <w:tcPr>
            <w:tcW w:w="3622" w:type="dxa"/>
            <w:vMerge/>
            <w:tcBorders>
              <w:top w:val="single" w:sz="4" w:space="0" w:color="auto"/>
              <w:left w:val="single" w:sz="4" w:space="0" w:color="auto"/>
              <w:bottom w:val="single" w:sz="4" w:space="0" w:color="auto"/>
              <w:right w:val="single" w:sz="4" w:space="0" w:color="auto"/>
            </w:tcBorders>
            <w:textDirection w:val="lrTb"/>
            <w:vAlign w:val="center"/>
          </w:tcPr>
          <w:p w:rsidR="009D3D85" w:rsidRPr="009D3D85" w:rsidP="009D3D85">
            <w:pPr>
              <w:bidi w:val="0"/>
              <w:spacing w:after="0" w:line="240" w:lineRule="auto"/>
              <w:rPr>
                <w:rFonts w:ascii="Times New Roman" w:hAnsi="Times New Roman"/>
                <w:b/>
                <w:bCs/>
                <w:color w:val="FFFFFF"/>
              </w:rPr>
            </w:pPr>
          </w:p>
        </w:tc>
        <w:tc>
          <w:tcPr>
            <w:tcW w:w="994" w:type="dxa"/>
            <w:tcBorders>
              <w:top w:val="nil"/>
              <w:left w:val="nil"/>
              <w:bottom w:val="single" w:sz="4" w:space="0" w:color="auto"/>
              <w:right w:val="single" w:sz="4" w:space="0" w:color="auto"/>
            </w:tcBorders>
            <w:shd w:val="clear" w:color="auto" w:fill="000000"/>
            <w:textDirection w:val="lrTb"/>
            <w:vAlign w:val="top"/>
          </w:tcPr>
          <w:p w:rsidR="009D3D85" w:rsidRPr="009D3D85" w:rsidP="009D3D85">
            <w:pPr>
              <w:bidi w:val="0"/>
              <w:spacing w:after="0" w:line="240" w:lineRule="auto"/>
              <w:jc w:val="center"/>
              <w:rPr>
                <w:rFonts w:ascii="Times New Roman" w:hAnsi="Times New Roman"/>
                <w:b/>
                <w:bCs/>
                <w:color w:val="FFFFFF"/>
              </w:rPr>
            </w:pPr>
            <w:r w:rsidRPr="009D3D85">
              <w:rPr>
                <w:rFonts w:ascii="Times New Roman" w:hAnsi="Times New Roman"/>
                <w:b/>
                <w:bCs/>
                <w:color w:val="FFFFFF"/>
              </w:rPr>
              <w:t>2013</w:t>
            </w:r>
          </w:p>
        </w:tc>
        <w:tc>
          <w:tcPr>
            <w:tcW w:w="1046" w:type="dxa"/>
            <w:tcBorders>
              <w:top w:val="nil"/>
              <w:left w:val="nil"/>
              <w:bottom w:val="single" w:sz="4" w:space="0" w:color="auto"/>
              <w:right w:val="single" w:sz="4" w:space="0" w:color="auto"/>
            </w:tcBorders>
            <w:shd w:val="clear" w:color="auto" w:fill="000000"/>
            <w:textDirection w:val="lrTb"/>
            <w:vAlign w:val="top"/>
          </w:tcPr>
          <w:p w:rsidR="009D3D85" w:rsidRPr="009D3D85" w:rsidP="009D3D85">
            <w:pPr>
              <w:bidi w:val="0"/>
              <w:spacing w:after="0" w:line="240" w:lineRule="auto"/>
              <w:jc w:val="center"/>
              <w:rPr>
                <w:rFonts w:ascii="Times New Roman" w:hAnsi="Times New Roman"/>
                <w:b/>
                <w:bCs/>
                <w:color w:val="FFFFFF"/>
              </w:rPr>
            </w:pPr>
            <w:r w:rsidRPr="009D3D85">
              <w:rPr>
                <w:rFonts w:ascii="Times New Roman" w:hAnsi="Times New Roman"/>
                <w:b/>
                <w:bCs/>
                <w:color w:val="FFFFFF"/>
              </w:rPr>
              <w:t>2014</w:t>
            </w:r>
          </w:p>
        </w:tc>
        <w:tc>
          <w:tcPr>
            <w:tcW w:w="1415" w:type="dxa"/>
            <w:tcBorders>
              <w:top w:val="nil"/>
              <w:left w:val="nil"/>
              <w:bottom w:val="single" w:sz="4" w:space="0" w:color="auto"/>
              <w:right w:val="single" w:sz="4" w:space="0" w:color="auto"/>
            </w:tcBorders>
            <w:shd w:val="clear" w:color="auto" w:fill="000000"/>
            <w:textDirection w:val="lrTb"/>
            <w:vAlign w:val="top"/>
          </w:tcPr>
          <w:p w:rsidR="009D3D85" w:rsidRPr="009D3D85" w:rsidP="009D3D85">
            <w:pPr>
              <w:bidi w:val="0"/>
              <w:spacing w:after="0" w:line="240" w:lineRule="auto"/>
              <w:jc w:val="center"/>
              <w:rPr>
                <w:rFonts w:ascii="Times New Roman" w:hAnsi="Times New Roman"/>
                <w:b/>
                <w:bCs/>
                <w:color w:val="FFFFFF"/>
              </w:rPr>
            </w:pPr>
            <w:r w:rsidRPr="009D3D85">
              <w:rPr>
                <w:rFonts w:ascii="Times New Roman" w:hAnsi="Times New Roman"/>
                <w:b/>
                <w:bCs/>
                <w:color w:val="FFFFFF"/>
              </w:rPr>
              <w:t>2015</w:t>
            </w:r>
          </w:p>
        </w:tc>
        <w:tc>
          <w:tcPr>
            <w:tcW w:w="1009" w:type="dxa"/>
            <w:tcBorders>
              <w:top w:val="nil"/>
              <w:left w:val="nil"/>
              <w:bottom w:val="single" w:sz="4" w:space="0" w:color="auto"/>
              <w:right w:val="single" w:sz="4" w:space="0" w:color="auto"/>
            </w:tcBorders>
            <w:shd w:val="clear" w:color="auto" w:fill="000000"/>
            <w:textDirection w:val="lrTb"/>
            <w:vAlign w:val="top"/>
          </w:tcPr>
          <w:p w:rsidR="009D3D85" w:rsidRPr="009D3D85" w:rsidP="009D3D85">
            <w:pPr>
              <w:bidi w:val="0"/>
              <w:spacing w:after="0" w:line="240" w:lineRule="auto"/>
              <w:jc w:val="center"/>
              <w:rPr>
                <w:rFonts w:ascii="Times New Roman" w:hAnsi="Times New Roman"/>
                <w:b/>
                <w:bCs/>
                <w:color w:val="FFFFFF"/>
              </w:rPr>
            </w:pPr>
            <w:r w:rsidRPr="009D3D85">
              <w:rPr>
                <w:rFonts w:ascii="Times New Roman" w:hAnsi="Times New Roman"/>
                <w:b/>
                <w:bCs/>
                <w:color w:val="FFFFFF"/>
              </w:rPr>
              <w:t>2016</w:t>
            </w:r>
          </w:p>
        </w:tc>
        <w:tc>
          <w:tcPr>
            <w:tcW w:w="1207" w:type="dxa"/>
            <w:vMerge/>
            <w:tcBorders>
              <w:top w:val="single" w:sz="4" w:space="0" w:color="auto"/>
              <w:left w:val="single" w:sz="4" w:space="0" w:color="auto"/>
              <w:bottom w:val="single" w:sz="4" w:space="0" w:color="auto"/>
              <w:right w:val="single" w:sz="4" w:space="0" w:color="auto"/>
            </w:tcBorders>
            <w:textDirection w:val="lrTb"/>
            <w:vAlign w:val="center"/>
          </w:tcPr>
          <w:p w:rsidR="009D3D85" w:rsidRPr="009D3D85" w:rsidP="009D3D85">
            <w:pPr>
              <w:bidi w:val="0"/>
              <w:spacing w:after="0" w:line="240" w:lineRule="auto"/>
              <w:rPr>
                <w:rFonts w:ascii="Times New Roman" w:hAnsi="Times New Roman"/>
                <w:b/>
                <w:bCs/>
                <w:color w:val="FFFFFF"/>
              </w:rPr>
            </w:pPr>
          </w:p>
        </w:tc>
      </w:tr>
      <w:tr>
        <w:tblPrEx>
          <w:tblW w:w="9293" w:type="dxa"/>
          <w:tblCellMar>
            <w:left w:w="70" w:type="dxa"/>
            <w:right w:w="70" w:type="dxa"/>
          </w:tblCellMar>
        </w:tblPrEx>
        <w:trPr>
          <w:trHeight w:val="415"/>
        </w:trPr>
        <w:tc>
          <w:tcPr>
            <w:tcW w:w="3622" w:type="dxa"/>
            <w:tcBorders>
              <w:top w:val="nil"/>
              <w:left w:val="single" w:sz="4" w:space="0" w:color="auto"/>
              <w:bottom w:val="single" w:sz="4" w:space="0" w:color="auto"/>
              <w:right w:val="single" w:sz="4" w:space="0" w:color="auto"/>
            </w:tcBorders>
            <w:textDirection w:val="lrTb"/>
            <w:vAlign w:val="top"/>
          </w:tcPr>
          <w:p w:rsidR="009D3D85" w:rsidRPr="009D3D85" w:rsidP="009D3D85">
            <w:pPr>
              <w:bidi w:val="0"/>
              <w:spacing w:after="0" w:line="240" w:lineRule="auto"/>
              <w:rPr>
                <w:rFonts w:ascii="Times New Roman" w:hAnsi="Times New Roman"/>
                <w:b/>
                <w:bCs/>
              </w:rPr>
            </w:pPr>
            <w:r w:rsidRPr="009D3D85">
              <w:rPr>
                <w:rFonts w:ascii="Times New Roman" w:hAnsi="Times New Roman"/>
                <w:b/>
                <w:bCs/>
              </w:rPr>
              <w:t>Počet zamestnancov celkom*</w:t>
            </w:r>
          </w:p>
        </w:tc>
        <w:tc>
          <w:tcPr>
            <w:tcW w:w="994"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b/>
                <w:bCs/>
              </w:rPr>
            </w:pPr>
          </w:p>
        </w:tc>
        <w:tc>
          <w:tcPr>
            <w:tcW w:w="1046"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b/>
                <w:bCs/>
              </w:rPr>
            </w:pPr>
          </w:p>
        </w:tc>
        <w:tc>
          <w:tcPr>
            <w:tcW w:w="1415"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b/>
                <w:bCs/>
              </w:rPr>
            </w:pPr>
          </w:p>
        </w:tc>
        <w:tc>
          <w:tcPr>
            <w:tcW w:w="1009"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b/>
                <w:bCs/>
              </w:rPr>
            </w:pPr>
          </w:p>
        </w:tc>
        <w:tc>
          <w:tcPr>
            <w:tcW w:w="1207" w:type="dxa"/>
            <w:tcBorders>
              <w:top w:val="nil"/>
              <w:left w:val="nil"/>
              <w:bottom w:val="single" w:sz="4" w:space="0" w:color="auto"/>
              <w:right w:val="single" w:sz="4" w:space="0" w:color="auto"/>
            </w:tcBorders>
            <w:noWrap/>
            <w:textDirection w:val="lrTb"/>
            <w:vAlign w:val="bottom"/>
          </w:tcPr>
          <w:p w:rsidR="009D3D85" w:rsidRPr="009D3D85" w:rsidP="009D3D85">
            <w:pPr>
              <w:bidi w:val="0"/>
              <w:spacing w:after="0" w:line="240" w:lineRule="auto"/>
              <w:rPr>
                <w:rFonts w:ascii="Times New Roman" w:hAnsi="Times New Roman"/>
              </w:rPr>
            </w:pPr>
            <w:r w:rsidRPr="009D3D85">
              <w:rPr>
                <w:rFonts w:ascii="Times New Roman" w:hAnsi="Times New Roman"/>
              </w:rPr>
              <w:t> </w:t>
            </w:r>
          </w:p>
        </w:tc>
      </w:tr>
      <w:tr>
        <w:tblPrEx>
          <w:tblW w:w="9293" w:type="dxa"/>
          <w:tblCellMar>
            <w:left w:w="70" w:type="dxa"/>
            <w:right w:w="70" w:type="dxa"/>
          </w:tblCellMar>
        </w:tblPrEx>
        <w:trPr>
          <w:trHeight w:val="415"/>
        </w:trPr>
        <w:tc>
          <w:tcPr>
            <w:tcW w:w="3622" w:type="dxa"/>
            <w:tcBorders>
              <w:top w:val="nil"/>
              <w:left w:val="single" w:sz="4" w:space="0" w:color="auto"/>
              <w:bottom w:val="single" w:sz="4" w:space="0" w:color="auto"/>
              <w:right w:val="single" w:sz="4" w:space="0" w:color="auto"/>
            </w:tcBorders>
            <w:textDirection w:val="lrTb"/>
            <w:vAlign w:val="top"/>
          </w:tcPr>
          <w:p w:rsidR="009D3D85" w:rsidRPr="009D3D85" w:rsidP="009D3D85">
            <w:pPr>
              <w:bidi w:val="0"/>
              <w:spacing w:after="0" w:line="240" w:lineRule="auto"/>
              <w:rPr>
                <w:rFonts w:ascii="Times New Roman" w:hAnsi="Times New Roman"/>
                <w:b/>
                <w:bCs/>
              </w:rPr>
            </w:pPr>
            <w:r w:rsidRPr="009D3D85">
              <w:rPr>
                <w:rFonts w:ascii="Times New Roman" w:hAnsi="Times New Roman"/>
                <w:b/>
                <w:bCs/>
              </w:rPr>
              <w:t xml:space="preserve">   z toho vplyv na ŠR</w:t>
            </w:r>
          </w:p>
        </w:tc>
        <w:tc>
          <w:tcPr>
            <w:tcW w:w="994" w:type="dxa"/>
            <w:tcBorders>
              <w:top w:val="single" w:sz="4" w:space="0" w:color="auto"/>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b/>
                <w:bCs/>
              </w:rPr>
            </w:pPr>
          </w:p>
        </w:tc>
        <w:tc>
          <w:tcPr>
            <w:tcW w:w="1046" w:type="dxa"/>
            <w:tcBorders>
              <w:top w:val="single" w:sz="4" w:space="0" w:color="auto"/>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b/>
                <w:bCs/>
              </w:rPr>
            </w:pPr>
          </w:p>
        </w:tc>
        <w:tc>
          <w:tcPr>
            <w:tcW w:w="1415" w:type="dxa"/>
            <w:tcBorders>
              <w:top w:val="single" w:sz="4" w:space="0" w:color="auto"/>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b/>
                <w:bCs/>
              </w:rPr>
            </w:pPr>
          </w:p>
        </w:tc>
        <w:tc>
          <w:tcPr>
            <w:tcW w:w="1009" w:type="dxa"/>
            <w:tcBorders>
              <w:top w:val="single" w:sz="4" w:space="0" w:color="auto"/>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b/>
                <w:bCs/>
              </w:rPr>
            </w:pPr>
          </w:p>
        </w:tc>
        <w:tc>
          <w:tcPr>
            <w:tcW w:w="1207" w:type="dxa"/>
            <w:tcBorders>
              <w:top w:val="nil"/>
              <w:left w:val="nil"/>
              <w:bottom w:val="single" w:sz="4" w:space="0" w:color="auto"/>
              <w:right w:val="single" w:sz="4" w:space="0" w:color="auto"/>
            </w:tcBorders>
            <w:noWrap/>
            <w:textDirection w:val="lrTb"/>
            <w:vAlign w:val="bottom"/>
          </w:tcPr>
          <w:p w:rsidR="009D3D85" w:rsidRPr="009D3D85" w:rsidP="009D3D85">
            <w:pPr>
              <w:bidi w:val="0"/>
              <w:spacing w:after="0" w:line="240" w:lineRule="auto"/>
              <w:rPr>
                <w:rFonts w:ascii="Times New Roman" w:hAnsi="Times New Roman"/>
              </w:rPr>
            </w:pPr>
          </w:p>
        </w:tc>
      </w:tr>
      <w:tr>
        <w:tblPrEx>
          <w:tblW w:w="9293" w:type="dxa"/>
          <w:tblCellMar>
            <w:left w:w="70" w:type="dxa"/>
            <w:right w:w="70" w:type="dxa"/>
          </w:tblCellMar>
        </w:tblPrEx>
        <w:trPr>
          <w:trHeight w:val="415"/>
        </w:trPr>
        <w:tc>
          <w:tcPr>
            <w:tcW w:w="3622" w:type="dxa"/>
            <w:tcBorders>
              <w:top w:val="nil"/>
              <w:left w:val="single" w:sz="4" w:space="0" w:color="auto"/>
              <w:bottom w:val="single" w:sz="4" w:space="0" w:color="auto"/>
              <w:right w:val="single" w:sz="4" w:space="0" w:color="auto"/>
            </w:tcBorders>
            <w:textDirection w:val="lrTb"/>
            <w:vAlign w:val="top"/>
          </w:tcPr>
          <w:p w:rsidR="009D3D85" w:rsidRPr="009D3D85" w:rsidP="009D3D85">
            <w:pPr>
              <w:bidi w:val="0"/>
              <w:spacing w:after="0" w:line="240" w:lineRule="auto"/>
              <w:rPr>
                <w:rFonts w:ascii="Times New Roman" w:hAnsi="Times New Roman"/>
                <w:b/>
                <w:bCs/>
              </w:rPr>
            </w:pPr>
            <w:r w:rsidRPr="009D3D85">
              <w:rPr>
                <w:rFonts w:ascii="Times New Roman" w:hAnsi="Times New Roman"/>
                <w:b/>
                <w:bCs/>
              </w:rPr>
              <w:t>Priemerný mzdový výdavok (v eurách)*</w:t>
            </w:r>
          </w:p>
        </w:tc>
        <w:tc>
          <w:tcPr>
            <w:tcW w:w="994" w:type="dxa"/>
            <w:tcBorders>
              <w:top w:val="single" w:sz="4" w:space="0" w:color="auto"/>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b/>
                <w:bCs/>
              </w:rPr>
            </w:pPr>
          </w:p>
        </w:tc>
        <w:tc>
          <w:tcPr>
            <w:tcW w:w="1046" w:type="dxa"/>
            <w:tcBorders>
              <w:top w:val="single" w:sz="4" w:space="0" w:color="auto"/>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b/>
                <w:bCs/>
              </w:rPr>
            </w:pPr>
          </w:p>
        </w:tc>
        <w:tc>
          <w:tcPr>
            <w:tcW w:w="1415" w:type="dxa"/>
            <w:tcBorders>
              <w:top w:val="single" w:sz="4" w:space="0" w:color="auto"/>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b/>
                <w:bCs/>
              </w:rPr>
            </w:pPr>
          </w:p>
        </w:tc>
        <w:tc>
          <w:tcPr>
            <w:tcW w:w="1009" w:type="dxa"/>
            <w:tcBorders>
              <w:top w:val="single" w:sz="4" w:space="0" w:color="auto"/>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b/>
                <w:bCs/>
              </w:rPr>
            </w:pPr>
          </w:p>
        </w:tc>
        <w:tc>
          <w:tcPr>
            <w:tcW w:w="1207" w:type="dxa"/>
            <w:tcBorders>
              <w:top w:val="nil"/>
              <w:left w:val="nil"/>
              <w:bottom w:val="single" w:sz="4" w:space="0" w:color="auto"/>
              <w:right w:val="single" w:sz="4" w:space="0" w:color="auto"/>
            </w:tcBorders>
            <w:noWrap/>
            <w:textDirection w:val="lrTb"/>
            <w:vAlign w:val="bottom"/>
          </w:tcPr>
          <w:p w:rsidR="009D3D85" w:rsidRPr="009D3D85" w:rsidP="009D3D85">
            <w:pPr>
              <w:bidi w:val="0"/>
              <w:spacing w:after="0" w:line="240" w:lineRule="auto"/>
              <w:rPr>
                <w:rFonts w:ascii="Times New Roman" w:hAnsi="Times New Roman"/>
              </w:rPr>
            </w:pPr>
            <w:r w:rsidRPr="009D3D85">
              <w:rPr>
                <w:rFonts w:ascii="Times New Roman" w:hAnsi="Times New Roman"/>
              </w:rPr>
              <w:t> </w:t>
            </w:r>
          </w:p>
        </w:tc>
      </w:tr>
      <w:tr>
        <w:tblPrEx>
          <w:tblW w:w="9293" w:type="dxa"/>
          <w:tblCellMar>
            <w:left w:w="70" w:type="dxa"/>
            <w:right w:w="70" w:type="dxa"/>
          </w:tblCellMar>
        </w:tblPrEx>
        <w:trPr>
          <w:trHeight w:val="415"/>
        </w:trPr>
        <w:tc>
          <w:tcPr>
            <w:tcW w:w="3622" w:type="dxa"/>
            <w:tcBorders>
              <w:top w:val="nil"/>
              <w:left w:val="single" w:sz="4" w:space="0" w:color="auto"/>
              <w:bottom w:val="single" w:sz="4" w:space="0" w:color="auto"/>
              <w:right w:val="single" w:sz="4" w:space="0" w:color="auto"/>
            </w:tcBorders>
            <w:textDirection w:val="lrTb"/>
            <w:vAlign w:val="top"/>
          </w:tcPr>
          <w:p w:rsidR="009D3D85" w:rsidRPr="009D3D85" w:rsidP="009D3D85">
            <w:pPr>
              <w:bidi w:val="0"/>
              <w:spacing w:after="0" w:line="240" w:lineRule="auto"/>
              <w:rPr>
                <w:rFonts w:ascii="Times New Roman" w:hAnsi="Times New Roman"/>
              </w:rPr>
            </w:pPr>
            <w:r w:rsidRPr="009D3D85">
              <w:rPr>
                <w:rFonts w:ascii="Times New Roman" w:hAnsi="Times New Roman"/>
                <w:b/>
                <w:bCs/>
              </w:rPr>
              <w:t xml:space="preserve">   z toho vplyv na ŠR</w:t>
            </w:r>
          </w:p>
        </w:tc>
        <w:tc>
          <w:tcPr>
            <w:tcW w:w="994" w:type="dxa"/>
            <w:tcBorders>
              <w:top w:val="single" w:sz="4" w:space="0" w:color="auto"/>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rPr>
            </w:pPr>
            <w:r w:rsidRPr="009D3D85">
              <w:rPr>
                <w:rFonts w:ascii="Times New Roman" w:hAnsi="Times New Roman"/>
              </w:rPr>
              <w:t> </w:t>
            </w:r>
          </w:p>
        </w:tc>
        <w:tc>
          <w:tcPr>
            <w:tcW w:w="1046" w:type="dxa"/>
            <w:tcBorders>
              <w:top w:val="single" w:sz="4" w:space="0" w:color="auto"/>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rPr>
            </w:pPr>
            <w:r w:rsidRPr="009D3D85">
              <w:rPr>
                <w:rFonts w:ascii="Times New Roman" w:hAnsi="Times New Roman"/>
              </w:rPr>
              <w:t> </w:t>
            </w:r>
          </w:p>
        </w:tc>
        <w:tc>
          <w:tcPr>
            <w:tcW w:w="1415" w:type="dxa"/>
            <w:tcBorders>
              <w:top w:val="single" w:sz="4" w:space="0" w:color="auto"/>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rPr>
            </w:pPr>
            <w:r w:rsidRPr="009D3D85">
              <w:rPr>
                <w:rFonts w:ascii="Times New Roman" w:hAnsi="Times New Roman"/>
              </w:rPr>
              <w:t> </w:t>
            </w:r>
          </w:p>
        </w:tc>
        <w:tc>
          <w:tcPr>
            <w:tcW w:w="1009" w:type="dxa"/>
            <w:tcBorders>
              <w:top w:val="single" w:sz="4" w:space="0" w:color="auto"/>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rPr>
            </w:pPr>
            <w:r w:rsidRPr="009D3D85">
              <w:rPr>
                <w:rFonts w:ascii="Times New Roman" w:hAnsi="Times New Roman"/>
              </w:rPr>
              <w:t> </w:t>
            </w:r>
          </w:p>
        </w:tc>
        <w:tc>
          <w:tcPr>
            <w:tcW w:w="1207" w:type="dxa"/>
            <w:tcBorders>
              <w:top w:val="nil"/>
              <w:left w:val="nil"/>
              <w:bottom w:val="single" w:sz="4" w:space="0" w:color="auto"/>
              <w:right w:val="single" w:sz="4" w:space="0" w:color="auto"/>
            </w:tcBorders>
            <w:noWrap/>
            <w:textDirection w:val="lrTb"/>
            <w:vAlign w:val="bottom"/>
          </w:tcPr>
          <w:p w:rsidR="009D3D85" w:rsidRPr="009D3D85" w:rsidP="009D3D85">
            <w:pPr>
              <w:bidi w:val="0"/>
              <w:spacing w:after="0" w:line="240" w:lineRule="auto"/>
              <w:rPr>
                <w:rFonts w:ascii="Times New Roman" w:hAnsi="Times New Roman"/>
              </w:rPr>
            </w:pPr>
            <w:r w:rsidRPr="009D3D85">
              <w:rPr>
                <w:rFonts w:ascii="Times New Roman" w:hAnsi="Times New Roman"/>
              </w:rPr>
              <w:t> </w:t>
            </w:r>
          </w:p>
        </w:tc>
      </w:tr>
      <w:tr>
        <w:tblPrEx>
          <w:tblW w:w="9293" w:type="dxa"/>
          <w:tblCellMar>
            <w:left w:w="70" w:type="dxa"/>
            <w:right w:w="70" w:type="dxa"/>
          </w:tblCellMar>
        </w:tblPrEx>
        <w:trPr>
          <w:trHeight w:val="415"/>
        </w:trPr>
        <w:tc>
          <w:tcPr>
            <w:tcW w:w="3622" w:type="dxa"/>
            <w:tcBorders>
              <w:top w:val="nil"/>
              <w:left w:val="single" w:sz="4" w:space="0" w:color="auto"/>
              <w:bottom w:val="single" w:sz="4" w:space="0" w:color="auto"/>
              <w:right w:val="single" w:sz="4" w:space="0" w:color="auto"/>
            </w:tcBorders>
            <w:shd w:val="clear" w:color="auto" w:fill="000000"/>
            <w:textDirection w:val="lrTb"/>
            <w:vAlign w:val="top"/>
          </w:tcPr>
          <w:p w:rsidR="009D3D85" w:rsidRPr="009D3D85" w:rsidP="009D3D85">
            <w:pPr>
              <w:bidi w:val="0"/>
              <w:spacing w:after="0" w:line="240" w:lineRule="auto"/>
              <w:rPr>
                <w:rFonts w:ascii="Times New Roman" w:hAnsi="Times New Roman"/>
                <w:b/>
                <w:bCs/>
                <w:color w:val="FFFFFF"/>
              </w:rPr>
            </w:pPr>
            <w:r w:rsidRPr="009D3D85">
              <w:rPr>
                <w:rFonts w:ascii="Times New Roman" w:hAnsi="Times New Roman"/>
                <w:b/>
                <w:bCs/>
                <w:color w:val="FFFFFF"/>
              </w:rPr>
              <w:t>Osobné výdavky celkom (v eurách)</w:t>
            </w:r>
          </w:p>
        </w:tc>
        <w:tc>
          <w:tcPr>
            <w:tcW w:w="994" w:type="dxa"/>
            <w:tcBorders>
              <w:top w:val="nil"/>
              <w:left w:val="nil"/>
              <w:bottom w:val="single" w:sz="4" w:space="0" w:color="auto"/>
              <w:right w:val="single" w:sz="4" w:space="0" w:color="auto"/>
            </w:tcBorders>
            <w:shd w:val="clear" w:color="auto" w:fill="000000"/>
            <w:textDirection w:val="lrTb"/>
            <w:vAlign w:val="top"/>
          </w:tcPr>
          <w:p w:rsidR="009D3D85" w:rsidRPr="009D3D85" w:rsidP="009D3D85">
            <w:pPr>
              <w:bidi w:val="0"/>
              <w:spacing w:after="0" w:line="240" w:lineRule="auto"/>
              <w:jc w:val="center"/>
              <w:rPr>
                <w:rFonts w:ascii="Times New Roman" w:hAnsi="Times New Roman"/>
                <w:b/>
                <w:bCs/>
                <w:color w:val="FFFFFF"/>
              </w:rPr>
            </w:pPr>
          </w:p>
        </w:tc>
        <w:tc>
          <w:tcPr>
            <w:tcW w:w="1046" w:type="dxa"/>
            <w:tcBorders>
              <w:top w:val="nil"/>
              <w:left w:val="nil"/>
              <w:bottom w:val="single" w:sz="4" w:space="0" w:color="auto"/>
              <w:right w:val="single" w:sz="4" w:space="0" w:color="auto"/>
            </w:tcBorders>
            <w:shd w:val="clear" w:color="auto" w:fill="000000"/>
            <w:textDirection w:val="lrTb"/>
            <w:vAlign w:val="top"/>
          </w:tcPr>
          <w:p w:rsidR="009D3D85" w:rsidRPr="009D3D85" w:rsidP="009D3D85">
            <w:pPr>
              <w:bidi w:val="0"/>
              <w:spacing w:after="0" w:line="240" w:lineRule="auto"/>
              <w:jc w:val="center"/>
              <w:rPr>
                <w:rFonts w:ascii="Times New Roman" w:hAnsi="Times New Roman"/>
                <w:b/>
                <w:bCs/>
                <w:color w:val="FFFFFF"/>
              </w:rPr>
            </w:pPr>
          </w:p>
        </w:tc>
        <w:tc>
          <w:tcPr>
            <w:tcW w:w="1415" w:type="dxa"/>
            <w:tcBorders>
              <w:top w:val="nil"/>
              <w:left w:val="nil"/>
              <w:bottom w:val="single" w:sz="4" w:space="0" w:color="auto"/>
              <w:right w:val="single" w:sz="4" w:space="0" w:color="auto"/>
            </w:tcBorders>
            <w:shd w:val="clear" w:color="auto" w:fill="000000"/>
            <w:textDirection w:val="lrTb"/>
            <w:vAlign w:val="top"/>
          </w:tcPr>
          <w:p w:rsidR="009D3D85" w:rsidRPr="009D3D85" w:rsidP="009D3D85">
            <w:pPr>
              <w:bidi w:val="0"/>
              <w:spacing w:after="0" w:line="240" w:lineRule="auto"/>
              <w:jc w:val="center"/>
              <w:rPr>
                <w:rFonts w:ascii="Times New Roman" w:hAnsi="Times New Roman"/>
                <w:b/>
                <w:bCs/>
                <w:color w:val="FFFFFF"/>
              </w:rPr>
            </w:pPr>
          </w:p>
        </w:tc>
        <w:tc>
          <w:tcPr>
            <w:tcW w:w="1009" w:type="dxa"/>
            <w:tcBorders>
              <w:top w:val="nil"/>
              <w:left w:val="nil"/>
              <w:bottom w:val="single" w:sz="4" w:space="0" w:color="auto"/>
              <w:right w:val="single" w:sz="4" w:space="0" w:color="auto"/>
            </w:tcBorders>
            <w:shd w:val="clear" w:color="auto" w:fill="000000"/>
            <w:textDirection w:val="lrTb"/>
            <w:vAlign w:val="top"/>
          </w:tcPr>
          <w:p w:rsidR="009D3D85" w:rsidRPr="009D3D85" w:rsidP="009D3D85">
            <w:pPr>
              <w:bidi w:val="0"/>
              <w:spacing w:after="0" w:line="240" w:lineRule="auto"/>
              <w:jc w:val="center"/>
              <w:rPr>
                <w:rFonts w:ascii="Times New Roman" w:hAnsi="Times New Roman"/>
                <w:b/>
                <w:bCs/>
                <w:color w:val="FFFFFF"/>
              </w:rPr>
            </w:pPr>
          </w:p>
        </w:tc>
        <w:tc>
          <w:tcPr>
            <w:tcW w:w="1207" w:type="dxa"/>
            <w:tcBorders>
              <w:top w:val="nil"/>
              <w:left w:val="nil"/>
              <w:bottom w:val="single" w:sz="4" w:space="0" w:color="auto"/>
              <w:right w:val="single" w:sz="4" w:space="0" w:color="auto"/>
            </w:tcBorders>
            <w:shd w:val="clear" w:color="auto" w:fill="000000"/>
            <w:noWrap/>
            <w:textDirection w:val="lrTb"/>
            <w:vAlign w:val="bottom"/>
          </w:tcPr>
          <w:p w:rsidR="009D3D85" w:rsidRPr="009D3D85" w:rsidP="009D3D85">
            <w:pPr>
              <w:bidi w:val="0"/>
              <w:spacing w:after="0" w:line="240" w:lineRule="auto"/>
              <w:rPr>
                <w:rFonts w:ascii="Times New Roman" w:hAnsi="Times New Roman"/>
                <w:b/>
                <w:bCs/>
                <w:color w:val="FFFFFF"/>
              </w:rPr>
            </w:pPr>
            <w:r w:rsidRPr="009D3D85">
              <w:rPr>
                <w:rFonts w:ascii="Times New Roman" w:hAnsi="Times New Roman"/>
                <w:b/>
                <w:bCs/>
                <w:color w:val="FFFFFF"/>
              </w:rPr>
              <w:t> </w:t>
            </w:r>
          </w:p>
        </w:tc>
      </w:tr>
      <w:tr>
        <w:tblPrEx>
          <w:tblW w:w="9293" w:type="dxa"/>
          <w:tblCellMar>
            <w:left w:w="70" w:type="dxa"/>
            <w:right w:w="70" w:type="dxa"/>
          </w:tblCellMar>
        </w:tblPrEx>
        <w:trPr>
          <w:trHeight w:val="415"/>
        </w:trPr>
        <w:tc>
          <w:tcPr>
            <w:tcW w:w="3622" w:type="dxa"/>
            <w:tcBorders>
              <w:top w:val="nil"/>
              <w:left w:val="single" w:sz="4" w:space="0" w:color="auto"/>
              <w:bottom w:val="single" w:sz="4" w:space="0" w:color="auto"/>
              <w:right w:val="single" w:sz="4" w:space="0" w:color="auto"/>
            </w:tcBorders>
            <w:textDirection w:val="lrTb"/>
            <w:vAlign w:val="top"/>
          </w:tcPr>
          <w:p w:rsidR="009D3D85" w:rsidRPr="009D3D85" w:rsidP="009D3D85">
            <w:pPr>
              <w:bidi w:val="0"/>
              <w:spacing w:after="0" w:line="240" w:lineRule="auto"/>
              <w:rPr>
                <w:rFonts w:ascii="Times New Roman" w:hAnsi="Times New Roman"/>
                <w:b/>
                <w:bCs/>
              </w:rPr>
            </w:pPr>
            <w:r w:rsidRPr="009D3D85">
              <w:rPr>
                <w:rFonts w:ascii="Times New Roman" w:hAnsi="Times New Roman"/>
                <w:b/>
                <w:bCs/>
              </w:rPr>
              <w:t xml:space="preserve">Mzdy, platy, služobné príjmy a ostatné osobné vyrovnania (610)* </w:t>
            </w:r>
          </w:p>
        </w:tc>
        <w:tc>
          <w:tcPr>
            <w:tcW w:w="994"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b/>
                <w:bCs/>
              </w:rPr>
            </w:pPr>
          </w:p>
        </w:tc>
        <w:tc>
          <w:tcPr>
            <w:tcW w:w="1046"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b/>
                <w:bCs/>
              </w:rPr>
            </w:pPr>
          </w:p>
        </w:tc>
        <w:tc>
          <w:tcPr>
            <w:tcW w:w="1415"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b/>
                <w:bCs/>
              </w:rPr>
            </w:pPr>
          </w:p>
        </w:tc>
        <w:tc>
          <w:tcPr>
            <w:tcW w:w="1009"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b/>
                <w:bCs/>
              </w:rPr>
            </w:pPr>
          </w:p>
        </w:tc>
        <w:tc>
          <w:tcPr>
            <w:tcW w:w="1207" w:type="dxa"/>
            <w:tcBorders>
              <w:top w:val="nil"/>
              <w:left w:val="nil"/>
              <w:bottom w:val="single" w:sz="4" w:space="0" w:color="auto"/>
              <w:right w:val="single" w:sz="4" w:space="0" w:color="auto"/>
            </w:tcBorders>
            <w:noWrap/>
            <w:textDirection w:val="lrTb"/>
            <w:vAlign w:val="bottom"/>
          </w:tcPr>
          <w:p w:rsidR="009D3D85" w:rsidRPr="009D3D85" w:rsidP="009D3D85">
            <w:pPr>
              <w:bidi w:val="0"/>
              <w:spacing w:after="0" w:line="240" w:lineRule="auto"/>
              <w:rPr>
                <w:rFonts w:ascii="Times New Roman" w:hAnsi="Times New Roman"/>
                <w:b/>
                <w:bCs/>
              </w:rPr>
            </w:pPr>
            <w:r w:rsidRPr="009D3D85">
              <w:rPr>
                <w:rFonts w:ascii="Times New Roman" w:hAnsi="Times New Roman"/>
                <w:b/>
                <w:bCs/>
              </w:rPr>
              <w:t> </w:t>
            </w:r>
          </w:p>
        </w:tc>
      </w:tr>
      <w:tr>
        <w:tblPrEx>
          <w:tblW w:w="9293" w:type="dxa"/>
          <w:tblCellMar>
            <w:left w:w="70" w:type="dxa"/>
            <w:right w:w="70" w:type="dxa"/>
          </w:tblCellMar>
        </w:tblPrEx>
        <w:trPr>
          <w:trHeight w:val="415"/>
        </w:trPr>
        <w:tc>
          <w:tcPr>
            <w:tcW w:w="3622" w:type="dxa"/>
            <w:tcBorders>
              <w:top w:val="nil"/>
              <w:left w:val="single" w:sz="4" w:space="0" w:color="auto"/>
              <w:bottom w:val="single" w:sz="4" w:space="0" w:color="auto"/>
              <w:right w:val="single" w:sz="4" w:space="0" w:color="auto"/>
            </w:tcBorders>
            <w:textDirection w:val="lrTb"/>
            <w:vAlign w:val="top"/>
          </w:tcPr>
          <w:p w:rsidR="009D3D85" w:rsidRPr="009D3D85" w:rsidP="009D3D85">
            <w:pPr>
              <w:bidi w:val="0"/>
              <w:spacing w:after="0" w:line="240" w:lineRule="auto"/>
              <w:rPr>
                <w:rFonts w:ascii="Times New Roman" w:hAnsi="Times New Roman"/>
              </w:rPr>
            </w:pPr>
            <w:r w:rsidRPr="009D3D85">
              <w:rPr>
                <w:rFonts w:ascii="Times New Roman" w:hAnsi="Times New Roman"/>
                <w:b/>
                <w:bCs/>
              </w:rPr>
              <w:t xml:space="preserve">   z toho vplyv na ŠR</w:t>
            </w:r>
          </w:p>
        </w:tc>
        <w:tc>
          <w:tcPr>
            <w:tcW w:w="994"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rPr>
            </w:pPr>
          </w:p>
        </w:tc>
        <w:tc>
          <w:tcPr>
            <w:tcW w:w="1046"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rPr>
            </w:pPr>
          </w:p>
        </w:tc>
        <w:tc>
          <w:tcPr>
            <w:tcW w:w="1415"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rPr>
            </w:pPr>
          </w:p>
        </w:tc>
        <w:tc>
          <w:tcPr>
            <w:tcW w:w="1009"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rPr>
            </w:pPr>
          </w:p>
        </w:tc>
        <w:tc>
          <w:tcPr>
            <w:tcW w:w="1207" w:type="dxa"/>
            <w:tcBorders>
              <w:top w:val="nil"/>
              <w:left w:val="nil"/>
              <w:bottom w:val="single" w:sz="4" w:space="0" w:color="auto"/>
              <w:right w:val="single" w:sz="4" w:space="0" w:color="auto"/>
            </w:tcBorders>
            <w:noWrap/>
            <w:textDirection w:val="lrTb"/>
            <w:vAlign w:val="bottom"/>
          </w:tcPr>
          <w:p w:rsidR="009D3D85" w:rsidRPr="009D3D85" w:rsidP="009D3D85">
            <w:pPr>
              <w:bidi w:val="0"/>
              <w:spacing w:after="0" w:line="240" w:lineRule="auto"/>
              <w:rPr>
                <w:rFonts w:ascii="Times New Roman" w:hAnsi="Times New Roman"/>
              </w:rPr>
            </w:pPr>
            <w:r w:rsidRPr="009D3D85">
              <w:rPr>
                <w:rFonts w:ascii="Times New Roman" w:hAnsi="Times New Roman"/>
              </w:rPr>
              <w:t> </w:t>
            </w:r>
          </w:p>
        </w:tc>
      </w:tr>
      <w:tr>
        <w:tblPrEx>
          <w:tblW w:w="9293" w:type="dxa"/>
          <w:tblCellMar>
            <w:left w:w="70" w:type="dxa"/>
            <w:right w:w="70" w:type="dxa"/>
          </w:tblCellMar>
        </w:tblPrEx>
        <w:trPr>
          <w:trHeight w:val="415"/>
        </w:trPr>
        <w:tc>
          <w:tcPr>
            <w:tcW w:w="3622" w:type="dxa"/>
            <w:tcBorders>
              <w:top w:val="nil"/>
              <w:left w:val="single" w:sz="4" w:space="0" w:color="auto"/>
              <w:bottom w:val="single" w:sz="4" w:space="0" w:color="auto"/>
              <w:right w:val="single" w:sz="4" w:space="0" w:color="auto"/>
            </w:tcBorders>
            <w:textDirection w:val="lrTb"/>
            <w:vAlign w:val="top"/>
          </w:tcPr>
          <w:p w:rsidR="009D3D85" w:rsidRPr="009D3D85" w:rsidP="009D3D85">
            <w:pPr>
              <w:bidi w:val="0"/>
              <w:spacing w:after="0" w:line="240" w:lineRule="auto"/>
              <w:rPr>
                <w:rFonts w:ascii="Times New Roman" w:hAnsi="Times New Roman"/>
                <w:b/>
                <w:bCs/>
              </w:rPr>
            </w:pPr>
            <w:r w:rsidRPr="009D3D85">
              <w:rPr>
                <w:rFonts w:ascii="Times New Roman" w:hAnsi="Times New Roman"/>
                <w:b/>
                <w:bCs/>
              </w:rPr>
              <w:t>Poistné a príspevok do poisťovní (620)*</w:t>
            </w:r>
          </w:p>
        </w:tc>
        <w:tc>
          <w:tcPr>
            <w:tcW w:w="994"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b/>
                <w:bCs/>
              </w:rPr>
            </w:pPr>
          </w:p>
        </w:tc>
        <w:tc>
          <w:tcPr>
            <w:tcW w:w="1046"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b/>
                <w:bCs/>
              </w:rPr>
            </w:pPr>
          </w:p>
        </w:tc>
        <w:tc>
          <w:tcPr>
            <w:tcW w:w="1415"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b/>
                <w:bCs/>
              </w:rPr>
            </w:pPr>
          </w:p>
        </w:tc>
        <w:tc>
          <w:tcPr>
            <w:tcW w:w="1009" w:type="dxa"/>
            <w:tcBorders>
              <w:top w:val="nil"/>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b/>
                <w:bCs/>
              </w:rPr>
            </w:pPr>
          </w:p>
        </w:tc>
        <w:tc>
          <w:tcPr>
            <w:tcW w:w="1207" w:type="dxa"/>
            <w:tcBorders>
              <w:top w:val="nil"/>
              <w:left w:val="nil"/>
              <w:bottom w:val="single" w:sz="4" w:space="0" w:color="auto"/>
              <w:right w:val="single" w:sz="4" w:space="0" w:color="auto"/>
            </w:tcBorders>
            <w:noWrap/>
            <w:textDirection w:val="lrTb"/>
            <w:vAlign w:val="bottom"/>
          </w:tcPr>
          <w:p w:rsidR="009D3D85" w:rsidRPr="009D3D85" w:rsidP="009D3D85">
            <w:pPr>
              <w:bidi w:val="0"/>
              <w:spacing w:after="0" w:line="240" w:lineRule="auto"/>
              <w:rPr>
                <w:rFonts w:ascii="Times New Roman" w:hAnsi="Times New Roman"/>
                <w:b/>
                <w:bCs/>
              </w:rPr>
            </w:pPr>
            <w:r w:rsidRPr="009D3D85">
              <w:rPr>
                <w:rFonts w:ascii="Times New Roman" w:hAnsi="Times New Roman"/>
                <w:b/>
                <w:bCs/>
              </w:rPr>
              <w:t> </w:t>
            </w:r>
          </w:p>
        </w:tc>
      </w:tr>
      <w:tr>
        <w:tblPrEx>
          <w:tblW w:w="9293" w:type="dxa"/>
          <w:tblCellMar>
            <w:left w:w="70" w:type="dxa"/>
            <w:right w:w="70" w:type="dxa"/>
          </w:tblCellMar>
        </w:tblPrEx>
        <w:trPr>
          <w:trHeight w:val="415"/>
        </w:trPr>
        <w:tc>
          <w:tcPr>
            <w:tcW w:w="3622" w:type="dxa"/>
            <w:tcBorders>
              <w:top w:val="single" w:sz="4" w:space="0" w:color="auto"/>
              <w:left w:val="single" w:sz="4" w:space="0" w:color="auto"/>
              <w:bottom w:val="single" w:sz="4" w:space="0" w:color="auto"/>
              <w:right w:val="single" w:sz="4" w:space="0" w:color="auto"/>
            </w:tcBorders>
            <w:textDirection w:val="lrTb"/>
            <w:vAlign w:val="top"/>
          </w:tcPr>
          <w:p w:rsidR="009D3D85" w:rsidRPr="009D3D85" w:rsidP="009D3D85">
            <w:pPr>
              <w:bidi w:val="0"/>
              <w:spacing w:after="0" w:line="240" w:lineRule="auto"/>
              <w:rPr>
                <w:rFonts w:ascii="Times New Roman" w:hAnsi="Times New Roman"/>
              </w:rPr>
            </w:pPr>
            <w:r w:rsidRPr="009D3D85">
              <w:rPr>
                <w:rFonts w:ascii="Times New Roman" w:hAnsi="Times New Roman"/>
                <w:b/>
                <w:bCs/>
              </w:rPr>
              <w:t xml:space="preserve">   z toho vplyv na ŠR</w:t>
            </w:r>
          </w:p>
        </w:tc>
        <w:tc>
          <w:tcPr>
            <w:tcW w:w="994" w:type="dxa"/>
            <w:tcBorders>
              <w:top w:val="single" w:sz="4" w:space="0" w:color="auto"/>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rPr>
            </w:pPr>
          </w:p>
        </w:tc>
        <w:tc>
          <w:tcPr>
            <w:tcW w:w="1046" w:type="dxa"/>
            <w:tcBorders>
              <w:top w:val="single" w:sz="4" w:space="0" w:color="auto"/>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rPr>
            </w:pPr>
          </w:p>
        </w:tc>
        <w:tc>
          <w:tcPr>
            <w:tcW w:w="1415" w:type="dxa"/>
            <w:tcBorders>
              <w:top w:val="single" w:sz="4" w:space="0" w:color="auto"/>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rPr>
            </w:pPr>
          </w:p>
        </w:tc>
        <w:tc>
          <w:tcPr>
            <w:tcW w:w="1009" w:type="dxa"/>
            <w:tcBorders>
              <w:top w:val="single" w:sz="4" w:space="0" w:color="auto"/>
              <w:left w:val="nil"/>
              <w:bottom w:val="single" w:sz="4" w:space="0" w:color="auto"/>
              <w:right w:val="single" w:sz="4" w:space="0" w:color="auto"/>
            </w:tcBorders>
            <w:textDirection w:val="lrTb"/>
            <w:vAlign w:val="top"/>
          </w:tcPr>
          <w:p w:rsidR="009D3D85" w:rsidRPr="009D3D85" w:rsidP="009D3D85">
            <w:pPr>
              <w:bidi w:val="0"/>
              <w:spacing w:after="0" w:line="240" w:lineRule="auto"/>
              <w:jc w:val="center"/>
              <w:rPr>
                <w:rFonts w:ascii="Times New Roman" w:hAnsi="Times New Roman"/>
              </w:rPr>
            </w:pPr>
          </w:p>
        </w:tc>
        <w:tc>
          <w:tcPr>
            <w:tcW w:w="1207" w:type="dxa"/>
            <w:tcBorders>
              <w:top w:val="single" w:sz="4" w:space="0" w:color="auto"/>
              <w:left w:val="nil"/>
              <w:bottom w:val="single" w:sz="4" w:space="0" w:color="auto"/>
              <w:right w:val="single" w:sz="4" w:space="0" w:color="auto"/>
            </w:tcBorders>
            <w:noWrap/>
            <w:textDirection w:val="lrTb"/>
            <w:vAlign w:val="bottom"/>
          </w:tcPr>
          <w:p w:rsidR="009D3D85" w:rsidRPr="009D3D85" w:rsidP="009D3D85">
            <w:pPr>
              <w:bidi w:val="0"/>
              <w:spacing w:after="0" w:line="240" w:lineRule="auto"/>
              <w:rPr>
                <w:rFonts w:ascii="Times New Roman" w:hAnsi="Times New Roman"/>
              </w:rPr>
            </w:pPr>
            <w:r w:rsidRPr="009D3D85">
              <w:rPr>
                <w:rFonts w:ascii="Times New Roman" w:hAnsi="Times New Roman"/>
              </w:rPr>
              <w:t> </w:t>
            </w:r>
          </w:p>
        </w:tc>
      </w:tr>
    </w:tbl>
    <w:p w:rsidR="009D3D85" w:rsidRPr="009D3D85" w:rsidP="009D3D85">
      <w:pPr>
        <w:bidi w:val="0"/>
        <w:jc w:val="center"/>
        <w:rPr>
          <w:rFonts w:ascii="Times New Roman" w:hAnsi="Times New Roman"/>
          <w:b/>
          <w:bCs/>
        </w:rPr>
      </w:pPr>
    </w:p>
    <w:p w:rsidR="009D3D85" w:rsidRPr="009D3D85" w:rsidP="009D3D85">
      <w:pPr>
        <w:pStyle w:val="BodyText"/>
        <w:tabs>
          <w:tab w:val="num" w:pos="1080"/>
        </w:tabs>
        <w:bidi w:val="0"/>
        <w:rPr>
          <w:rFonts w:ascii="Times New Roman" w:hAnsi="Times New Roman"/>
          <w:bCs/>
        </w:rPr>
      </w:pPr>
      <w:r w:rsidRPr="009D3D85">
        <w:rPr>
          <w:rFonts w:ascii="Times New Roman" w:hAnsi="Times New Roman"/>
          <w:b/>
          <w:bCs/>
        </w:rPr>
        <w:tab/>
        <w:tab/>
        <w:tab/>
        <w:tab/>
        <w:tab/>
        <w:tab/>
      </w:r>
    </w:p>
    <w:p w:rsidR="009D3D85" w:rsidRPr="009D3D85" w:rsidP="009D3D85">
      <w:pPr>
        <w:bidi w:val="0"/>
        <w:spacing w:after="60"/>
        <w:jc w:val="both"/>
        <w:rPr>
          <w:rFonts w:ascii="Times New Roman" w:hAnsi="Times New Roman"/>
        </w:rPr>
      </w:pPr>
      <w:r w:rsidRPr="009D3D85">
        <w:rPr>
          <w:rFonts w:ascii="Times New Roman" w:hAnsi="Times New Roman"/>
        </w:rPr>
        <w:t xml:space="preserve">Kľúčovým prínosom realizácie rozšírenia registra účtovných závierok je významné zlepšenie dostupnosti a zvýšenie kvality ekonomických a ďalších informácií o komerčných subjektoch a inštitúciách v Slovenskej republike. To je základný predpoklad pre rôzne analýzy potrebné pri posudzovaní jednotlivých subjektov, odvetví a trhu ako celku.  Z makroekonomického pohľadu umožní lepšie pochopiť rôzne vplyvy na ekonomiku a fungovanie spoločnosti. </w:t>
      </w:r>
    </w:p>
    <w:p w:rsidR="009D3D85" w:rsidRPr="009D3D85" w:rsidP="009D3D85">
      <w:pPr>
        <w:bidi w:val="0"/>
        <w:jc w:val="both"/>
        <w:rPr>
          <w:rFonts w:ascii="Times New Roman" w:hAnsi="Times New Roman"/>
        </w:rPr>
      </w:pPr>
      <w:r w:rsidRPr="009D3D85">
        <w:rPr>
          <w:rFonts w:ascii="Times New Roman" w:hAnsi="Times New Roman"/>
        </w:rPr>
        <w:t xml:space="preserve">Verejná správa má príjmy súvisiace so zverejňovaním dokumentov podnikateľských subjektov v Obchodnom vestníku približne vo výške 510 000,- eur ročne. Z globálneho hľadiska minimálne v tejto výške ušetrí suma, ktorú platia podnikateľské subjekty na poplatkoch za zverejňovanie dokumentov. </w:t>
      </w:r>
    </w:p>
    <w:p w:rsidR="009D3D85" w:rsidRPr="009D3D85" w:rsidP="009D3D85">
      <w:pPr>
        <w:bidi w:val="0"/>
        <w:spacing w:before="240"/>
        <w:jc w:val="both"/>
        <w:rPr>
          <w:rFonts w:ascii="Times New Roman" w:hAnsi="Times New Roman"/>
        </w:rPr>
      </w:pPr>
      <w:r w:rsidRPr="009D3D85">
        <w:rPr>
          <w:rFonts w:ascii="Times New Roman" w:hAnsi="Times New Roman"/>
        </w:rPr>
        <w:t>Vstupné investičné náklady verejnej správy budú predstavovať následnú výraznú úsporu rozpočtových nákladov verejnej správy kvôli elektronizácii administratívnych procesov a postupným vytláčaním listinnej komunikácie z administratívneho života, a to úsporou nákladov na nižší počet obslužného personálu, administratívne priestory, archívne kapacity, kancelársky spotrebný materiál a podobne, dôsledkom čoho príde k zrýchleniu administratívnych procesov.</w:t>
      </w:r>
    </w:p>
    <w:p w:rsidR="009D3D85" w:rsidRPr="009D3D85" w:rsidP="009D3D85">
      <w:pPr>
        <w:bidi w:val="0"/>
        <w:jc w:val="both"/>
        <w:rPr>
          <w:rFonts w:ascii="Times New Roman" w:hAnsi="Times New Roman"/>
        </w:rPr>
      </w:pPr>
      <w:r w:rsidRPr="009D3D85">
        <w:rPr>
          <w:rFonts w:ascii="Times New Roman" w:hAnsi="Times New Roman"/>
        </w:rPr>
        <w:t xml:space="preserve">K realizácii niektorých ustanovení návrhu zákona k ukladaniu dokumentov v registri účtovných závierok môžu byť využívané nástroje, ktoré už v súčasnosti slúžia na realizáciu povinností vyplývajúcich z právnych predpisov. Týmito nástrojmi sú napríklad elektronický podpis a elektronická podateľňa, ktoré sú orgány povinné využívať na základe zákona o elektronickom podpise a procesných predpisov upravujúcich výkon ich pôsobnosti. </w:t>
      </w:r>
    </w:p>
    <w:p w:rsidR="009D3D85" w:rsidRPr="009D3D85" w:rsidP="009D3D85">
      <w:pPr>
        <w:bidi w:val="0"/>
        <w:jc w:val="both"/>
        <w:rPr>
          <w:rFonts w:ascii="Times New Roman" w:hAnsi="Times New Roman"/>
        </w:rPr>
      </w:pPr>
    </w:p>
    <w:p w:rsidR="009D3D85" w:rsidRPr="009D3D85" w:rsidP="009D3D85">
      <w:pPr>
        <w:bidi w:val="0"/>
        <w:jc w:val="both"/>
        <w:rPr>
          <w:rFonts w:ascii="Times New Roman" w:hAnsi="Times New Roman"/>
        </w:rPr>
      </w:pPr>
      <w:r w:rsidRPr="009D3D85">
        <w:rPr>
          <w:rFonts w:ascii="Times New Roman" w:hAnsi="Times New Roman"/>
        </w:rPr>
        <w:t xml:space="preserve">Okrem značnej úspory času a zníženia administratívnej náročnosti, dôjde tiež k úspore nákladov práve u podnikateľských subjektov, a tým dôjde aj k zníženiu byrokratickej záťaže spojenej s administratívnymi prekážkami podnikania, čo bude mať pozitívny efekt na kvalitu podnikateľského prostredia v SR. Obdobným spôsobom dôjde k úspore času a nákladov u občanov. Tieto efekty však vzhľadom na vyššie uvedené nie je možné vyčísliť. </w:t>
      </w:r>
    </w:p>
    <w:p w:rsidR="009D3D85" w:rsidRPr="009D3D85" w:rsidP="009D3D85">
      <w:pPr>
        <w:bidi w:val="0"/>
        <w:jc w:val="both"/>
        <w:rPr>
          <w:rFonts w:ascii="Times New Roman" w:hAnsi="Times New Roman"/>
          <w:color w:val="000000"/>
        </w:rPr>
      </w:pPr>
    </w:p>
    <w:p w:rsidR="009D3D85" w:rsidRPr="009D3D85" w:rsidP="009D3D85">
      <w:pPr>
        <w:bidi w:val="0"/>
        <w:jc w:val="both"/>
        <w:rPr>
          <w:rFonts w:ascii="Times New Roman" w:hAnsi="Times New Roman"/>
          <w:color w:val="000000"/>
        </w:rPr>
      </w:pPr>
      <w:r w:rsidRPr="009D3D85">
        <w:rPr>
          <w:rFonts w:ascii="Times New Roman" w:hAnsi="Times New Roman"/>
          <w:color w:val="000000"/>
        </w:rPr>
        <w:t xml:space="preserve">V nadväznosti na návrh projektových zámerov </w:t>
      </w:r>
      <w:bookmarkStart w:id="1" w:name="OLE_LINK2"/>
      <w:r w:rsidRPr="009D3D85">
        <w:rPr>
          <w:rFonts w:ascii="Times New Roman" w:hAnsi="Times New Roman"/>
          <w:color w:val="000000"/>
        </w:rPr>
        <w:t xml:space="preserve">registra účtovných závierok </w:t>
      </w:r>
      <w:bookmarkEnd w:id="1"/>
      <w:r w:rsidRPr="009D3D85">
        <w:rPr>
          <w:rFonts w:ascii="Times New Roman" w:hAnsi="Times New Roman"/>
          <w:color w:val="000000"/>
        </w:rPr>
        <w:t>v roku 2013 bola uzatvorená zmluva o dielo na realizáciu prác v roku 2013, ktorej súčasťou je aj rozpočet projektu. Rozpočtované prostriedky na rozvojové zámery registra účtovných závierok v roku 2013 predstavujú 546 000 eur, ktoré sa budú čerpať postupne v závislosti od čiastkových objednávok na jednotlivé rozvojové zámery, ku ktorým budú vypracovávané čiastkové štúdie realizovateľnosti s uvedením kalkulácie nákladov. Ministerstvo financií SR neeviduje žiadne ďalšie finančne nekryté aktivity, ktoré sú plnené z titulu realizácie projektu (najmä na FS a MS SR).</w:t>
      </w:r>
    </w:p>
    <w:p w:rsidR="009D3D85" w:rsidRPr="009D3D85" w:rsidP="009D3D85">
      <w:pPr>
        <w:bidi w:val="0"/>
        <w:jc w:val="both"/>
        <w:rPr>
          <w:rFonts w:ascii="Times New Roman" w:hAnsi="Times New Roman"/>
          <w:color w:val="000000"/>
        </w:rPr>
      </w:pPr>
    </w:p>
    <w:p w:rsidR="009D3D85" w:rsidRPr="009D3D85" w:rsidP="009D3D85">
      <w:pPr>
        <w:bidi w:val="0"/>
        <w:jc w:val="both"/>
        <w:rPr>
          <w:rFonts w:ascii="Times New Roman" w:hAnsi="Times New Roman"/>
          <w:color w:val="000000"/>
        </w:rPr>
      </w:pPr>
    </w:p>
    <w:p w:rsidR="009D3D85" w:rsidRPr="009D3D85" w:rsidP="009D3D85">
      <w:pPr>
        <w:bidi w:val="0"/>
        <w:jc w:val="both"/>
        <w:rPr>
          <w:rFonts w:ascii="Times New Roman" w:hAnsi="Times New Roman"/>
          <w:color w:val="000000"/>
        </w:rPr>
      </w:pPr>
      <w:r w:rsidRPr="009D3D85">
        <w:rPr>
          <w:rFonts w:ascii="Times New Roman" w:hAnsi="Times New Roman"/>
          <w:color w:val="000000"/>
        </w:rPr>
        <w:tab/>
        <w:tab/>
        <w:tab/>
        <w:tab/>
        <w:tab/>
        <w:tab/>
        <w:tab/>
        <w:tab/>
        <w:tab/>
        <w:tab/>
        <w:tab/>
      </w:r>
    </w:p>
    <w:tbl>
      <w:tblPr>
        <w:tblStyle w:val="TableNormal"/>
        <w:tblW w:w="9195" w:type="dxa"/>
        <w:tblInd w:w="55" w:type="dxa"/>
        <w:tblCellMar>
          <w:left w:w="70" w:type="dxa"/>
          <w:right w:w="70" w:type="dxa"/>
        </w:tblCellMar>
      </w:tblPr>
      <w:tblGrid>
        <w:gridCol w:w="4155"/>
        <w:gridCol w:w="5040"/>
      </w:tblGrid>
      <w:tr>
        <w:tblPrEx>
          <w:tblW w:w="9195" w:type="dxa"/>
          <w:tblInd w:w="55" w:type="dxa"/>
          <w:tblCellMar>
            <w:left w:w="70" w:type="dxa"/>
            <w:right w:w="70" w:type="dxa"/>
          </w:tblCellMar>
        </w:tblPrEx>
        <w:trPr>
          <w:trHeight w:val="600"/>
        </w:trPr>
        <w:tc>
          <w:tcPr>
            <w:tcW w:w="9195" w:type="dxa"/>
            <w:gridSpan w:val="2"/>
            <w:tcBorders>
              <w:top w:val="single" w:sz="8" w:space="0" w:color="auto"/>
              <w:left w:val="single" w:sz="8" w:space="0" w:color="auto"/>
              <w:bottom w:val="single" w:sz="8" w:space="0" w:color="auto"/>
              <w:right w:val="single" w:sz="8" w:space="0" w:color="000000"/>
            </w:tcBorders>
            <w:shd w:val="clear" w:color="auto" w:fill="000000"/>
            <w:noWrap/>
            <w:textDirection w:val="lrTb"/>
            <w:vAlign w:val="center"/>
          </w:tcPr>
          <w:p w:rsidR="009D3D85" w:rsidRPr="009D3D85" w:rsidP="009D3D85">
            <w:pPr>
              <w:bidi w:val="0"/>
              <w:spacing w:after="0" w:line="240" w:lineRule="auto"/>
              <w:jc w:val="center"/>
              <w:rPr>
                <w:rFonts w:ascii="Times New Roman" w:hAnsi="Times New Roman"/>
                <w:b/>
                <w:bCs/>
                <w:color w:val="FFFFFF"/>
              </w:rPr>
            </w:pPr>
            <w:r w:rsidRPr="009D3D85">
              <w:rPr>
                <w:rFonts w:ascii="Times New Roman" w:hAnsi="Times New Roman"/>
                <w:b/>
                <w:bCs/>
                <w:color w:val="FFFFFF"/>
              </w:rPr>
              <w:t>Vplyvy na podnikateľské prostredie</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9D3D85" w:rsidRPr="009D3D85" w:rsidP="009D3D85">
            <w:pPr>
              <w:bidi w:val="0"/>
              <w:spacing w:after="0" w:line="240" w:lineRule="auto"/>
              <w:jc w:val="both"/>
              <w:rPr>
                <w:rFonts w:ascii="Times New Roman" w:hAnsi="Times New Roman"/>
              </w:rPr>
            </w:pPr>
          </w:p>
          <w:p w:rsidR="009D3D85" w:rsidRPr="009D3D85" w:rsidP="009D3D85">
            <w:pPr>
              <w:bidi w:val="0"/>
              <w:spacing w:after="0" w:line="240" w:lineRule="auto"/>
              <w:jc w:val="both"/>
              <w:rPr>
                <w:rFonts w:ascii="Times New Roman" w:hAnsi="Times New Roman"/>
              </w:rPr>
            </w:pPr>
            <w:r w:rsidRPr="009D3D85">
              <w:rPr>
                <w:rFonts w:ascii="Times New Roman" w:hAnsi="Times New Roman"/>
                <w:b/>
              </w:rPr>
              <w:t>3.1</w:t>
            </w:r>
            <w:r w:rsidRPr="009D3D85">
              <w:rPr>
                <w:rFonts w:ascii="Times New Roman" w:hAnsi="Times New Roman"/>
              </w:rPr>
              <w:t>. Ktoré podnikateľské subjekty budú predkladaným návrhom</w:t>
            </w:r>
            <w:r w:rsidR="002F565C">
              <w:rPr>
                <w:rFonts w:ascii="Times New Roman" w:hAnsi="Times New Roman"/>
              </w:rPr>
              <w:t xml:space="preserve"> ovplyvnené a aký je ich počet?</w:t>
            </w:r>
          </w:p>
        </w:tc>
        <w:tc>
          <w:tcPr>
            <w:tcW w:w="5040" w:type="dxa"/>
            <w:tcBorders>
              <w:top w:val="nil"/>
              <w:left w:val="nil"/>
              <w:bottom w:val="single" w:sz="4" w:space="0" w:color="auto"/>
              <w:right w:val="single" w:sz="8" w:space="0" w:color="auto"/>
            </w:tcBorders>
            <w:noWrap/>
            <w:textDirection w:val="lrTb"/>
            <w:vAlign w:val="center"/>
          </w:tcPr>
          <w:p w:rsidR="009D3D85" w:rsidRPr="009D3D85" w:rsidP="009D3D85">
            <w:pPr>
              <w:bidi w:val="0"/>
              <w:spacing w:after="0" w:line="240" w:lineRule="auto"/>
              <w:rPr>
                <w:rFonts w:ascii="Times New Roman" w:hAnsi="Times New Roman"/>
              </w:rPr>
            </w:pPr>
            <w:r w:rsidRPr="009D3D85">
              <w:rPr>
                <w:rFonts w:ascii="Times New Roman" w:hAnsi="Times New Roman"/>
              </w:rPr>
              <w:t>Všetky podnikateľské subjekty v SR</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9D3D85" w:rsidRPr="009D3D85" w:rsidP="009D3D85">
            <w:pPr>
              <w:bidi w:val="0"/>
              <w:spacing w:after="0" w:line="240" w:lineRule="auto"/>
              <w:jc w:val="both"/>
              <w:rPr>
                <w:rFonts w:ascii="Times New Roman" w:hAnsi="Times New Roman"/>
              </w:rPr>
            </w:pPr>
          </w:p>
          <w:p w:rsidR="009D3D85" w:rsidRPr="009D3D85" w:rsidP="009D3D85">
            <w:pPr>
              <w:bidi w:val="0"/>
              <w:spacing w:after="0" w:line="240" w:lineRule="auto"/>
              <w:jc w:val="both"/>
              <w:rPr>
                <w:rFonts w:ascii="Times New Roman" w:hAnsi="Times New Roman"/>
              </w:rPr>
            </w:pPr>
            <w:r w:rsidRPr="009D3D85">
              <w:rPr>
                <w:rFonts w:ascii="Times New Roman" w:hAnsi="Times New Roman"/>
                <w:b/>
              </w:rPr>
              <w:t>3.2</w:t>
            </w:r>
            <w:r w:rsidRPr="009D3D85">
              <w:rPr>
                <w:rFonts w:ascii="Times New Roman" w:hAnsi="Times New Roman"/>
              </w:rPr>
              <w:t>. Aký je predpokladaný charakter a rozsah nákladov a prínosov?</w:t>
            </w:r>
          </w:p>
          <w:p w:rsidR="009D3D85" w:rsidRPr="009D3D85" w:rsidP="009D3D85">
            <w:pPr>
              <w:bidi w:val="0"/>
              <w:spacing w:after="0" w:line="240" w:lineRule="auto"/>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9D3D85" w:rsidRPr="009D3D85" w:rsidP="009D3D85">
            <w:pPr>
              <w:bidi w:val="0"/>
              <w:spacing w:after="0" w:line="240" w:lineRule="auto"/>
              <w:rPr>
                <w:rFonts w:ascii="Times New Roman" w:hAnsi="Times New Roman"/>
              </w:rPr>
            </w:pPr>
            <w:r w:rsidRPr="009D3D85">
              <w:rPr>
                <w:rFonts w:ascii="Times New Roman" w:hAnsi="Times New Roman"/>
                <w:u w:val="single"/>
              </w:rPr>
              <w:t>Pozitívne</w:t>
            </w:r>
            <w:r w:rsidRPr="009D3D85">
              <w:rPr>
                <w:rFonts w:ascii="Times New Roman" w:hAnsi="Times New Roman"/>
              </w:rPr>
              <w:t xml:space="preserve">: Zjednotenie predkladacích miest výročných správ – výročná správa sa bude predkladať iba do registra účtovných závierok, zníženie administratívnych nákladov spojených s ich predkladaním a zvereňovaním. Všetky dotknuté subjekty  budú mať prístup nielen k účtovným závierkam ale aj výročným správam v registri.  </w:t>
            </w:r>
          </w:p>
          <w:p w:rsidR="009D3D85" w:rsidRPr="009D3D85" w:rsidP="009D3D85">
            <w:pPr>
              <w:bidi w:val="0"/>
              <w:spacing w:after="0" w:line="240" w:lineRule="auto"/>
              <w:rPr>
                <w:rFonts w:ascii="Times New Roman" w:hAnsi="Times New Roman"/>
              </w:rPr>
            </w:pP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9D3D85" w:rsidRPr="009D3D85" w:rsidP="009D3D85">
            <w:pPr>
              <w:bidi w:val="0"/>
              <w:spacing w:after="0" w:line="240" w:lineRule="auto"/>
              <w:jc w:val="both"/>
              <w:rPr>
                <w:rFonts w:ascii="Times New Roman" w:hAnsi="Times New Roman"/>
              </w:rPr>
            </w:pPr>
          </w:p>
          <w:p w:rsidR="009D3D85" w:rsidRPr="009D3D85" w:rsidP="009D3D85">
            <w:pPr>
              <w:bidi w:val="0"/>
              <w:spacing w:after="0" w:line="240" w:lineRule="auto"/>
              <w:jc w:val="both"/>
              <w:rPr>
                <w:rFonts w:ascii="Times New Roman" w:hAnsi="Times New Roman"/>
              </w:rPr>
            </w:pPr>
            <w:r w:rsidRPr="009D3D85">
              <w:rPr>
                <w:rFonts w:ascii="Times New Roman" w:hAnsi="Times New Roman"/>
                <w:b/>
              </w:rPr>
              <w:t>3.3</w:t>
            </w:r>
            <w:r w:rsidRPr="009D3D85">
              <w:rPr>
                <w:rFonts w:ascii="Times New Roman" w:hAnsi="Times New Roman"/>
              </w:rPr>
              <w:t>. Aká je predpokladaná výška administratívnych nákladov, ktoré podniky vynaložia v súvislosti s implementáciou návrhu?</w:t>
            </w:r>
          </w:p>
          <w:p w:rsidR="009D3D85" w:rsidRPr="009D3D85" w:rsidP="009D3D85">
            <w:pPr>
              <w:bidi w:val="0"/>
              <w:spacing w:after="0" w:line="240" w:lineRule="auto"/>
              <w:ind w:left="360" w:hanging="360"/>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9D3D85" w:rsidRPr="009D3D85" w:rsidP="009D3D85">
            <w:pPr>
              <w:bidi w:val="0"/>
              <w:spacing w:after="0" w:line="240" w:lineRule="auto"/>
              <w:rPr>
                <w:rFonts w:ascii="Times New Roman" w:hAnsi="Times New Roman"/>
              </w:rPr>
            </w:pPr>
            <w:r w:rsidRPr="009D3D85">
              <w:rPr>
                <w:rFonts w:ascii="Times New Roman" w:hAnsi="Times New Roman"/>
              </w:rPr>
              <w:t xml:space="preserve">Z pohľadu ukladania dokumentov do registra sú to bežné náklady na udržiavanie internetového pripojenia. </w:t>
            </w:r>
          </w:p>
          <w:p w:rsidR="009D3D85" w:rsidRPr="009D3D85" w:rsidP="009D3D85">
            <w:pPr>
              <w:bidi w:val="0"/>
              <w:spacing w:after="0" w:line="240" w:lineRule="auto"/>
              <w:rPr>
                <w:rFonts w:ascii="Times New Roman" w:hAnsi="Times New Roman"/>
              </w:rPr>
            </w:pP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textDirection w:val="lrTb"/>
            <w:vAlign w:val="center"/>
          </w:tcPr>
          <w:p w:rsidR="009D3D85" w:rsidRPr="009D3D85" w:rsidP="009D3D85">
            <w:pPr>
              <w:bidi w:val="0"/>
              <w:spacing w:after="0" w:line="240" w:lineRule="auto"/>
              <w:jc w:val="both"/>
              <w:rPr>
                <w:rFonts w:ascii="Times New Roman" w:hAnsi="Times New Roman"/>
              </w:rPr>
            </w:pPr>
          </w:p>
          <w:p w:rsidR="009D3D85" w:rsidRPr="009D3D85" w:rsidP="009D3D85">
            <w:pPr>
              <w:bidi w:val="0"/>
              <w:spacing w:after="0" w:line="240" w:lineRule="auto"/>
              <w:jc w:val="both"/>
              <w:rPr>
                <w:rFonts w:ascii="Times New Roman" w:hAnsi="Times New Roman"/>
              </w:rPr>
            </w:pPr>
            <w:r w:rsidRPr="009D3D85">
              <w:rPr>
                <w:rFonts w:ascii="Times New Roman" w:hAnsi="Times New Roman"/>
                <w:b/>
              </w:rPr>
              <w:t>3.4</w:t>
            </w:r>
            <w:r w:rsidRPr="009D3D85">
              <w:rPr>
                <w:rFonts w:ascii="Times New Roman" w:hAnsi="Times New Roman"/>
              </w:rPr>
              <w:t>. Aké sú dôsledky pripravovaného návrhu pre fungovanie podnikateľských subjektov na slovenskom trhu (ako sa zmenia operácie na trhu?)</w:t>
            </w:r>
          </w:p>
          <w:p w:rsidR="009D3D85" w:rsidRPr="009D3D85" w:rsidP="009D3D85">
            <w:pPr>
              <w:bidi w:val="0"/>
              <w:spacing w:after="0" w:line="240" w:lineRule="auto"/>
              <w:ind w:left="360"/>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9D3D85" w:rsidRPr="009D3D85" w:rsidP="009D3D85">
            <w:pPr>
              <w:bidi w:val="0"/>
              <w:spacing w:after="0" w:line="240" w:lineRule="auto"/>
              <w:rPr>
                <w:rFonts w:ascii="Times New Roman" w:hAnsi="Times New Roman"/>
              </w:rPr>
            </w:pPr>
            <w:r w:rsidRPr="009D3D85">
              <w:rPr>
                <w:rFonts w:ascii="Times New Roman" w:hAnsi="Times New Roman"/>
              </w:rPr>
              <w:t>Výrazne pozitívne dôsledky budú v oblasti zvýšenia efektivity komunikácie s verejnou správou, transparentnosti a odstraňovaním administratívnej náročnosti procesov a z toho vyplývajúceho zvyšovania podpory podnikateľskému prostrediu.</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9D3D85" w:rsidRPr="009D3D85" w:rsidP="009D3D85">
            <w:pPr>
              <w:bidi w:val="0"/>
              <w:spacing w:after="0" w:line="240" w:lineRule="auto"/>
              <w:jc w:val="both"/>
              <w:rPr>
                <w:rFonts w:ascii="Times New Roman" w:hAnsi="Times New Roman"/>
              </w:rPr>
            </w:pPr>
          </w:p>
          <w:p w:rsidR="009D3D85" w:rsidRPr="009D3D85" w:rsidP="009D3D85">
            <w:pPr>
              <w:bidi w:val="0"/>
              <w:spacing w:after="0" w:line="240" w:lineRule="auto"/>
              <w:jc w:val="both"/>
              <w:rPr>
                <w:rFonts w:ascii="Times New Roman" w:hAnsi="Times New Roman"/>
              </w:rPr>
            </w:pPr>
            <w:r w:rsidRPr="009D3D85">
              <w:rPr>
                <w:rFonts w:ascii="Times New Roman" w:hAnsi="Times New Roman"/>
                <w:b/>
              </w:rPr>
              <w:t>3.5</w:t>
            </w:r>
            <w:r w:rsidRPr="009D3D85">
              <w:rPr>
                <w:rFonts w:ascii="Times New Roman" w:hAnsi="Times New Roman"/>
              </w:rPr>
              <w:t>. Aké sú predpokladané spoločensko – ekonomické dôsledky pripravovaných regulácií?</w:t>
            </w:r>
          </w:p>
          <w:p w:rsidR="009D3D85" w:rsidRPr="009D3D85" w:rsidP="009D3D85">
            <w:pPr>
              <w:bidi w:val="0"/>
              <w:spacing w:after="0" w:line="240" w:lineRule="auto"/>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9D3D85" w:rsidRPr="009D3D85" w:rsidP="009D3D85">
            <w:pPr>
              <w:bidi w:val="0"/>
              <w:spacing w:after="0" w:line="240" w:lineRule="auto"/>
              <w:rPr>
                <w:rFonts w:ascii="Times New Roman" w:hAnsi="Times New Roman"/>
              </w:rPr>
            </w:pPr>
            <w:r w:rsidRPr="009D3D85">
              <w:rPr>
                <w:rFonts w:ascii="Times New Roman" w:hAnsi="Times New Roman"/>
              </w:rPr>
              <w:t>Odstránenie administratívnej náročnosti procesov pri komunikácii s verejnými orgánmi.</w:t>
            </w:r>
            <w:r w:rsidRPr="009D3D85">
              <w:rPr>
                <w:rFonts w:ascii="Times New Roman" w:eastAsia="MS Mincho" w:hAnsi="Times New Roman"/>
                <w:b/>
                <w:lang w:eastAsia="ja-JP"/>
              </w:rPr>
              <w:t xml:space="preserve"> </w:t>
            </w:r>
            <w:r w:rsidRPr="009D3D85">
              <w:rPr>
                <w:rFonts w:ascii="Times New Roman" w:hAnsi="Times New Roman"/>
              </w:rPr>
              <w:t>Podnikatelia  budú mať povinnosť  ukladania výročných správ na jedno miesto.</w:t>
            </w:r>
          </w:p>
          <w:p w:rsidR="009D3D85" w:rsidRPr="009D3D85" w:rsidP="009D3D85">
            <w:pPr>
              <w:bidi w:val="0"/>
              <w:spacing w:after="0" w:line="240" w:lineRule="auto"/>
              <w:rPr>
                <w:rFonts w:ascii="Times New Roman" w:hAnsi="Times New Roman"/>
                <w:bCs/>
              </w:rPr>
            </w:pPr>
            <w:r w:rsidRPr="009D3D85">
              <w:rPr>
                <w:rFonts w:ascii="Times New Roman" w:hAnsi="Times New Roman"/>
                <w:bCs/>
              </w:rPr>
              <w:t>Register účtovných závierok zníži administratívne náklady podnikateľských subjektov a prispeje k rozvoju elektronizácie spoločnosti, ako nástroja zvyšovania efektívnosti verejnej správy a služieb občanom.</w:t>
            </w:r>
          </w:p>
          <w:p w:rsidR="009D3D85" w:rsidRPr="009D3D85" w:rsidP="009D3D85">
            <w:pPr>
              <w:bidi w:val="0"/>
              <w:spacing w:after="0" w:line="240" w:lineRule="auto"/>
              <w:rPr>
                <w:rFonts w:ascii="Times New Roman" w:hAnsi="Times New Roman"/>
              </w:rPr>
            </w:pPr>
            <w:r w:rsidRPr="009D3D85">
              <w:rPr>
                <w:rFonts w:ascii="Times New Roman" w:hAnsi="Times New Roman"/>
              </w:rPr>
              <w:t>Znížia sa administratívne náklady aj na zostavovanie účtovnej závierky v skrátenej forme a zjednodušeného rozsahu.</w:t>
            </w:r>
          </w:p>
          <w:p w:rsidR="009D3D85" w:rsidRPr="009D3D85" w:rsidP="009D3D85">
            <w:pPr>
              <w:bidi w:val="0"/>
              <w:spacing w:after="0" w:line="240" w:lineRule="auto"/>
              <w:rPr>
                <w:rFonts w:ascii="Times New Roman" w:hAnsi="Times New Roman"/>
              </w:rPr>
            </w:pPr>
          </w:p>
        </w:tc>
      </w:tr>
    </w:tbl>
    <w:p w:rsidR="009D3D85" w:rsidRPr="009D3D85" w:rsidP="009D3D85">
      <w:pPr>
        <w:bidi w:val="0"/>
        <w:rPr>
          <w:rFonts w:ascii="Times New Roman" w:hAnsi="Times New Roman"/>
        </w:rPr>
      </w:pPr>
    </w:p>
    <w:p w:rsidR="009D3D85" w:rsidRPr="009D3D85" w:rsidP="009D3D85">
      <w:pPr>
        <w:pStyle w:val="BodyText"/>
        <w:bidi w:val="0"/>
        <w:jc w:val="center"/>
        <w:rPr>
          <w:rFonts w:ascii="Times New Roman" w:hAnsi="Times New Roman"/>
          <w:b/>
          <w:bCs/>
        </w:rPr>
      </w:pPr>
      <w:r w:rsidRPr="009D3D85">
        <w:rPr>
          <w:rFonts w:ascii="Times New Roman" w:hAnsi="Times New Roman"/>
          <w:b/>
          <w:bCs/>
        </w:rPr>
        <w:t>Vplyvy na informatizáciu spoločnosti</w:t>
      </w:r>
    </w:p>
    <w:p w:rsidR="009D3D85" w:rsidRPr="009D3D85" w:rsidP="009D3D85">
      <w:pPr>
        <w:pStyle w:val="BodyText"/>
        <w:tabs>
          <w:tab w:val="num" w:pos="1080"/>
        </w:tabs>
        <w:bidi w:val="0"/>
        <w:jc w:val="both"/>
        <w:rPr>
          <w:rFonts w:ascii="Times New Roman" w:hAnsi="Times New Roman"/>
          <w:b/>
          <w:bCs/>
        </w:rPr>
      </w:pPr>
    </w:p>
    <w:tbl>
      <w:tblPr>
        <w:tblStyle w:val="TableNormal"/>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
      <w:tblGrid>
        <w:gridCol w:w="5235"/>
        <w:gridCol w:w="4136"/>
      </w:tblGrid>
      <w:tr>
        <w:tblPrEx>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9D3D85" w:rsidRPr="009D3D85" w:rsidP="009D3D85">
            <w:pPr>
              <w:bidi w:val="0"/>
              <w:spacing w:after="0" w:line="20" w:lineRule="atLeast"/>
              <w:jc w:val="both"/>
              <w:rPr>
                <w:rFonts w:ascii="Times New Roman" w:hAnsi="Times New Roman"/>
                <w:b/>
                <w:color w:val="FFFFFF"/>
              </w:rPr>
            </w:pPr>
            <w:r w:rsidRPr="009D3D85">
              <w:rPr>
                <w:rFonts w:ascii="Times New Roman" w:hAnsi="Times New Roman"/>
                <w:b/>
                <w:color w:val="FFFFFF"/>
              </w:rPr>
              <w:t>Budovanie základných pilierov informatizácie</w:t>
            </w:r>
          </w:p>
        </w:tc>
        <w:tc>
          <w:tcPr>
            <w:tcW w:w="4136"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9D3D85" w:rsidRPr="009D3D85" w:rsidP="009D3D85">
            <w:pPr>
              <w:bidi w:val="0"/>
              <w:spacing w:after="0" w:line="240" w:lineRule="auto"/>
              <w:rPr>
                <w:rFonts w:ascii="Times New Roman" w:hAnsi="Times New Roman"/>
                <w:b/>
                <w:i/>
                <w:iCs/>
                <w:color w:val="FFFFFF"/>
              </w:rPr>
            </w:pPr>
          </w:p>
        </w:tc>
      </w:tr>
      <w:tr>
        <w:tblPrEx>
          <w:tblW w:w="9371"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9D3D85" w:rsidRPr="009D3D85" w:rsidP="009D3D85">
            <w:pPr>
              <w:bidi w:val="0"/>
              <w:spacing w:after="0" w:line="20" w:lineRule="atLeast"/>
              <w:jc w:val="both"/>
              <w:rPr>
                <w:rFonts w:ascii="Times New Roman" w:hAnsi="Times New Roman"/>
                <w:b/>
              </w:rPr>
            </w:pPr>
            <w:r w:rsidRPr="009D3D85">
              <w:rPr>
                <w:rFonts w:ascii="Times New Roman" w:hAnsi="Times New Roman"/>
                <w:b/>
              </w:rPr>
              <w:t>Obsah</w:t>
            </w:r>
          </w:p>
        </w:tc>
        <w:tc>
          <w:tcPr>
            <w:tcW w:w="4136"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9D3D85" w:rsidRPr="009D3D85" w:rsidP="009D3D85">
            <w:pPr>
              <w:bidi w:val="0"/>
              <w:spacing w:after="0" w:line="240" w:lineRule="auto"/>
              <w:rPr>
                <w:rFonts w:ascii="Times New Roman" w:hAnsi="Times New Roman"/>
                <w:i/>
                <w:iCs/>
              </w:rPr>
            </w:pPr>
          </w:p>
        </w:tc>
      </w:tr>
      <w:tr>
        <w:tblPrEx>
          <w:tblW w:w="9371" w:type="dxa"/>
          <w:tblInd w:w="55" w:type="dxa"/>
          <w:tblCellMar>
            <w:top w:w="28" w:type="dxa"/>
            <w:left w:w="70" w:type="dxa"/>
            <w:bottom w:w="28" w:type="dxa"/>
            <w:right w:w="70" w:type="dxa"/>
          </w:tblCellMar>
        </w:tblPrEx>
        <w:trPr>
          <w:trHeight w:val="53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9D3D85" w:rsidRPr="009D3D85" w:rsidP="009D3D85">
            <w:pPr>
              <w:bidi w:val="0"/>
              <w:spacing w:after="0" w:line="240" w:lineRule="auto"/>
              <w:jc w:val="both"/>
              <w:rPr>
                <w:rFonts w:ascii="Times New Roman" w:hAnsi="Times New Roman"/>
              </w:rPr>
            </w:pPr>
            <w:r w:rsidRPr="009D3D85">
              <w:rPr>
                <w:rFonts w:ascii="Times New Roman" w:hAnsi="Times New Roman"/>
                <w:b/>
              </w:rPr>
              <w:t>6.1.</w:t>
            </w:r>
            <w:r w:rsidRPr="009D3D85">
              <w:rPr>
                <w:rFonts w:ascii="Times New Roman" w:hAnsi="Times New Roman"/>
              </w:rPr>
              <w:t xml:space="preserve"> Rozširujú alebo inovujú  sa existujúce alebo vytvárajú sa či zavádzajú  sa nové elektronické služby?</w:t>
            </w:r>
          </w:p>
          <w:p w:rsidR="009D3D85" w:rsidRPr="009D3D85" w:rsidP="009D3D85">
            <w:pPr>
              <w:bidi w:val="0"/>
              <w:spacing w:after="0" w:line="20" w:lineRule="atLeast"/>
              <w:jc w:val="both"/>
              <w:rPr>
                <w:rFonts w:ascii="Times New Roman" w:hAnsi="Times New Roman"/>
              </w:rPr>
            </w:pPr>
            <w:r w:rsidRPr="009D3D85">
              <w:rPr>
                <w:rFonts w:ascii="Times New Roman" w:hAnsi="Times New Roman"/>
                <w:i/>
                <w:iCs/>
              </w:rPr>
              <w:t>(Popíšte ich funkciu a úroveň poskytovania.)</w:t>
            </w:r>
          </w:p>
        </w:tc>
        <w:tc>
          <w:tcPr>
            <w:tcW w:w="4136" w:type="dxa"/>
            <w:tcBorders>
              <w:top w:val="single" w:sz="4" w:space="0" w:color="auto"/>
              <w:left w:val="single" w:sz="4" w:space="0" w:color="auto"/>
              <w:bottom w:val="single" w:sz="4" w:space="0" w:color="auto"/>
              <w:right w:val="single" w:sz="4" w:space="0" w:color="auto"/>
            </w:tcBorders>
            <w:textDirection w:val="lrTb"/>
            <w:vAlign w:val="top"/>
          </w:tcPr>
          <w:p w:rsidR="009D3D85" w:rsidRPr="009D3D85" w:rsidP="009D3D85">
            <w:pPr>
              <w:bidi w:val="0"/>
              <w:spacing w:after="0" w:line="240" w:lineRule="auto"/>
              <w:jc w:val="both"/>
              <w:rPr>
                <w:rFonts w:ascii="Times New Roman" w:hAnsi="Times New Roman"/>
              </w:rPr>
            </w:pPr>
            <w:r w:rsidRPr="009D3D85">
              <w:rPr>
                <w:rFonts w:ascii="Times New Roman" w:hAnsi="Times New Roman"/>
                <w:iCs/>
              </w:rPr>
              <w:t xml:space="preserve">Áno, </w:t>
            </w:r>
            <w:r w:rsidRPr="009D3D85">
              <w:rPr>
                <w:rFonts w:ascii="Times New Roman" w:hAnsi="Times New Roman"/>
              </w:rPr>
              <w:t xml:space="preserve">realizáciou Registra účtovných závierok (ďalej len „RÚZ“) sa zavádza elektronická služba úrovne IV. (transakčná úroveň). </w:t>
            </w:r>
          </w:p>
        </w:tc>
      </w:tr>
      <w:tr>
        <w:tblPrEx>
          <w:tblW w:w="9371"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9D3D85" w:rsidRPr="009D3D85" w:rsidP="009D3D85">
            <w:pPr>
              <w:bidi w:val="0"/>
              <w:spacing w:after="0" w:line="240" w:lineRule="auto"/>
              <w:jc w:val="both"/>
              <w:rPr>
                <w:rFonts w:ascii="Times New Roman" w:hAnsi="Times New Roman"/>
              </w:rPr>
            </w:pPr>
            <w:r w:rsidRPr="009D3D85">
              <w:rPr>
                <w:rFonts w:ascii="Times New Roman" w:hAnsi="Times New Roman"/>
                <w:b/>
              </w:rPr>
              <w:t>6.2.</w:t>
            </w:r>
            <w:r w:rsidRPr="009D3D85">
              <w:rPr>
                <w:rFonts w:ascii="Times New Roman" w:hAnsi="Times New Roman"/>
              </w:rPr>
              <w:t xml:space="preserve"> Vytvárajú sa podmienky pre sémantickú interoperabilitu?</w:t>
            </w:r>
          </w:p>
          <w:p w:rsidR="009D3D85" w:rsidRPr="009D3D85" w:rsidP="009D3D85">
            <w:pPr>
              <w:bidi w:val="0"/>
              <w:spacing w:after="0" w:line="20" w:lineRule="atLeast"/>
              <w:jc w:val="both"/>
              <w:rPr>
                <w:rFonts w:ascii="Times New Roman" w:hAnsi="Times New Roman"/>
              </w:rPr>
            </w:pPr>
            <w:r w:rsidRPr="009D3D85">
              <w:rPr>
                <w:rFonts w:ascii="Times New Roman" w:hAnsi="Times New Roman"/>
                <w:i/>
                <w:iCs/>
              </w:rPr>
              <w:t>(Popíšte spôsob jej zabezpečenia.)</w:t>
            </w:r>
          </w:p>
        </w:tc>
        <w:tc>
          <w:tcPr>
            <w:tcW w:w="4136" w:type="dxa"/>
            <w:tcBorders>
              <w:top w:val="single" w:sz="4" w:space="0" w:color="auto"/>
              <w:left w:val="single" w:sz="4" w:space="0" w:color="auto"/>
              <w:bottom w:val="single" w:sz="4" w:space="0" w:color="auto"/>
              <w:right w:val="single" w:sz="4" w:space="0" w:color="auto"/>
            </w:tcBorders>
            <w:textDirection w:val="lrTb"/>
            <w:vAlign w:val="top"/>
          </w:tcPr>
          <w:p w:rsidR="009D3D85" w:rsidRPr="009D3D85" w:rsidP="009D3D85">
            <w:pPr>
              <w:bidi w:val="0"/>
              <w:spacing w:after="0" w:line="240" w:lineRule="auto"/>
              <w:rPr>
                <w:rFonts w:ascii="Times New Roman" w:hAnsi="Times New Roman"/>
                <w:iCs/>
              </w:rPr>
            </w:pPr>
            <w:r w:rsidRPr="009D3D85">
              <w:rPr>
                <w:rFonts w:ascii="Times New Roman" w:hAnsi="Times New Roman"/>
                <w:iCs/>
              </w:rPr>
              <w:t xml:space="preserve">Áno, RÚZ bude využívať referenčné údaje a referenčné prepojenia z iných základných registrov, t. j. bude prepojený na ďalšie registre a iné zdroje informácií.  </w:t>
            </w:r>
          </w:p>
        </w:tc>
      </w:tr>
      <w:tr>
        <w:tblPrEx>
          <w:tblW w:w="9371"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9D3D85" w:rsidRPr="009D3D85" w:rsidP="009D3D85">
            <w:pPr>
              <w:bidi w:val="0"/>
              <w:spacing w:after="0" w:line="20" w:lineRule="atLeast"/>
              <w:jc w:val="both"/>
              <w:rPr>
                <w:rFonts w:ascii="Times New Roman" w:hAnsi="Times New Roman"/>
                <w:b/>
                <w:color w:val="FFFFFF"/>
              </w:rPr>
            </w:pPr>
            <w:r w:rsidRPr="009D3D85">
              <w:rPr>
                <w:rFonts w:ascii="Times New Roman" w:hAnsi="Times New Roman"/>
                <w:b/>
              </w:rPr>
              <w:t>Ľudia</w:t>
            </w:r>
          </w:p>
        </w:tc>
        <w:tc>
          <w:tcPr>
            <w:tcW w:w="4136"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9D3D85" w:rsidRPr="009D3D85" w:rsidP="009D3D85">
            <w:pPr>
              <w:bidi w:val="0"/>
              <w:spacing w:after="0" w:line="240" w:lineRule="auto"/>
              <w:rPr>
                <w:rFonts w:ascii="Times New Roman" w:hAnsi="Times New Roman"/>
                <w:b/>
                <w:iCs/>
              </w:rPr>
            </w:pPr>
          </w:p>
        </w:tc>
      </w:tr>
      <w:tr>
        <w:tblPrEx>
          <w:tblW w:w="9371"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9D3D85" w:rsidRPr="009D3D85" w:rsidP="009D3D85">
            <w:pPr>
              <w:bidi w:val="0"/>
              <w:spacing w:after="0" w:line="240" w:lineRule="auto"/>
              <w:jc w:val="both"/>
              <w:rPr>
                <w:rFonts w:ascii="Times New Roman" w:hAnsi="Times New Roman"/>
              </w:rPr>
            </w:pPr>
            <w:r w:rsidRPr="009D3D85">
              <w:rPr>
                <w:rFonts w:ascii="Times New Roman" w:hAnsi="Times New Roman"/>
                <w:b/>
              </w:rPr>
              <w:t>6.3.</w:t>
            </w:r>
            <w:r w:rsidRPr="009D3D85">
              <w:rPr>
                <w:rFonts w:ascii="Times New Roman" w:hAnsi="Times New Roman"/>
              </w:rPr>
              <w:t xml:space="preserve"> Zabezpečuje sa vzdelávanie v oblasti počítačovej gramotnosti a rozširovanie vedomostí o IKT?</w:t>
            </w:r>
          </w:p>
          <w:p w:rsidR="009D3D85" w:rsidRPr="009D3D85" w:rsidP="009D3D85">
            <w:pPr>
              <w:bidi w:val="0"/>
              <w:spacing w:after="0" w:line="20" w:lineRule="atLeast"/>
              <w:jc w:val="both"/>
              <w:rPr>
                <w:rFonts w:ascii="Times New Roman" w:hAnsi="Times New Roman"/>
              </w:rPr>
            </w:pPr>
            <w:r w:rsidRPr="009D3D85">
              <w:rPr>
                <w:rFonts w:ascii="Times New Roman" w:hAnsi="Times New Roman"/>
                <w:i/>
                <w:iCs/>
              </w:rPr>
              <w:t>(Uveďte spôsob, napr. projekty, školenia.)</w:t>
            </w:r>
          </w:p>
        </w:tc>
        <w:tc>
          <w:tcPr>
            <w:tcW w:w="4136" w:type="dxa"/>
            <w:tcBorders>
              <w:top w:val="single" w:sz="4" w:space="0" w:color="auto"/>
              <w:left w:val="single" w:sz="4" w:space="0" w:color="auto"/>
              <w:bottom w:val="single" w:sz="4" w:space="0" w:color="auto"/>
              <w:right w:val="single" w:sz="4" w:space="0" w:color="auto"/>
            </w:tcBorders>
            <w:textDirection w:val="lrTb"/>
            <w:vAlign w:val="center"/>
          </w:tcPr>
          <w:p w:rsidR="009D3D85" w:rsidRPr="009D3D85" w:rsidP="009D3D85">
            <w:pPr>
              <w:bidi w:val="0"/>
              <w:spacing w:after="0" w:line="240" w:lineRule="auto"/>
              <w:rPr>
                <w:rFonts w:ascii="Times New Roman" w:hAnsi="Times New Roman"/>
                <w:iCs/>
              </w:rPr>
            </w:pPr>
            <w:r w:rsidRPr="009D3D85">
              <w:rPr>
                <w:rFonts w:ascii="Times New Roman" w:hAnsi="Times New Roman"/>
                <w:iCs/>
              </w:rPr>
              <w:t>Nie</w:t>
            </w:r>
          </w:p>
          <w:p w:rsidR="009D3D85" w:rsidRPr="009D3D85" w:rsidP="009D3D85">
            <w:pPr>
              <w:bidi w:val="0"/>
              <w:spacing w:after="0" w:line="240" w:lineRule="auto"/>
              <w:jc w:val="both"/>
              <w:rPr>
                <w:rFonts w:ascii="Times New Roman" w:hAnsi="Times New Roman"/>
                <w:iCs/>
              </w:rPr>
            </w:pPr>
          </w:p>
        </w:tc>
      </w:tr>
      <w:tr>
        <w:tblPrEx>
          <w:tblW w:w="9371"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9D3D85" w:rsidRPr="009D3D85" w:rsidP="009D3D85">
            <w:pPr>
              <w:bidi w:val="0"/>
              <w:spacing w:after="0" w:line="240" w:lineRule="auto"/>
              <w:jc w:val="both"/>
              <w:rPr>
                <w:rFonts w:ascii="Times New Roman" w:hAnsi="Times New Roman"/>
              </w:rPr>
            </w:pPr>
            <w:r w:rsidRPr="009D3D85">
              <w:rPr>
                <w:rFonts w:ascii="Times New Roman" w:hAnsi="Times New Roman"/>
                <w:b/>
              </w:rPr>
              <w:t>6.4.</w:t>
            </w:r>
            <w:r w:rsidRPr="009D3D85">
              <w:rPr>
                <w:rFonts w:ascii="Times New Roman" w:hAnsi="Times New Roman"/>
              </w:rPr>
              <w:t xml:space="preserve"> Zabezpečuje sa rozvoj elektronického vzdelávania?</w:t>
            </w:r>
          </w:p>
          <w:p w:rsidR="009D3D85" w:rsidRPr="009D3D85" w:rsidP="009D3D85">
            <w:pPr>
              <w:bidi w:val="0"/>
              <w:spacing w:after="0" w:line="20" w:lineRule="atLeast"/>
              <w:jc w:val="both"/>
              <w:rPr>
                <w:rFonts w:ascii="Times New Roman" w:hAnsi="Times New Roman"/>
                <w:color w:val="FFFFFF"/>
              </w:rPr>
            </w:pPr>
            <w:r w:rsidRPr="009D3D85">
              <w:rPr>
                <w:rFonts w:ascii="Times New Roman" w:hAnsi="Times New Roman"/>
                <w:i/>
                <w:iCs/>
              </w:rPr>
              <w:t>(Uveďte typ a spôsob zabezpečenia vzdelávacích aktivít.)</w:t>
            </w:r>
          </w:p>
        </w:tc>
        <w:tc>
          <w:tcPr>
            <w:tcW w:w="4136" w:type="dxa"/>
            <w:tcBorders>
              <w:top w:val="single" w:sz="4" w:space="0" w:color="auto"/>
              <w:left w:val="single" w:sz="4" w:space="0" w:color="auto"/>
              <w:bottom w:val="single" w:sz="4" w:space="0" w:color="auto"/>
              <w:right w:val="single" w:sz="4" w:space="0" w:color="auto"/>
            </w:tcBorders>
            <w:textDirection w:val="lrTb"/>
            <w:vAlign w:val="top"/>
          </w:tcPr>
          <w:p w:rsidR="009D3D85" w:rsidRPr="009D3D85" w:rsidP="009D3D85">
            <w:pPr>
              <w:bidi w:val="0"/>
              <w:spacing w:after="0" w:line="240" w:lineRule="auto"/>
              <w:rPr>
                <w:rFonts w:ascii="Times New Roman" w:hAnsi="Times New Roman"/>
                <w:iCs/>
              </w:rPr>
            </w:pPr>
            <w:r w:rsidRPr="009D3D85">
              <w:rPr>
                <w:rFonts w:ascii="Times New Roman" w:hAnsi="Times New Roman"/>
                <w:iCs/>
              </w:rPr>
              <w:t>Nie</w:t>
            </w:r>
          </w:p>
          <w:p w:rsidR="009D3D85" w:rsidRPr="009D3D85" w:rsidP="009D3D85">
            <w:pPr>
              <w:bidi w:val="0"/>
              <w:spacing w:after="0" w:line="240" w:lineRule="auto"/>
              <w:jc w:val="both"/>
              <w:rPr>
                <w:rFonts w:ascii="Times New Roman" w:hAnsi="Times New Roman"/>
                <w:iCs/>
              </w:rPr>
            </w:pPr>
            <w:r w:rsidRPr="009D3D85">
              <w:rPr>
                <w:rFonts w:ascii="Times New Roman" w:hAnsi="Times New Roman"/>
                <w:iCs/>
              </w:rPr>
              <w:t xml:space="preserve"> </w:t>
            </w:r>
          </w:p>
        </w:tc>
      </w:tr>
      <w:tr>
        <w:tblPrEx>
          <w:tblW w:w="9371"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9D3D85" w:rsidRPr="009D3D85" w:rsidP="009D3D85">
            <w:pPr>
              <w:bidi w:val="0"/>
              <w:spacing w:after="0" w:line="240" w:lineRule="auto"/>
              <w:jc w:val="both"/>
              <w:rPr>
                <w:rFonts w:ascii="Times New Roman" w:hAnsi="Times New Roman"/>
              </w:rPr>
            </w:pPr>
            <w:r w:rsidRPr="009D3D85">
              <w:rPr>
                <w:rFonts w:ascii="Times New Roman" w:hAnsi="Times New Roman"/>
                <w:b/>
              </w:rPr>
              <w:t>6.5.</w:t>
            </w:r>
            <w:r w:rsidRPr="009D3D85">
              <w:rPr>
                <w:rFonts w:ascii="Times New Roman" w:hAnsi="Times New Roman"/>
              </w:rPr>
              <w:t xml:space="preserve"> Zabezpečuje sa podporná a propagačná aktivita zameraná na zvyšovanie povedomia o informatizácii a IKT?</w:t>
            </w:r>
          </w:p>
          <w:p w:rsidR="009D3D85" w:rsidRPr="009D3D85" w:rsidP="009D3D85">
            <w:pPr>
              <w:bidi w:val="0"/>
              <w:spacing w:after="0" w:line="20" w:lineRule="atLeast"/>
              <w:jc w:val="both"/>
              <w:rPr>
                <w:rFonts w:ascii="Times New Roman" w:hAnsi="Times New Roman"/>
                <w:color w:val="FFFFFF"/>
              </w:rPr>
            </w:pPr>
            <w:r w:rsidRPr="009D3D85">
              <w:rPr>
                <w:rFonts w:ascii="Times New Roman" w:hAnsi="Times New Roman"/>
                <w:i/>
                <w:iCs/>
              </w:rPr>
              <w:t>(Uveďte typ a spôsob zabezpečenia propagačných aktivít.)</w:t>
            </w:r>
          </w:p>
        </w:tc>
        <w:tc>
          <w:tcPr>
            <w:tcW w:w="4136" w:type="dxa"/>
            <w:tcBorders>
              <w:top w:val="single" w:sz="4" w:space="0" w:color="auto"/>
              <w:left w:val="single" w:sz="4" w:space="0" w:color="auto"/>
              <w:bottom w:val="single" w:sz="4" w:space="0" w:color="auto"/>
              <w:right w:val="single" w:sz="4" w:space="0" w:color="auto"/>
            </w:tcBorders>
            <w:textDirection w:val="lrTb"/>
            <w:vAlign w:val="top"/>
          </w:tcPr>
          <w:p w:rsidR="009D3D85" w:rsidRPr="009D3D85" w:rsidP="009D3D85">
            <w:pPr>
              <w:bidi w:val="0"/>
              <w:spacing w:after="0" w:line="240" w:lineRule="auto"/>
              <w:jc w:val="both"/>
              <w:rPr>
                <w:rFonts w:ascii="Times New Roman" w:hAnsi="Times New Roman"/>
                <w:iCs/>
              </w:rPr>
            </w:pPr>
            <w:r w:rsidRPr="009D3D85">
              <w:rPr>
                <w:rFonts w:ascii="Times New Roman" w:hAnsi="Times New Roman"/>
                <w:iCs/>
              </w:rPr>
              <w:t>Nie</w:t>
            </w:r>
          </w:p>
        </w:tc>
      </w:tr>
      <w:tr>
        <w:tblPrEx>
          <w:tblW w:w="9371"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9D3D85" w:rsidRPr="009D3D85" w:rsidP="009D3D85">
            <w:pPr>
              <w:bidi w:val="0"/>
              <w:spacing w:after="0" w:line="240" w:lineRule="auto"/>
              <w:jc w:val="both"/>
              <w:rPr>
                <w:rFonts w:ascii="Times New Roman" w:hAnsi="Times New Roman"/>
              </w:rPr>
            </w:pPr>
            <w:r w:rsidRPr="009D3D85">
              <w:rPr>
                <w:rFonts w:ascii="Times New Roman" w:hAnsi="Times New Roman"/>
                <w:b/>
              </w:rPr>
              <w:t>6.6.</w:t>
            </w:r>
            <w:r w:rsidRPr="009D3D85">
              <w:rPr>
                <w:rFonts w:ascii="Times New Roman" w:hAnsi="Times New Roman"/>
              </w:rPr>
              <w:t xml:space="preserve"> Zabezpečuje/zohľadňuje/zlepšuje sa prístup znevýhodnených osôb k službám informačnej spoločnosti?</w:t>
            </w:r>
          </w:p>
          <w:p w:rsidR="009D3D85" w:rsidRPr="009D3D85" w:rsidP="009D3D85">
            <w:pPr>
              <w:bidi w:val="0"/>
              <w:spacing w:after="0" w:line="20" w:lineRule="atLeast"/>
              <w:jc w:val="both"/>
              <w:rPr>
                <w:rFonts w:ascii="Times New Roman" w:hAnsi="Times New Roman"/>
              </w:rPr>
            </w:pPr>
            <w:r w:rsidRPr="009D3D85">
              <w:rPr>
                <w:rFonts w:ascii="Times New Roman" w:hAnsi="Times New Roman"/>
                <w:i/>
                <w:iCs/>
              </w:rPr>
              <w:t>(Uveďte spôsob sprístupnenia digitálneho prostredia.)</w:t>
            </w:r>
          </w:p>
        </w:tc>
        <w:tc>
          <w:tcPr>
            <w:tcW w:w="4136" w:type="dxa"/>
            <w:tcBorders>
              <w:top w:val="single" w:sz="4" w:space="0" w:color="auto"/>
              <w:left w:val="single" w:sz="4" w:space="0" w:color="auto"/>
              <w:bottom w:val="single" w:sz="4" w:space="0" w:color="auto"/>
              <w:right w:val="single" w:sz="4" w:space="0" w:color="auto"/>
            </w:tcBorders>
            <w:textDirection w:val="lrTb"/>
            <w:vAlign w:val="top"/>
          </w:tcPr>
          <w:p w:rsidR="009D3D85" w:rsidRPr="009D3D85" w:rsidP="009D3D85">
            <w:pPr>
              <w:bidi w:val="0"/>
              <w:spacing w:after="0" w:line="240" w:lineRule="auto"/>
              <w:jc w:val="both"/>
              <w:rPr>
                <w:rFonts w:ascii="Times New Roman" w:hAnsi="Times New Roman"/>
                <w:iCs/>
              </w:rPr>
            </w:pPr>
            <w:r w:rsidRPr="009D3D85">
              <w:rPr>
                <w:rFonts w:ascii="Times New Roman" w:hAnsi="Times New Roman"/>
                <w:iCs/>
              </w:rPr>
              <w:t>Nie</w:t>
            </w:r>
          </w:p>
        </w:tc>
      </w:tr>
      <w:tr>
        <w:tblPrEx>
          <w:tblW w:w="9371"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9D3D85" w:rsidRPr="009D3D85" w:rsidP="009D3D85">
            <w:pPr>
              <w:bidi w:val="0"/>
              <w:spacing w:after="0" w:line="20" w:lineRule="atLeast"/>
              <w:jc w:val="both"/>
              <w:rPr>
                <w:rFonts w:ascii="Times New Roman" w:hAnsi="Times New Roman"/>
                <w:b/>
              </w:rPr>
            </w:pPr>
            <w:r w:rsidRPr="009D3D85">
              <w:rPr>
                <w:rFonts w:ascii="Times New Roman" w:hAnsi="Times New Roman"/>
                <w:b/>
              </w:rPr>
              <w:t>Infraštruktúra</w:t>
            </w:r>
          </w:p>
        </w:tc>
        <w:tc>
          <w:tcPr>
            <w:tcW w:w="4136"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9D3D85" w:rsidRPr="009D3D85" w:rsidP="009D3D85">
            <w:pPr>
              <w:bidi w:val="0"/>
              <w:spacing w:after="0" w:line="240" w:lineRule="auto"/>
              <w:jc w:val="both"/>
              <w:rPr>
                <w:rFonts w:ascii="Times New Roman" w:hAnsi="Times New Roman"/>
                <w:b/>
                <w:iCs/>
              </w:rPr>
            </w:pPr>
          </w:p>
        </w:tc>
      </w:tr>
      <w:tr>
        <w:tblPrEx>
          <w:tblW w:w="9371"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9D3D85" w:rsidRPr="009D3D85" w:rsidP="009D3D85">
            <w:pPr>
              <w:bidi w:val="0"/>
              <w:spacing w:after="0" w:line="240" w:lineRule="auto"/>
              <w:jc w:val="both"/>
              <w:rPr>
                <w:rFonts w:ascii="Times New Roman" w:hAnsi="Times New Roman"/>
              </w:rPr>
            </w:pPr>
            <w:r w:rsidRPr="009D3D85">
              <w:rPr>
                <w:rFonts w:ascii="Times New Roman" w:hAnsi="Times New Roman"/>
                <w:b/>
              </w:rPr>
              <w:t>6.7.</w:t>
            </w:r>
            <w:r w:rsidRPr="009D3D85">
              <w:rPr>
                <w:rFonts w:ascii="Times New Roman" w:hAnsi="Times New Roman"/>
              </w:rPr>
              <w:t xml:space="preserve"> Rozširuje, inovuje, vytvára alebo zavádza sa nový informačný systém?</w:t>
            </w:r>
          </w:p>
          <w:p w:rsidR="009D3D85" w:rsidRPr="009D3D85" w:rsidP="009D3D85">
            <w:pPr>
              <w:bidi w:val="0"/>
              <w:spacing w:after="0" w:line="20" w:lineRule="atLeast"/>
              <w:jc w:val="both"/>
              <w:rPr>
                <w:rFonts w:ascii="Times New Roman" w:hAnsi="Times New Roman"/>
              </w:rPr>
            </w:pPr>
            <w:r w:rsidRPr="009D3D85">
              <w:rPr>
                <w:rFonts w:ascii="Times New Roman" w:hAnsi="Times New Roman"/>
                <w:i/>
                <w:iCs/>
              </w:rPr>
              <w:t>(Uveďte jeho funkciu.)</w:t>
            </w:r>
          </w:p>
        </w:tc>
        <w:tc>
          <w:tcPr>
            <w:tcW w:w="4136" w:type="dxa"/>
            <w:tcBorders>
              <w:top w:val="single" w:sz="4" w:space="0" w:color="auto"/>
              <w:left w:val="single" w:sz="4" w:space="0" w:color="auto"/>
              <w:bottom w:val="single" w:sz="4" w:space="0" w:color="auto"/>
              <w:right w:val="single" w:sz="4" w:space="0" w:color="auto"/>
            </w:tcBorders>
            <w:textDirection w:val="lrTb"/>
            <w:vAlign w:val="top"/>
          </w:tcPr>
          <w:p w:rsidR="009D3D85" w:rsidRPr="009D3D85" w:rsidP="009D3D85">
            <w:pPr>
              <w:bidi w:val="0"/>
              <w:spacing w:after="0" w:line="240" w:lineRule="auto"/>
              <w:jc w:val="both"/>
              <w:rPr>
                <w:rFonts w:ascii="Times New Roman" w:hAnsi="Times New Roman"/>
                <w:iCs/>
              </w:rPr>
            </w:pPr>
            <w:r w:rsidRPr="009D3D85">
              <w:rPr>
                <w:rFonts w:ascii="Times New Roman" w:hAnsi="Times New Roman"/>
                <w:iCs/>
              </w:rPr>
              <w:t xml:space="preserve">Áno. Rozširuje sa register účtovných závierok za účelom jednorazového predkladania výročných správ do registra v elektronickej forme. </w:t>
            </w:r>
          </w:p>
        </w:tc>
      </w:tr>
      <w:tr>
        <w:tblPrEx>
          <w:tblW w:w="9371"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9D3D85" w:rsidRPr="009D3D85" w:rsidP="009D3D85">
            <w:pPr>
              <w:bidi w:val="0"/>
              <w:spacing w:after="0" w:line="240" w:lineRule="auto"/>
              <w:jc w:val="both"/>
              <w:rPr>
                <w:rFonts w:ascii="Times New Roman" w:hAnsi="Times New Roman"/>
              </w:rPr>
            </w:pPr>
            <w:r w:rsidRPr="009D3D85">
              <w:rPr>
                <w:rFonts w:ascii="Times New Roman" w:hAnsi="Times New Roman"/>
                <w:b/>
              </w:rPr>
              <w:t>6.8.</w:t>
            </w:r>
            <w:r w:rsidRPr="009D3D85">
              <w:rPr>
                <w:rFonts w:ascii="Times New Roman" w:hAnsi="Times New Roman"/>
              </w:rPr>
              <w:t xml:space="preserve"> Rozširuje sa prístupnosť k internetu?</w:t>
            </w:r>
          </w:p>
          <w:p w:rsidR="009D3D85" w:rsidRPr="009D3D85" w:rsidP="009D3D85">
            <w:pPr>
              <w:bidi w:val="0"/>
              <w:spacing w:after="0" w:line="20" w:lineRule="atLeast"/>
              <w:jc w:val="both"/>
              <w:rPr>
                <w:rFonts w:ascii="Times New Roman" w:hAnsi="Times New Roman"/>
              </w:rPr>
            </w:pPr>
            <w:r w:rsidRPr="009D3D85">
              <w:rPr>
                <w:rFonts w:ascii="Times New Roman" w:hAnsi="Times New Roman"/>
                <w:i/>
                <w:iCs/>
              </w:rPr>
              <w:t>(Uveďte spôsob rozširovania prístupnosti.)</w:t>
            </w:r>
          </w:p>
        </w:tc>
        <w:tc>
          <w:tcPr>
            <w:tcW w:w="4136" w:type="dxa"/>
            <w:tcBorders>
              <w:top w:val="single" w:sz="4" w:space="0" w:color="auto"/>
              <w:left w:val="single" w:sz="4" w:space="0" w:color="auto"/>
              <w:bottom w:val="single" w:sz="4" w:space="0" w:color="auto"/>
              <w:right w:val="single" w:sz="4" w:space="0" w:color="auto"/>
            </w:tcBorders>
            <w:textDirection w:val="lrTb"/>
            <w:vAlign w:val="top"/>
          </w:tcPr>
          <w:p w:rsidR="009D3D85" w:rsidRPr="009D3D85" w:rsidP="009D3D85">
            <w:pPr>
              <w:bidi w:val="0"/>
              <w:spacing w:after="0" w:line="240" w:lineRule="auto"/>
              <w:jc w:val="both"/>
              <w:rPr>
                <w:rFonts w:ascii="Times New Roman" w:hAnsi="Times New Roman"/>
                <w:iCs/>
              </w:rPr>
            </w:pPr>
            <w:r w:rsidRPr="009D3D85">
              <w:rPr>
                <w:rFonts w:ascii="Times New Roman" w:hAnsi="Times New Roman"/>
                <w:iCs/>
              </w:rPr>
              <w:t>Nie</w:t>
            </w:r>
          </w:p>
        </w:tc>
      </w:tr>
      <w:tr>
        <w:tblPrEx>
          <w:tblW w:w="9371"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9D3D85" w:rsidRPr="009D3D85" w:rsidP="009D3D85">
            <w:pPr>
              <w:bidi w:val="0"/>
              <w:spacing w:after="0" w:line="240" w:lineRule="auto"/>
              <w:rPr>
                <w:rFonts w:ascii="Times New Roman" w:hAnsi="Times New Roman"/>
              </w:rPr>
            </w:pPr>
            <w:r w:rsidRPr="009D3D85">
              <w:rPr>
                <w:rFonts w:ascii="Times New Roman" w:hAnsi="Times New Roman"/>
                <w:b/>
              </w:rPr>
              <w:t>6.9.</w:t>
            </w:r>
            <w:r w:rsidRPr="009D3D85">
              <w:rPr>
                <w:rFonts w:ascii="Times New Roman" w:hAnsi="Times New Roman"/>
              </w:rPr>
              <w:t xml:space="preserve"> Rozširuje sa prístupnosť k elektronickým službám?</w:t>
            </w:r>
          </w:p>
          <w:p w:rsidR="009D3D85" w:rsidRPr="009D3D85" w:rsidP="009D3D85">
            <w:pPr>
              <w:bidi w:val="0"/>
              <w:spacing w:after="0" w:line="20" w:lineRule="atLeast"/>
              <w:rPr>
                <w:rFonts w:ascii="Times New Roman" w:hAnsi="Times New Roman"/>
              </w:rPr>
            </w:pPr>
            <w:r w:rsidRPr="009D3D85">
              <w:rPr>
                <w:rFonts w:ascii="Times New Roman" w:hAnsi="Times New Roman"/>
                <w:i/>
                <w:iCs/>
              </w:rPr>
              <w:t>(Uveďte spôsob rozširovania prístupnosti.)</w:t>
            </w:r>
          </w:p>
        </w:tc>
        <w:tc>
          <w:tcPr>
            <w:tcW w:w="4136" w:type="dxa"/>
            <w:tcBorders>
              <w:top w:val="single" w:sz="4" w:space="0" w:color="auto"/>
              <w:left w:val="single" w:sz="4" w:space="0" w:color="auto"/>
              <w:bottom w:val="single" w:sz="4" w:space="0" w:color="auto"/>
              <w:right w:val="single" w:sz="4" w:space="0" w:color="auto"/>
            </w:tcBorders>
            <w:textDirection w:val="lrTb"/>
            <w:vAlign w:val="top"/>
          </w:tcPr>
          <w:p w:rsidR="009D3D85" w:rsidRPr="009D3D85" w:rsidP="009D3D85">
            <w:pPr>
              <w:bidi w:val="0"/>
              <w:spacing w:after="0" w:line="240" w:lineRule="auto"/>
              <w:jc w:val="both"/>
              <w:rPr>
                <w:rFonts w:ascii="Times New Roman" w:hAnsi="Times New Roman"/>
                <w:iCs/>
              </w:rPr>
            </w:pPr>
            <w:r w:rsidRPr="009D3D85">
              <w:rPr>
                <w:rFonts w:ascii="Times New Roman" w:hAnsi="Times New Roman"/>
                <w:iCs/>
              </w:rPr>
              <w:t>Nie</w:t>
            </w:r>
          </w:p>
        </w:tc>
      </w:tr>
      <w:tr>
        <w:tblPrEx>
          <w:tblW w:w="9371"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9D3D85" w:rsidRPr="009D3D85" w:rsidP="009D3D85">
            <w:pPr>
              <w:bidi w:val="0"/>
              <w:spacing w:after="0" w:line="240" w:lineRule="auto"/>
              <w:jc w:val="both"/>
              <w:rPr>
                <w:rFonts w:ascii="Times New Roman" w:hAnsi="Times New Roman"/>
              </w:rPr>
            </w:pPr>
            <w:r w:rsidRPr="009D3D85">
              <w:rPr>
                <w:rFonts w:ascii="Times New Roman" w:hAnsi="Times New Roman"/>
                <w:b/>
              </w:rPr>
              <w:t>6.10.</w:t>
            </w:r>
            <w:r w:rsidRPr="009D3D85">
              <w:rPr>
                <w:rFonts w:ascii="Times New Roman" w:hAnsi="Times New Roman"/>
              </w:rPr>
              <w:t xml:space="preserve"> Zabezpečuje sa technická interoperabilita?</w:t>
            </w:r>
          </w:p>
          <w:p w:rsidR="009D3D85" w:rsidRPr="009D3D85" w:rsidP="009D3D85">
            <w:pPr>
              <w:bidi w:val="0"/>
              <w:spacing w:after="0" w:line="20" w:lineRule="atLeast"/>
              <w:jc w:val="both"/>
              <w:rPr>
                <w:rFonts w:ascii="Times New Roman" w:hAnsi="Times New Roman"/>
              </w:rPr>
            </w:pPr>
            <w:r w:rsidRPr="009D3D85">
              <w:rPr>
                <w:rFonts w:ascii="Times New Roman" w:hAnsi="Times New Roman"/>
                <w:i/>
                <w:iCs/>
              </w:rPr>
              <w:t>(Uveďte spôsob jej zabezpečenia.)</w:t>
            </w:r>
          </w:p>
        </w:tc>
        <w:tc>
          <w:tcPr>
            <w:tcW w:w="4136" w:type="dxa"/>
            <w:tcBorders>
              <w:top w:val="single" w:sz="4" w:space="0" w:color="auto"/>
              <w:left w:val="single" w:sz="4" w:space="0" w:color="auto"/>
              <w:bottom w:val="single" w:sz="4" w:space="0" w:color="auto"/>
              <w:right w:val="single" w:sz="4" w:space="0" w:color="auto"/>
            </w:tcBorders>
            <w:textDirection w:val="lrTb"/>
            <w:vAlign w:val="top"/>
          </w:tcPr>
          <w:p w:rsidR="009D3D85" w:rsidRPr="009D3D85" w:rsidP="009D3D85">
            <w:pPr>
              <w:bidi w:val="0"/>
              <w:spacing w:after="0" w:line="240" w:lineRule="auto"/>
              <w:jc w:val="both"/>
              <w:rPr>
                <w:rFonts w:ascii="Times New Roman" w:hAnsi="Times New Roman"/>
                <w:iCs/>
              </w:rPr>
            </w:pPr>
            <w:r w:rsidRPr="009D3D85">
              <w:rPr>
                <w:rFonts w:ascii="Times New Roman" w:hAnsi="Times New Roman"/>
                <w:iCs/>
              </w:rPr>
              <w:t>Áno, RÚZ bude využívať referenčné údaje a referenčné prepojenia z iných základných registrov, existujúcu aplikačno-technologickú infraštruktúru DataCentra a komunikačných kanálov (napr. Finet II pre prepojenie so systémom DÚ SR, Govnet pre komunikáciu registra a s ďalšími rezortnými informačnými systémami a Internet pre sprístupnenie výstupov registra ďalším subjektom )</w:t>
            </w:r>
          </w:p>
        </w:tc>
      </w:tr>
      <w:tr>
        <w:tblPrEx>
          <w:tblW w:w="9371"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9D3D85" w:rsidRPr="009D3D85" w:rsidP="009D3D85">
            <w:pPr>
              <w:bidi w:val="0"/>
              <w:spacing w:after="0" w:line="240" w:lineRule="auto"/>
              <w:jc w:val="both"/>
              <w:rPr>
                <w:rFonts w:ascii="Times New Roman" w:hAnsi="Times New Roman"/>
              </w:rPr>
            </w:pPr>
            <w:r w:rsidRPr="009D3D85">
              <w:rPr>
                <w:rFonts w:ascii="Times New Roman" w:hAnsi="Times New Roman"/>
                <w:b/>
              </w:rPr>
              <w:t>6.11.</w:t>
            </w:r>
            <w:r w:rsidRPr="009D3D85">
              <w:rPr>
                <w:rFonts w:ascii="Times New Roman" w:hAnsi="Times New Roman"/>
              </w:rPr>
              <w:t xml:space="preserve"> Zvyšuje sa bezpečnosť IT?</w:t>
            </w:r>
          </w:p>
          <w:p w:rsidR="009D3D85" w:rsidRPr="009D3D85" w:rsidP="009D3D85">
            <w:pPr>
              <w:bidi w:val="0"/>
              <w:spacing w:after="0" w:line="20" w:lineRule="atLeast"/>
              <w:jc w:val="both"/>
              <w:rPr>
                <w:rFonts w:ascii="Times New Roman" w:hAnsi="Times New Roman"/>
              </w:rPr>
            </w:pPr>
            <w:r w:rsidRPr="009D3D85">
              <w:rPr>
                <w:rFonts w:ascii="Times New Roman" w:hAnsi="Times New Roman"/>
              </w:rPr>
              <w:t>(</w:t>
            </w:r>
            <w:r w:rsidRPr="009D3D85">
              <w:rPr>
                <w:rFonts w:ascii="Times New Roman" w:hAnsi="Times New Roman"/>
                <w:i/>
                <w:iCs/>
              </w:rPr>
              <w:t>Uveďte spôsob zvýšenia bezpečnosti a ochrany IT.)</w:t>
            </w:r>
          </w:p>
        </w:tc>
        <w:tc>
          <w:tcPr>
            <w:tcW w:w="4136" w:type="dxa"/>
            <w:tcBorders>
              <w:top w:val="single" w:sz="4" w:space="0" w:color="auto"/>
              <w:left w:val="single" w:sz="4" w:space="0" w:color="auto"/>
              <w:bottom w:val="single" w:sz="4" w:space="0" w:color="auto"/>
              <w:right w:val="single" w:sz="4" w:space="0" w:color="auto"/>
            </w:tcBorders>
            <w:textDirection w:val="lrTb"/>
            <w:vAlign w:val="top"/>
          </w:tcPr>
          <w:p w:rsidR="009D3D85" w:rsidRPr="009D3D85" w:rsidP="009D3D85">
            <w:pPr>
              <w:tabs>
                <w:tab w:val="left" w:pos="505"/>
              </w:tabs>
              <w:bidi w:val="0"/>
              <w:spacing w:after="0" w:line="240" w:lineRule="auto"/>
              <w:jc w:val="both"/>
              <w:rPr>
                <w:rFonts w:ascii="Times New Roman" w:hAnsi="Times New Roman"/>
                <w:iCs/>
              </w:rPr>
            </w:pPr>
            <w:r w:rsidRPr="009D3D85">
              <w:rPr>
                <w:rFonts w:ascii="Times New Roman" w:hAnsi="Times New Roman"/>
                <w:iCs/>
              </w:rPr>
              <w:t>Áno, doplnením bezpečnostných prvkov ako šifrovanie údajov a garantovaného doručenia.</w:t>
            </w:r>
          </w:p>
        </w:tc>
      </w:tr>
      <w:tr>
        <w:tblPrEx>
          <w:tblW w:w="9371"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9D3D85" w:rsidRPr="009D3D85" w:rsidP="009D3D85">
            <w:pPr>
              <w:bidi w:val="0"/>
              <w:spacing w:after="0" w:line="240" w:lineRule="auto"/>
              <w:jc w:val="both"/>
              <w:rPr>
                <w:rFonts w:ascii="Times New Roman" w:hAnsi="Times New Roman"/>
              </w:rPr>
            </w:pPr>
            <w:r w:rsidRPr="009D3D85">
              <w:rPr>
                <w:rFonts w:ascii="Times New Roman" w:hAnsi="Times New Roman"/>
                <w:b/>
              </w:rPr>
              <w:t>6.12.</w:t>
            </w:r>
            <w:r w:rsidRPr="009D3D85">
              <w:rPr>
                <w:rFonts w:ascii="Times New Roman" w:hAnsi="Times New Roman"/>
              </w:rPr>
              <w:t xml:space="preserve"> Rozširuje sa technická infraštruktúra?</w:t>
            </w:r>
          </w:p>
          <w:p w:rsidR="009D3D85" w:rsidRPr="009D3D85" w:rsidP="009D3D85">
            <w:pPr>
              <w:bidi w:val="0"/>
              <w:spacing w:after="0" w:line="20" w:lineRule="atLeast"/>
              <w:jc w:val="both"/>
              <w:rPr>
                <w:rFonts w:ascii="Times New Roman" w:hAnsi="Times New Roman"/>
              </w:rPr>
            </w:pPr>
            <w:r w:rsidRPr="009D3D85">
              <w:rPr>
                <w:rFonts w:ascii="Times New Roman" w:hAnsi="Times New Roman"/>
              </w:rPr>
              <w:t>(</w:t>
            </w:r>
            <w:r w:rsidRPr="009D3D85">
              <w:rPr>
                <w:rFonts w:ascii="Times New Roman" w:hAnsi="Times New Roman"/>
                <w:i/>
                <w:iCs/>
              </w:rPr>
              <w:t>Uveďte stručný popis zavádzanej infraštruktúry.)</w:t>
            </w:r>
          </w:p>
        </w:tc>
        <w:tc>
          <w:tcPr>
            <w:tcW w:w="4136" w:type="dxa"/>
            <w:tcBorders>
              <w:top w:val="single" w:sz="4" w:space="0" w:color="auto"/>
              <w:left w:val="single" w:sz="4" w:space="0" w:color="auto"/>
              <w:bottom w:val="single" w:sz="4" w:space="0" w:color="auto"/>
              <w:right w:val="single" w:sz="4" w:space="0" w:color="auto"/>
            </w:tcBorders>
            <w:textDirection w:val="lrTb"/>
            <w:vAlign w:val="top"/>
          </w:tcPr>
          <w:p w:rsidR="009D3D85" w:rsidRPr="009D3D85" w:rsidP="009D3D85">
            <w:pPr>
              <w:bidi w:val="0"/>
              <w:spacing w:after="0" w:line="240" w:lineRule="auto"/>
              <w:jc w:val="both"/>
              <w:rPr>
                <w:rFonts w:ascii="Times New Roman" w:hAnsi="Times New Roman"/>
                <w:iCs/>
              </w:rPr>
            </w:pPr>
            <w:r w:rsidRPr="009D3D85">
              <w:rPr>
                <w:rFonts w:ascii="Times New Roman" w:hAnsi="Times New Roman"/>
                <w:iCs/>
              </w:rPr>
              <w:t>Áno,</w:t>
            </w:r>
          </w:p>
          <w:p w:rsidR="009D3D85" w:rsidRPr="009D3D85" w:rsidP="009D3D85">
            <w:pPr>
              <w:bidi w:val="0"/>
              <w:spacing w:after="0" w:line="240" w:lineRule="auto"/>
              <w:jc w:val="both"/>
              <w:rPr>
                <w:rFonts w:ascii="Times New Roman" w:hAnsi="Times New Roman"/>
                <w:iCs/>
              </w:rPr>
            </w:pPr>
            <w:r w:rsidRPr="009D3D85">
              <w:rPr>
                <w:rFonts w:ascii="Times New Roman" w:hAnsi="Times New Roman"/>
                <w:iCs/>
              </w:rPr>
              <w:t>dobudovaním softvéru, hardvéru a relevantných aplikácií.</w:t>
            </w:r>
          </w:p>
        </w:tc>
      </w:tr>
      <w:tr>
        <w:tblPrEx>
          <w:tblW w:w="9371"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9D3D85" w:rsidRPr="009D3D85" w:rsidP="009D3D85">
            <w:pPr>
              <w:bidi w:val="0"/>
              <w:spacing w:after="0" w:line="20" w:lineRule="atLeast"/>
              <w:rPr>
                <w:rFonts w:ascii="Times New Roman" w:hAnsi="Times New Roman"/>
                <w:b/>
                <w:color w:val="FFFFFF"/>
              </w:rPr>
            </w:pPr>
            <w:r w:rsidRPr="009D3D85">
              <w:rPr>
                <w:rFonts w:ascii="Times New Roman" w:hAnsi="Times New Roman"/>
                <w:b/>
                <w:color w:val="FFFFFF"/>
              </w:rPr>
              <w:t>Riadenie procesu informatizácie</w:t>
            </w:r>
          </w:p>
        </w:tc>
        <w:tc>
          <w:tcPr>
            <w:tcW w:w="4136"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9D3D85" w:rsidRPr="009D3D85" w:rsidP="009D3D85">
            <w:pPr>
              <w:bidi w:val="0"/>
              <w:spacing w:after="0" w:line="240" w:lineRule="auto"/>
              <w:jc w:val="both"/>
              <w:rPr>
                <w:rFonts w:ascii="Times New Roman" w:hAnsi="Times New Roman"/>
                <w:b/>
              </w:rPr>
            </w:pPr>
          </w:p>
        </w:tc>
      </w:tr>
      <w:tr>
        <w:tblPrEx>
          <w:tblW w:w="9371"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9D3D85" w:rsidRPr="009D3D85" w:rsidP="009D3D85">
            <w:pPr>
              <w:bidi w:val="0"/>
              <w:spacing w:after="0" w:line="240" w:lineRule="auto"/>
              <w:jc w:val="both"/>
              <w:rPr>
                <w:rFonts w:ascii="Times New Roman" w:hAnsi="Times New Roman"/>
              </w:rPr>
            </w:pPr>
            <w:r w:rsidRPr="009D3D85">
              <w:rPr>
                <w:rFonts w:ascii="Times New Roman" w:hAnsi="Times New Roman"/>
                <w:b/>
              </w:rPr>
              <w:t>6.13.</w:t>
            </w:r>
            <w:r w:rsidRPr="009D3D85">
              <w:rPr>
                <w:rFonts w:ascii="Times New Roman" w:hAnsi="Times New Roman"/>
              </w:rPr>
              <w:t xml:space="preserve"> Predpokladajú sa zmeny v riadení procesu informatizácie?</w:t>
            </w:r>
          </w:p>
          <w:p w:rsidR="009D3D85" w:rsidRPr="009D3D85" w:rsidP="009D3D85">
            <w:pPr>
              <w:bidi w:val="0"/>
              <w:spacing w:after="0" w:line="20" w:lineRule="atLeast"/>
              <w:jc w:val="both"/>
              <w:rPr>
                <w:rFonts w:ascii="Times New Roman" w:hAnsi="Times New Roman"/>
              </w:rPr>
            </w:pPr>
            <w:r w:rsidRPr="009D3D85">
              <w:rPr>
                <w:rFonts w:ascii="Times New Roman" w:hAnsi="Times New Roman"/>
                <w:i/>
                <w:iCs/>
              </w:rPr>
              <w:t>(Uveďte popis zmien.)</w:t>
            </w:r>
          </w:p>
        </w:tc>
        <w:tc>
          <w:tcPr>
            <w:tcW w:w="4136" w:type="dxa"/>
            <w:tcBorders>
              <w:top w:val="single" w:sz="4" w:space="0" w:color="auto"/>
              <w:left w:val="single" w:sz="4" w:space="0" w:color="auto"/>
              <w:bottom w:val="single" w:sz="4" w:space="0" w:color="auto"/>
              <w:right w:val="single" w:sz="4" w:space="0" w:color="auto"/>
            </w:tcBorders>
            <w:textDirection w:val="lrTb"/>
            <w:vAlign w:val="top"/>
          </w:tcPr>
          <w:p w:rsidR="009D3D85" w:rsidRPr="009D3D85" w:rsidP="009D3D85">
            <w:pPr>
              <w:bidi w:val="0"/>
              <w:spacing w:after="0" w:line="240" w:lineRule="auto"/>
              <w:jc w:val="both"/>
              <w:rPr>
                <w:rFonts w:ascii="Times New Roman" w:hAnsi="Times New Roman"/>
                <w:iCs/>
              </w:rPr>
            </w:pPr>
            <w:r w:rsidRPr="009D3D85">
              <w:rPr>
                <w:rFonts w:ascii="Times New Roman" w:hAnsi="Times New Roman"/>
                <w:iCs/>
              </w:rPr>
              <w:t>Nie</w:t>
            </w:r>
          </w:p>
        </w:tc>
      </w:tr>
      <w:tr>
        <w:tblPrEx>
          <w:tblW w:w="9371"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9D3D85" w:rsidRPr="009D3D85" w:rsidP="009D3D85">
            <w:pPr>
              <w:bidi w:val="0"/>
              <w:spacing w:after="0" w:line="20" w:lineRule="atLeast"/>
              <w:jc w:val="both"/>
              <w:rPr>
                <w:rFonts w:ascii="Times New Roman" w:hAnsi="Times New Roman"/>
                <w:b/>
                <w:color w:val="FFFFFF"/>
              </w:rPr>
            </w:pPr>
            <w:r w:rsidRPr="009D3D85">
              <w:rPr>
                <w:rFonts w:ascii="Times New Roman" w:hAnsi="Times New Roman"/>
                <w:b/>
                <w:color w:val="FFFFFF"/>
              </w:rPr>
              <w:t>Financovanie procesu informatizácie</w:t>
            </w:r>
          </w:p>
        </w:tc>
        <w:tc>
          <w:tcPr>
            <w:tcW w:w="4136"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9D3D85" w:rsidRPr="009D3D85" w:rsidP="009D3D85">
            <w:pPr>
              <w:bidi w:val="0"/>
              <w:spacing w:after="0" w:line="240" w:lineRule="auto"/>
              <w:jc w:val="both"/>
              <w:rPr>
                <w:rFonts w:ascii="Times New Roman" w:hAnsi="Times New Roman"/>
                <w:b/>
                <w:iCs/>
              </w:rPr>
            </w:pPr>
          </w:p>
        </w:tc>
      </w:tr>
      <w:tr>
        <w:tblPrEx>
          <w:tblW w:w="9371"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9D3D85" w:rsidRPr="009D3D85" w:rsidP="009D3D85">
            <w:pPr>
              <w:bidi w:val="0"/>
              <w:spacing w:after="0" w:line="240" w:lineRule="auto"/>
              <w:rPr>
                <w:rFonts w:ascii="Times New Roman" w:hAnsi="Times New Roman"/>
              </w:rPr>
            </w:pPr>
            <w:r w:rsidRPr="009D3D85">
              <w:rPr>
                <w:rFonts w:ascii="Times New Roman" w:hAnsi="Times New Roman"/>
                <w:b/>
              </w:rPr>
              <w:t>6.14.</w:t>
            </w:r>
            <w:r w:rsidRPr="009D3D85">
              <w:rPr>
                <w:rFonts w:ascii="Times New Roman" w:hAnsi="Times New Roman"/>
              </w:rPr>
              <w:t xml:space="preserve"> Vyžaduje si proces informatizácie  finančné investície?</w:t>
            </w:r>
          </w:p>
          <w:p w:rsidR="009D3D85" w:rsidRPr="009D3D85" w:rsidP="009D3D85">
            <w:pPr>
              <w:bidi w:val="0"/>
              <w:spacing w:after="0" w:line="20" w:lineRule="atLeast"/>
              <w:rPr>
                <w:rFonts w:ascii="Times New Roman" w:hAnsi="Times New Roman"/>
              </w:rPr>
            </w:pPr>
            <w:r w:rsidRPr="009D3D85">
              <w:rPr>
                <w:rFonts w:ascii="Times New Roman" w:hAnsi="Times New Roman"/>
                <w:i/>
                <w:iCs/>
              </w:rPr>
              <w:t>(Popíšte príslušnú úroveň financovania.)</w:t>
            </w:r>
          </w:p>
        </w:tc>
        <w:tc>
          <w:tcPr>
            <w:tcW w:w="4136" w:type="dxa"/>
            <w:tcBorders>
              <w:top w:val="single" w:sz="4" w:space="0" w:color="auto"/>
              <w:left w:val="single" w:sz="4" w:space="0" w:color="auto"/>
              <w:bottom w:val="single" w:sz="4" w:space="0" w:color="auto"/>
              <w:right w:val="single" w:sz="4" w:space="0" w:color="auto"/>
            </w:tcBorders>
            <w:textDirection w:val="lrTb"/>
            <w:vAlign w:val="top"/>
          </w:tcPr>
          <w:p w:rsidR="009D3D85" w:rsidRPr="009D3D85" w:rsidP="009D3D85">
            <w:pPr>
              <w:bidi w:val="0"/>
              <w:spacing w:after="0" w:line="240" w:lineRule="auto"/>
              <w:jc w:val="both"/>
              <w:rPr>
                <w:rFonts w:ascii="Times New Roman" w:hAnsi="Times New Roman"/>
                <w:iCs/>
              </w:rPr>
            </w:pPr>
            <w:r w:rsidRPr="009D3D85">
              <w:rPr>
                <w:rFonts w:ascii="Times New Roman" w:hAnsi="Times New Roman"/>
                <w:iCs/>
              </w:rPr>
              <w:t>Nie</w:t>
            </w:r>
          </w:p>
        </w:tc>
      </w:tr>
      <w:tr>
        <w:tblPrEx>
          <w:tblW w:w="9371"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9D3D85" w:rsidRPr="009D3D85" w:rsidP="009D3D85">
            <w:pPr>
              <w:bidi w:val="0"/>
              <w:spacing w:after="0" w:line="20" w:lineRule="atLeast"/>
              <w:jc w:val="both"/>
              <w:rPr>
                <w:rFonts w:ascii="Times New Roman" w:hAnsi="Times New Roman"/>
                <w:b/>
                <w:color w:val="FFFFFF"/>
              </w:rPr>
            </w:pPr>
            <w:r w:rsidRPr="009D3D85">
              <w:rPr>
                <w:rFonts w:ascii="Times New Roman" w:hAnsi="Times New Roman"/>
                <w:b/>
                <w:color w:val="FFFFFF"/>
              </w:rPr>
              <w:t>Legislatívne prostredie procesu informatizácie</w:t>
            </w:r>
          </w:p>
        </w:tc>
        <w:tc>
          <w:tcPr>
            <w:tcW w:w="4136"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9D3D85" w:rsidRPr="009D3D85" w:rsidP="009D3D85">
            <w:pPr>
              <w:bidi w:val="0"/>
              <w:spacing w:after="0" w:line="240" w:lineRule="auto"/>
              <w:jc w:val="both"/>
              <w:rPr>
                <w:rFonts w:ascii="Times New Roman" w:hAnsi="Times New Roman"/>
                <w:b/>
                <w:i/>
                <w:iCs/>
              </w:rPr>
            </w:pPr>
          </w:p>
        </w:tc>
      </w:tr>
      <w:tr>
        <w:tblPrEx>
          <w:tblW w:w="9371" w:type="dxa"/>
          <w:tblInd w:w="55" w:type="dxa"/>
          <w:tblCellMar>
            <w:top w:w="28" w:type="dxa"/>
            <w:left w:w="70" w:type="dxa"/>
            <w:bottom w:w="28" w:type="dxa"/>
            <w:right w:w="70" w:type="dxa"/>
          </w:tblCellMar>
        </w:tblPrEx>
        <w:trPr>
          <w:trHeight w:val="531"/>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9D3D85" w:rsidRPr="009D3D85" w:rsidP="009D3D85">
            <w:pPr>
              <w:bidi w:val="0"/>
              <w:spacing w:after="0" w:line="240" w:lineRule="auto"/>
              <w:rPr>
                <w:rFonts w:ascii="Times New Roman" w:hAnsi="Times New Roman"/>
              </w:rPr>
            </w:pPr>
            <w:r w:rsidRPr="009D3D85">
              <w:rPr>
                <w:rFonts w:ascii="Times New Roman" w:hAnsi="Times New Roman"/>
                <w:b/>
              </w:rPr>
              <w:t>6.15.</w:t>
            </w:r>
            <w:r w:rsidRPr="009D3D85">
              <w:rPr>
                <w:rFonts w:ascii="Times New Roman" w:hAnsi="Times New Roman"/>
              </w:rPr>
              <w:t xml:space="preserve"> Predpokladá nelegislatívny materiál potrebu úpravy legislatívneho prostredia  procesu informatizácie?</w:t>
            </w:r>
          </w:p>
          <w:p w:rsidR="009D3D85" w:rsidRPr="009D3D85" w:rsidP="009D3D85">
            <w:pPr>
              <w:bidi w:val="0"/>
              <w:spacing w:after="0" w:line="20" w:lineRule="atLeast"/>
              <w:rPr>
                <w:rFonts w:ascii="Times New Roman" w:hAnsi="Times New Roman"/>
              </w:rPr>
            </w:pPr>
            <w:r w:rsidRPr="009D3D85">
              <w:rPr>
                <w:rFonts w:ascii="Times New Roman" w:hAnsi="Times New Roman"/>
                <w:i/>
                <w:iCs/>
              </w:rPr>
              <w:t>(Stručne popíšte navrhované legislatívne zmeny.)</w:t>
            </w:r>
          </w:p>
        </w:tc>
        <w:tc>
          <w:tcPr>
            <w:tcW w:w="4136" w:type="dxa"/>
            <w:tcBorders>
              <w:top w:val="single" w:sz="4" w:space="0" w:color="auto"/>
              <w:left w:val="single" w:sz="4" w:space="0" w:color="auto"/>
              <w:bottom w:val="single" w:sz="4" w:space="0" w:color="auto"/>
              <w:right w:val="single" w:sz="4" w:space="0" w:color="auto"/>
            </w:tcBorders>
            <w:textDirection w:val="lrTb"/>
            <w:vAlign w:val="top"/>
          </w:tcPr>
          <w:p w:rsidR="009D3D85" w:rsidRPr="009D3D85" w:rsidP="009D3D85">
            <w:pPr>
              <w:bidi w:val="0"/>
              <w:spacing w:after="0" w:line="240" w:lineRule="auto"/>
              <w:jc w:val="both"/>
              <w:rPr>
                <w:rFonts w:ascii="Times New Roman" w:hAnsi="Times New Roman"/>
                <w:iCs/>
              </w:rPr>
            </w:pPr>
            <w:r w:rsidRPr="009D3D85">
              <w:rPr>
                <w:rFonts w:ascii="Times New Roman" w:hAnsi="Times New Roman"/>
                <w:iCs/>
              </w:rPr>
              <w:t xml:space="preserve">Nie. </w:t>
            </w:r>
            <w:r w:rsidRPr="009D3D85">
              <w:rPr>
                <w:rFonts w:ascii="Times New Roman" w:hAnsi="Times New Roman"/>
              </w:rPr>
              <w:t>Nejde o nelegislatívny materiál. Na základe zmeny zákona o účtovníctve sa však navrhujú legislatívne zmeny  v 41 zákonoch.</w:t>
            </w:r>
          </w:p>
        </w:tc>
      </w:tr>
    </w:tbl>
    <w:p w:rsidR="009D3D85" w:rsidRPr="009D3D85" w:rsidP="009D3D85">
      <w:pPr>
        <w:bidi w:val="0"/>
        <w:jc w:val="center"/>
        <w:rPr>
          <w:rFonts w:ascii="Times New Roman" w:hAnsi="Times New Roman"/>
          <w:b/>
          <w:bCs/>
        </w:rPr>
      </w:pPr>
    </w:p>
    <w:p w:rsidR="009D3D85" w:rsidP="009D3D85">
      <w:pPr>
        <w:widowControl/>
        <w:bidi w:val="0"/>
        <w:spacing w:after="280" w:afterAutospacing="1"/>
        <w:rPr>
          <w:rStyle w:val="PlaceholderText"/>
          <w:rFonts w:ascii="Arial Narrow" w:hAnsi="Arial Narrow" w:cs="Arial Narrow"/>
          <w:color w:val="000000"/>
          <w:sz w:val="22"/>
        </w:rPr>
      </w:pPr>
    </w:p>
    <w:p w:rsidR="009D3D85" w:rsidP="009D3D85">
      <w:pPr>
        <w:widowControl/>
        <w:bidi w:val="0"/>
        <w:spacing w:after="280" w:afterAutospacing="1"/>
        <w:rPr>
          <w:rStyle w:val="PlaceholderText"/>
          <w:rFonts w:ascii="Arial Narrow" w:hAnsi="Arial Narrow" w:cs="Arial Narrow"/>
          <w:color w:val="000000"/>
          <w:sz w:val="22"/>
        </w:rPr>
      </w:pPr>
    </w:p>
    <w:p w:rsidR="009D3D85" w:rsidP="009D3D85">
      <w:pPr>
        <w:widowControl/>
        <w:bidi w:val="0"/>
        <w:spacing w:after="280" w:afterAutospacing="1"/>
        <w:rPr>
          <w:rStyle w:val="PlaceholderText"/>
          <w:rFonts w:ascii="Arial Narrow" w:hAnsi="Arial Narrow" w:cs="Arial Narrow"/>
          <w:color w:val="000000"/>
          <w:sz w:val="22"/>
        </w:rPr>
      </w:pPr>
    </w:p>
    <w:p w:rsidR="009D3D85" w:rsidP="009D3D85">
      <w:pPr>
        <w:widowControl/>
        <w:bidi w:val="0"/>
        <w:spacing w:after="280" w:afterAutospacing="1"/>
        <w:rPr>
          <w:rStyle w:val="PlaceholderText"/>
          <w:rFonts w:ascii="Arial Narrow" w:hAnsi="Arial Narrow" w:cs="Arial Narrow"/>
          <w:color w:val="000000"/>
          <w:sz w:val="22"/>
        </w:rPr>
      </w:pPr>
    </w:p>
    <w:p w:rsidR="009D3D85" w:rsidP="009D3D85">
      <w:pPr>
        <w:widowControl/>
        <w:bidi w:val="0"/>
        <w:spacing w:after="280" w:afterAutospacing="1"/>
        <w:rPr>
          <w:rStyle w:val="PlaceholderText"/>
          <w:rFonts w:ascii="Arial Narrow" w:hAnsi="Arial Narrow" w:cs="Arial Narrow"/>
          <w:color w:val="000000"/>
          <w:sz w:val="22"/>
        </w:rPr>
      </w:pPr>
    </w:p>
    <w:p w:rsidR="009D3D85" w:rsidP="009D3D85">
      <w:pPr>
        <w:widowControl/>
        <w:bidi w:val="0"/>
        <w:spacing w:after="280" w:afterAutospacing="1"/>
        <w:rPr>
          <w:rStyle w:val="PlaceholderText"/>
          <w:rFonts w:ascii="Arial Narrow" w:hAnsi="Arial Narrow" w:cs="Arial Narrow"/>
          <w:color w:val="000000"/>
          <w:sz w:val="22"/>
        </w:rPr>
      </w:pPr>
    </w:p>
    <w:p w:rsidR="009D3D85" w:rsidP="009D3D85">
      <w:pPr>
        <w:widowControl/>
        <w:bidi w:val="0"/>
        <w:spacing w:after="280" w:afterAutospacing="1"/>
        <w:rPr>
          <w:rStyle w:val="PlaceholderText"/>
          <w:rFonts w:ascii="Arial Narrow" w:hAnsi="Arial Narrow" w:cs="Arial Narrow"/>
          <w:color w:val="000000"/>
          <w:sz w:val="22"/>
        </w:rPr>
      </w:pPr>
    </w:p>
    <w:p w:rsidR="009D3D85" w:rsidP="009D3D85">
      <w:pPr>
        <w:widowControl/>
        <w:bidi w:val="0"/>
        <w:spacing w:after="280" w:afterAutospacing="1"/>
        <w:rPr>
          <w:rStyle w:val="PlaceholderText"/>
          <w:rFonts w:ascii="Arial Narrow" w:hAnsi="Arial Narrow" w:cs="Arial Narrow"/>
          <w:color w:val="000000"/>
          <w:sz w:val="22"/>
        </w:rPr>
      </w:pPr>
    </w:p>
    <w:p w:rsidR="002F565C" w:rsidP="009D3D85">
      <w:pPr>
        <w:widowControl/>
        <w:bidi w:val="0"/>
        <w:spacing w:after="280" w:afterAutospacing="1"/>
        <w:rPr>
          <w:rStyle w:val="PlaceholderText"/>
          <w:rFonts w:ascii="Arial Narrow" w:hAnsi="Arial Narrow" w:cs="Arial Narrow"/>
          <w:color w:val="000000"/>
          <w:sz w:val="22"/>
        </w:rPr>
      </w:pPr>
    </w:p>
    <w:p w:rsidR="002F565C" w:rsidP="009D3D85">
      <w:pPr>
        <w:widowControl/>
        <w:bidi w:val="0"/>
        <w:spacing w:after="280" w:afterAutospacing="1"/>
        <w:rPr>
          <w:rStyle w:val="PlaceholderText"/>
          <w:rFonts w:ascii="Arial Narrow" w:hAnsi="Arial Narrow" w:cs="Arial Narrow"/>
          <w:color w:val="000000"/>
          <w:sz w:val="22"/>
        </w:rPr>
      </w:pPr>
    </w:p>
    <w:p w:rsidR="002F565C" w:rsidP="009D3D85">
      <w:pPr>
        <w:widowControl/>
        <w:bidi w:val="0"/>
        <w:spacing w:after="280" w:afterAutospacing="1"/>
        <w:rPr>
          <w:rStyle w:val="PlaceholderText"/>
          <w:rFonts w:ascii="Arial Narrow" w:hAnsi="Arial Narrow" w:cs="Arial Narrow"/>
          <w:color w:val="000000"/>
          <w:sz w:val="22"/>
        </w:rPr>
      </w:pPr>
    </w:p>
    <w:p w:rsidR="009D3D85" w:rsidP="009D3D85">
      <w:pPr>
        <w:widowControl/>
        <w:bidi w:val="0"/>
        <w:spacing w:after="280" w:afterAutospacing="1"/>
        <w:rPr>
          <w:rStyle w:val="PlaceholderText"/>
          <w:rFonts w:ascii="Arial Narrow" w:hAnsi="Arial Narrow" w:cs="Arial Narrow"/>
          <w:color w:val="000000"/>
          <w:sz w:val="22"/>
        </w:rPr>
      </w:pPr>
    </w:p>
    <w:p w:rsidR="009D3D85" w:rsidP="009D3D85">
      <w:pPr>
        <w:widowControl/>
        <w:bidi w:val="0"/>
        <w:jc w:val="both"/>
        <w:rPr>
          <w:rFonts w:ascii="Times New Roman" w:hAnsi="Times New Roman"/>
          <w:b/>
          <w:color w:val="000000"/>
        </w:rPr>
      </w:pPr>
      <w:r w:rsidRPr="009D3D85">
        <w:rPr>
          <w:rFonts w:ascii="Times New Roman" w:hAnsi="Times New Roman"/>
          <w:b/>
          <w:color w:val="000000"/>
        </w:rPr>
        <w:t>B. Osobitná časť</w:t>
      </w:r>
    </w:p>
    <w:p w:rsidR="009D3D85" w:rsidRPr="009D3D85" w:rsidP="009D3D85">
      <w:pPr>
        <w:widowControl/>
        <w:bidi w:val="0"/>
        <w:jc w:val="both"/>
        <w:rPr>
          <w:rFonts w:ascii="Times New Roman" w:hAnsi="Times New Roman"/>
          <w:b/>
          <w:color w:val="000000"/>
        </w:rPr>
      </w:pPr>
    </w:p>
    <w:p w:rsidR="009D3D85" w:rsidRPr="009D3D85" w:rsidP="009D3D85">
      <w:pPr>
        <w:widowControl/>
        <w:bidi w:val="0"/>
        <w:jc w:val="both"/>
        <w:rPr>
          <w:rFonts w:ascii="Times New Roman" w:hAnsi="Times New Roman"/>
          <w:b/>
          <w:color w:val="000000"/>
        </w:rPr>
      </w:pPr>
      <w:r w:rsidRPr="009D3D85">
        <w:rPr>
          <w:rFonts w:ascii="Times New Roman" w:hAnsi="Times New Roman"/>
          <w:b/>
          <w:color w:val="000000"/>
        </w:rPr>
        <w:t>K Čl. I</w:t>
      </w:r>
      <w:r>
        <w:rPr>
          <w:rFonts w:ascii="Times New Roman" w:hAnsi="Times New Roman"/>
          <w:b/>
          <w:color w:val="000000"/>
        </w:rPr>
        <w:t xml:space="preserve"> </w:t>
      </w:r>
    </w:p>
    <w:p w:rsidR="009D3D85" w:rsidRPr="009D3D85" w:rsidP="009D3D85">
      <w:pPr>
        <w:widowControl/>
        <w:bidi w:val="0"/>
        <w:rPr>
          <w:rStyle w:val="PlaceholderText"/>
          <w:rFonts w:ascii="Arial Narrow" w:hAnsi="Arial Narrow" w:cs="Arial Narrow"/>
          <w:color w:val="000000"/>
          <w:sz w:val="22"/>
        </w:rPr>
      </w:pPr>
      <w:r w:rsidRPr="009D3D85">
        <w:rPr>
          <w:rStyle w:val="PlaceholderText"/>
          <w:b/>
          <w:color w:val="000000"/>
        </w:rPr>
        <w:t>K bodu 1</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 xml:space="preserve">Úprava odkazu 4a je vyvolaná legislatívnou úpravou daňovej evidencie v pripravovanej novele zákona č. 595/2003 Z. z. o dani z príjmov v znení neskorších predpisov.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b/>
          <w:color w:val="000000"/>
        </w:rPr>
        <w:t>K bodom 2 a 3 (§ 1)</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 xml:space="preserve">Daňovníci, ktorými sú právnické osoby s obmedzenou daňovou povinnosťou, ktorí majú stálu prevádzkareň na území SR, majú povinnosť viesť na našom území účtovníctvo na účely vyčíslenia základu dane z príjmov za stálu prevádzkareň.  Táto právnická osoba s obmedzenou daňovou povinnosťou nie je účtovnou jednotkou, ale na účely správneho vyčíslenia dane z príjmov sa na ňu vzťahujú povinnosti na vedenie  podvojného účtovníctva.  Podľa zásad podvojného účtovníctva vedie účtovníctvo v účtovných knihách (hlavná kniha a denník) a po uzatvorení účtovných kníh k poslednému dňu účtovného obdobia vyčísľuje výsledok hospodárenia za účtovné obdobie. Táto právnická osoba nemá povinnosť zostaviť účtovnú závierku.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rPr>
          <w:rStyle w:val="PlaceholderText"/>
          <w:rFonts w:ascii="Arial Narrow" w:hAnsi="Arial Narrow" w:cs="Arial Narrow"/>
          <w:color w:val="000000"/>
          <w:sz w:val="22"/>
        </w:rPr>
      </w:pPr>
      <w:r w:rsidRPr="009D3D85">
        <w:rPr>
          <w:rStyle w:val="PlaceholderText"/>
          <w:b/>
          <w:color w:val="000000"/>
        </w:rPr>
        <w:t>K bodu 4 (§ 2 ods. 5 a 7)</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 xml:space="preserve">Zákon definuje mikro účtovnú jednotku za účelom ďalších legislatívnych úprav na vedenie účtovníctva a zostavenie účtovnej závierky pre mikro účtovné jednotky. Povinnosti na zostavenie účtovnej závierky pre mikro účtovné jednotky budú upravené v Opatrení MF SR č. MF/15464/2013-74, ktorým sa ustanovujú podrobnosti o usporiadaní, označovaní a obsahovom vymedzení položiek individuálnej účtovnej závierky a rozsahu údajov určených z individuálnej účtovnej závierky na zverejnenie pre mikro účtovné jednotky. Povinnosti na vedenie účtovníctva sú zapracované v Opatrení MF SR č. 23054/2002-92, ktorým sa ustanovujú podrobnosti o postupoch účtovania a rámcovej účtovej osnove pre podnikateľov účtujúcich v sústave podvojného účtovníctva v znení neskorších predpisov.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 xml:space="preserve">Účtovná jednotka, ktorá spĺňa podmienky ustanovené v § 2 ods. 5 zákona sa môže rozhodnúť, či sa bude považovať za mikro účtovnú jednotku. Ak však začne postupovať a zostavovať účtovnú závierku ako mikro účtovná jednotka, musí tento postup dodržať do času, kým spĺňa podmienky pre mikro účtovnú jednotku. Ide o zabezpečenie zásady kontinuity vykazovania, ktorá je jednou zo základných zásad vykazovania v súlade s právom EÚ.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Mikro účtovná jednotka je účtovná jednotka, ktorá dve po sebe idúce účtovné obdobia nebude prekračovať dve z týchto troch podmienok: objem majetku neprekročí 350 000 eur, čistý obrat neprekročí 700 000 eur a počet zamestnancov 10. Účtovná jednotka, ktorá je na hranici prekročenia alebo neprekročenia veľkostných podmienok prestane byť mikro účtovnou jednotkou, ak prekročí veľkostné podmienky dve po sebe idúce účtovné obdobia.</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Za účtovné obdobie, v ktorom účtovná jednotka vznikla sa môže rozhodnúť, či sa bude považovať za mikro účtovnú jednotku.</w:t>
      </w:r>
    </w:p>
    <w:p w:rsidR="009D3D85" w:rsidRPr="009D3D85" w:rsidP="009D3D85">
      <w:pPr>
        <w:widowControl/>
        <w:bidi w:val="0"/>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rPr>
          <w:rStyle w:val="PlaceholderText"/>
          <w:rFonts w:ascii="Arial Narrow" w:hAnsi="Arial Narrow" w:cs="Arial Narrow"/>
          <w:color w:val="000000"/>
          <w:sz w:val="22"/>
        </w:rPr>
      </w:pPr>
      <w:r w:rsidRPr="009D3D85">
        <w:rPr>
          <w:rStyle w:val="PlaceholderText"/>
          <w:b/>
          <w:color w:val="000000"/>
        </w:rPr>
        <w:t>K bodu 5</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Ide o legislatívno–technickú úpravu, ktorou sa  znenie ustanovenia dáva do súladu so zmenenou terminológiu Daňového poriadku.</w:t>
      </w:r>
    </w:p>
    <w:p w:rsidR="009D3D85" w:rsidRPr="009D3D85" w:rsidP="009D3D85">
      <w:pPr>
        <w:widowControl/>
        <w:bidi w:val="0"/>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rPr>
          <w:rStyle w:val="PlaceholderText"/>
          <w:rFonts w:ascii="Arial Narrow" w:hAnsi="Arial Narrow" w:cs="Arial Narrow"/>
          <w:color w:val="000000"/>
          <w:sz w:val="22"/>
        </w:rPr>
      </w:pPr>
      <w:r w:rsidRPr="009D3D85">
        <w:rPr>
          <w:rStyle w:val="PlaceholderText"/>
          <w:b/>
          <w:color w:val="000000"/>
        </w:rPr>
        <w:t>K bodu 6</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Predmetným návrhom sa ustanovuje povinnosť ustanoviť podrobnosti týkajúce sa vedenia účtovníctva pre právnickú osobu s obmedzenou daňovou povinnosťou  so stálou prevádzkarňou na území SR v opatrení Ministerstva financií SR.</w:t>
      </w:r>
    </w:p>
    <w:p w:rsidR="009D3D85" w:rsidRPr="009D3D85" w:rsidP="009D3D85">
      <w:pPr>
        <w:widowControl/>
        <w:bidi w:val="0"/>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rPr>
          <w:rStyle w:val="PlaceholderText"/>
          <w:rFonts w:ascii="Arial Narrow" w:hAnsi="Arial Narrow" w:cs="Arial Narrow"/>
          <w:color w:val="000000"/>
          <w:sz w:val="22"/>
        </w:rPr>
      </w:pPr>
      <w:r w:rsidRPr="009D3D85">
        <w:rPr>
          <w:rStyle w:val="PlaceholderText"/>
          <w:b/>
          <w:color w:val="000000"/>
        </w:rPr>
        <w:t>K bodu 7 (§ 8 ods. 3)</w:t>
      </w:r>
    </w:p>
    <w:p w:rsidR="009D3D85" w:rsidRPr="009D3D85" w:rsidP="009D3D85">
      <w:pPr>
        <w:widowControl/>
        <w:bidi w:val="0"/>
        <w:rPr>
          <w:rStyle w:val="PlaceholderText"/>
          <w:rFonts w:ascii="Arial Narrow" w:hAnsi="Arial Narrow" w:cs="Arial Narrow"/>
          <w:color w:val="000000"/>
          <w:sz w:val="22"/>
        </w:rPr>
      </w:pPr>
      <w:r w:rsidRPr="009D3D85">
        <w:rPr>
          <w:rStyle w:val="PlaceholderText"/>
          <w:color w:val="000000"/>
        </w:rPr>
        <w:t xml:space="preserve">Ide o legislatívno-technickú úpravu a to z dôvodu zmeny označenia ustanovení, na ktoré  sa  § 8 ods. 3 odkazuje.  </w:t>
      </w:r>
    </w:p>
    <w:p w:rsidR="009D3D85" w:rsidRPr="009D3D85" w:rsidP="009D3D85">
      <w:pPr>
        <w:widowControl/>
        <w:bidi w:val="0"/>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rPr>
          <w:rStyle w:val="PlaceholderText"/>
          <w:rFonts w:ascii="Arial Narrow" w:hAnsi="Arial Narrow" w:cs="Arial Narrow"/>
          <w:color w:val="000000"/>
          <w:sz w:val="22"/>
        </w:rPr>
      </w:pPr>
      <w:r w:rsidRPr="009D3D85">
        <w:rPr>
          <w:rStyle w:val="PlaceholderText"/>
          <w:b/>
          <w:color w:val="000000"/>
        </w:rPr>
        <w:t>K bodom 8 a 9 (§ 17 ods. 2)</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Predmetnou zmenou ustanovení § 17 odsek 2 sa menia povinnosti poskytovania informácií účtovnou jednotkou vo všeobecných náležitostiach účtovnej závierky. Fyzické osoby budú poskytovať informáciu o mieste podnikania. Na rozdiel od súčasného znenia účtovná závierka bude obsahovať podpisový záznam len jednej osoby a to štatutárneho orgánu  účtovnej jednotky alebo člena štatutárneho orgánu účtovnej jednotky. V prípade účtovnej jednotky fyzickej osoby bude účtovná závierka obsahovať podpisový záznam fyzickej osoby, ktorá je účtovnou jednotkou. Ustanovenie je upravené z dôvodu, že vo väčšine prípadov sa predkladajú dokumenty elektronicky a je postačujúce, aby účtovná jednotka zabezpečila podpísanie účtovnej závierky len jedným elektronicky zaručeným podpisom alebo jedným certifikátom, ak má účtovná jednotka uzatvorenú dohodu o elektronickom podaní.</w:t>
      </w:r>
    </w:p>
    <w:p w:rsidR="009D3D85" w:rsidRPr="009D3D85" w:rsidP="009D3D85">
      <w:pPr>
        <w:widowControl/>
        <w:bidi w:val="0"/>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rPr>
          <w:rStyle w:val="PlaceholderText"/>
          <w:rFonts w:ascii="Arial Narrow" w:hAnsi="Arial Narrow" w:cs="Arial Narrow"/>
          <w:color w:val="000000"/>
          <w:sz w:val="22"/>
        </w:rPr>
      </w:pPr>
      <w:r w:rsidRPr="009D3D85">
        <w:rPr>
          <w:rStyle w:val="PlaceholderText"/>
          <w:b/>
          <w:color w:val="000000"/>
        </w:rPr>
        <w:t>K bodu 10 (§ 17a ods. 1)</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Predmetná úprava nemení rozsah účtovných jednotiek, ktoré musia vykazovať individuálnu účtovnú závierku podľa IFRS/EÚ. Mení sa štruktúra usporiadania týchto účtovných jednotiek, aby bolo možné vyňať  pobočky pri vymedzení niektorých povinností ustanovených zákonom.</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b/>
          <w:color w:val="000000"/>
        </w:rPr>
        <w:t>K bodu 11 (§ 17a ods. 2)</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Zákon mierne zvyšuje veľkostné podmienky, ktoré ak účtovná jednotka splní, musí zostavovať individuálnu účtovnú závierku podľa IFRS/EÚ.</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b/>
          <w:color w:val="000000"/>
        </w:rPr>
        <w:t>K bodu 12 (§ 17a ods. 3)</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Predmetným doplnením sa rozširuje okruh účtovných jednotiek, ktoré môžu zostavovať individuálnu účtovnú závierku podľa IFRS/EÚ. Ide o nástupnícku účtovnú jednotku, ktorá do rozhodného dňa zostavovala účtovnú závierku podľa IFRS/EÚ a preberá majetok a záväzky od zanikajúcej účtovnej jednotky, ktorá nezostavovala účtovnú závierku podľa IFRS/EÚ. Nástupnícka účtovná jednotka má možnosť pokračovať v zostavovaní individuálnej účtovnej závierky podľa IFRS/EÚ. V tejto časti navrhovaná úprava nemení rozsah účtovných jednotiek vykazujúcich podľa IFRS/EÚ, ide len o sprecizovanie legislatívneho textu. Predmetné ustanovenie ale umožňuje, aby aj v prípade, ak zanikajúca účtovná jednotka zostavovala účtovnú závierku podľa IFRS/EÚ a nástupnícka pred rozhodným dňom nezostavovala individuálnu účtovnú závierku podľa IFRS/EÚ, mohla nástupnícka účtovná jednotka zostavovať po rozhodnom dni individuálnu účtovnú závierku podľa IFRS/EÚ. Zostavovať účtovnú závierku podľa IFRS/EÚ sa umožňuje aj novovzniknutej dcérskej účtovnej jednotke, ktorá v prvom účtovnom období spĺňa veľkostné podmienky podľa § 17a ods. 2 a jej materská účtovná jednotka, ktorá sa spravuje právom niektorého členského štátu, zostavuje individuálnu účtovnú závierku podľa IFRS/EÚ.</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b/>
          <w:color w:val="000000"/>
        </w:rPr>
        <w:t>K bodu 13 (§ 18)</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Predmetným návrhom sa ustanovujú informácie poskytované mikro účtovnou jednotkou v priebežnej účtovnej závierke. Navrhuje sa za účelom zjednodušenia vykazovaných skutočností vo výkaze ziskov a strát priebežnej účtovnej závierky, aby mikro účtovná jednotka poskytovala len informácie o nákladoch, výnosoch a výsledku hospodárenia za vykazovanú časť účtovného obdobia.</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8473FF" w:rsidRPr="009D3D85" w:rsidP="008473FF">
      <w:pPr>
        <w:widowControl/>
        <w:bidi w:val="0"/>
        <w:jc w:val="both"/>
        <w:rPr>
          <w:rStyle w:val="PlaceholderText"/>
          <w:rFonts w:ascii="Arial Narrow" w:hAnsi="Arial Narrow" w:cs="Arial Narrow"/>
          <w:color w:val="000000"/>
          <w:sz w:val="22"/>
        </w:rPr>
      </w:pPr>
      <w:r>
        <w:rPr>
          <w:rStyle w:val="PlaceholderText"/>
          <w:b/>
          <w:color w:val="000000"/>
        </w:rPr>
        <w:t>K </w:t>
      </w:r>
      <w:r w:rsidRPr="00CC30C7">
        <w:rPr>
          <w:rStyle w:val="PlaceholderText"/>
          <w:b/>
          <w:color w:val="000000"/>
        </w:rPr>
        <w:t>bodu 14 (§ 19 ods. 1)</w:t>
      </w:r>
    </w:p>
    <w:p w:rsidR="00CC30C7" w:rsidRPr="00CC30C7" w:rsidP="00CC30C7">
      <w:pPr>
        <w:widowControl/>
        <w:bidi w:val="0"/>
        <w:jc w:val="both"/>
        <w:rPr>
          <w:rFonts w:ascii="Times New Roman" w:hAnsi="Times New Roman"/>
          <w:color w:val="000000"/>
        </w:rPr>
      </w:pPr>
      <w:r w:rsidRPr="00CC30C7">
        <w:rPr>
          <w:rFonts w:ascii="Times New Roman" w:hAnsi="Times New Roman"/>
          <w:color w:val="000000"/>
        </w:rPr>
        <w:t>Navrhuje sa v § 19 zvýšenie podmienok pre obchodné spoločnosti a družstvá na vznik povinnosti nechať si overiť individuálnu účtovnú závierku audítorom, a to veľkosť  majetku a čistý obrat.</w:t>
      </w:r>
      <w:r>
        <w:rPr>
          <w:rFonts w:ascii="Times New Roman" w:hAnsi="Times New Roman"/>
          <w:color w:val="000000"/>
        </w:rPr>
        <w:t xml:space="preserve"> </w:t>
      </w:r>
      <w:r w:rsidRPr="00CC30C7">
        <w:rPr>
          <w:rFonts w:ascii="Times New Roman" w:hAnsi="Times New Roman"/>
          <w:color w:val="000000"/>
        </w:rPr>
        <w:t xml:space="preserve">Týmto sa na podmienky nášho štátu, pri zohľadnení veľkosti ekonomiky, aplikujú všeobecné veľkostné podmienky na povinnosť overenia účtovnej závierky vymedzené v čl. 11 v nadväznosti na čl. 51  smernice Rady č. 78/660/EHS z 25. júla 1978 o ročnej účtovnej závierke niektorých typov spoločností.  </w:t>
      </w:r>
    </w:p>
    <w:p w:rsidR="00253192" w:rsidP="009D3D85">
      <w:pPr>
        <w:widowControl/>
        <w:bidi w:val="0"/>
        <w:jc w:val="both"/>
        <w:rPr>
          <w:rStyle w:val="PlaceholderText"/>
          <w:b/>
          <w:color w:val="000000"/>
        </w:rPr>
      </w:pP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b/>
          <w:color w:val="000000"/>
        </w:rPr>
        <w:t>K bodu 1</w:t>
      </w:r>
      <w:r w:rsidR="008473FF">
        <w:rPr>
          <w:rStyle w:val="PlaceholderText"/>
          <w:b/>
          <w:color w:val="000000"/>
        </w:rPr>
        <w:t>5</w:t>
      </w:r>
      <w:r w:rsidRPr="009D3D85">
        <w:rPr>
          <w:rStyle w:val="PlaceholderText"/>
          <w:b/>
          <w:color w:val="000000"/>
        </w:rPr>
        <w:t xml:space="preserve"> (§ 19 ods. 2)</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Znenie sa zosúlaďuje s požiadavkami zákona č. 540/2007 Z. z. o audítoroch, audite a dohľade nad výkonom auditu v znení neskorších predpisov.</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b/>
          <w:color w:val="000000"/>
        </w:rPr>
        <w:t>K bodu 1</w:t>
      </w:r>
      <w:r w:rsidR="008473FF">
        <w:rPr>
          <w:rStyle w:val="PlaceholderText"/>
          <w:b/>
          <w:color w:val="000000"/>
        </w:rPr>
        <w:t>6</w:t>
      </w:r>
      <w:r w:rsidRPr="009D3D85">
        <w:rPr>
          <w:rStyle w:val="PlaceholderText"/>
          <w:b/>
          <w:color w:val="000000"/>
        </w:rPr>
        <w:t xml:space="preserve"> (§ 19 ods. 4)</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 xml:space="preserve">V § 19 odseku 4 sa mení podmienka povinnosti nechať si overiť individuálnu účtovnú závierku audítorom v účtovných jednotkách, ktoré získavajú 2 % z daní.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b/>
          <w:color w:val="000000"/>
        </w:rPr>
        <w:t>K bodu 1</w:t>
      </w:r>
      <w:r w:rsidR="008473FF">
        <w:rPr>
          <w:rStyle w:val="PlaceholderText"/>
          <w:b/>
          <w:color w:val="000000"/>
        </w:rPr>
        <w:t>7</w:t>
      </w:r>
      <w:r w:rsidRPr="009D3D85">
        <w:rPr>
          <w:rStyle w:val="PlaceholderText"/>
          <w:b/>
          <w:color w:val="000000"/>
        </w:rPr>
        <w:t xml:space="preserve"> (§ 20)</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Zákon ustanovuje oslobodenie od zostavenia výročnej správy pre účtovné jednotky uvedené v § 17a ods. 1 písm. b) zákona. Ide o pobočky – organizačné zložky, ktoré sú súčasťou výročnej správy obchodnej spoločnosti, ktorá ich zriadila.</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b/>
          <w:color w:val="000000"/>
        </w:rPr>
        <w:t>K bodu 1</w:t>
      </w:r>
      <w:r w:rsidR="008473FF">
        <w:rPr>
          <w:rStyle w:val="PlaceholderText"/>
          <w:b/>
          <w:color w:val="000000"/>
        </w:rPr>
        <w:t>8</w:t>
      </w:r>
      <w:r w:rsidRPr="009D3D85">
        <w:rPr>
          <w:rStyle w:val="PlaceholderText"/>
          <w:b/>
          <w:color w:val="000000"/>
        </w:rPr>
        <w:t xml:space="preserve"> (§ 21)</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Od 1. januára 2014 s prijatím registra účtovných závierok sa mení spôsob zverejňovania účtovných závierok, výročných správ a správ audítora. Povinnosti  spojené so zverejňovaním dokumentov upravuje § 23d zákona.</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b/>
          <w:color w:val="000000"/>
        </w:rPr>
        <w:t>K bodu 1</w:t>
      </w:r>
      <w:r w:rsidR="008473FF">
        <w:rPr>
          <w:rStyle w:val="PlaceholderText"/>
          <w:b/>
          <w:color w:val="000000"/>
        </w:rPr>
        <w:t>9</w:t>
      </w:r>
      <w:r w:rsidRPr="009D3D85">
        <w:rPr>
          <w:rStyle w:val="PlaceholderText"/>
          <w:b/>
          <w:color w:val="000000"/>
        </w:rPr>
        <w:t xml:space="preserve"> (§ 22a)</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Súhrnnú účtovnú závierku verejnej správy zostavuje ministerstvo na základe konsolidovanej účtovnej závierky ústrednej správy, konsolidovaných účtovných závierok obcí a vyšších územných celkov, účtovných závierok subjektov verejnej správy, ktoré nezostavujú konsolidovanú účtovnú závierku a účtovných závierok právnických osôb s majetkovou účasťou štátu založených podľa osobitných predpisov, napr. podľa zákona o štátnom podniku. Ide o cca 8 000 účtovných jednotiek, ktoré hospodária v odlišnom regulačnom prostredí,  majú množstvo vzájomných vzťahov medzi sebou, pričom nie všetky majú povinnosť externého auditu. To má za následok mimoriadnu rôznorodosť súhrnného celku a navyše absentuje vzťah ovládajúcej a ovládanej účtovnej jednotky najmä vo vzťahu samosprávy k zostavovateľovi súhrnnej účtovnej závierky, t.j. k Ministerstvu financií SR. Reálne možno predpokladať, že nie je možné v plnom rozsahu zabezpečiť požiadavky dané medzinárodným audítorským štandardom ISA 210.3. resp. ISA 210.6., a to tak z hľadiska spoločnosti, ktorá by mala audit vykonať, ako aj z hľadiska zostavovateľa závierky a objednávateľa auditu. V súlade s odporúčaním Riadiacej komisie projektu zavedenia jednotného štátneho účtovníctva a výkazníctva ako aj názorom Úradu pre dohľad nad výkonom auditu sa povinnosť audítorského overenia súhrnnej účtovnej závierky vypúšťa.</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008473FF">
        <w:rPr>
          <w:rStyle w:val="PlaceholderText"/>
          <w:b/>
          <w:color w:val="000000"/>
        </w:rPr>
        <w:t>K bodom 20</w:t>
      </w:r>
      <w:r w:rsidRPr="009D3D85">
        <w:rPr>
          <w:rStyle w:val="PlaceholderText"/>
          <w:b/>
          <w:color w:val="000000"/>
        </w:rPr>
        <w:t xml:space="preserve"> až 2</w:t>
      </w:r>
      <w:r w:rsidR="00CA2486">
        <w:rPr>
          <w:rStyle w:val="PlaceholderText"/>
          <w:b/>
          <w:color w:val="000000"/>
        </w:rPr>
        <w:t>2</w:t>
      </w:r>
      <w:r w:rsidRPr="009D3D85">
        <w:rPr>
          <w:rStyle w:val="PlaceholderText"/>
          <w:b/>
          <w:color w:val="000000"/>
        </w:rPr>
        <w:t xml:space="preserve"> (§ 23 ods. 2 až 4)</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 23 ods. 2 ustanovuje dokumenty, ktoré sa ukladajú a zverejňujú v registri účtovných závierok. Predmetom úpravy je zaradenie ukladania výročných správ do registra účtovných závierok. Podľa súčasného znenia sa majú do registra účtovných závierok ukladať aj priebežné individuálne účtovné závierky a priebežné konsolidované účtovné závierky. Novela vypúšťa ukladanie priebežných účtovných závierok do registra účtovných závierok. Ide o špeciálne závierky, ktoré majú spoločnosti povinnosť vyhotovovať počas účtovného obdobia, ktoré sa obvykle neschvaľujú. Zverejňovanie priebežných závierok by mohlo užívateľov uvádzať do omylu, a preto sa budú vyhotovovať a predkladať iba na miesta určené zákonom (napr. dohľadu).</w:t>
      </w:r>
    </w:p>
    <w:p w:rsidR="00CA2486" w:rsidP="009D3D85">
      <w:pPr>
        <w:widowControl/>
        <w:bidi w:val="0"/>
        <w:jc w:val="both"/>
        <w:rPr>
          <w:rStyle w:val="PlaceholderText"/>
          <w:b/>
          <w:color w:val="000000"/>
        </w:rPr>
      </w:pP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b/>
          <w:color w:val="000000"/>
        </w:rPr>
        <w:t>K bodom 2</w:t>
      </w:r>
      <w:r w:rsidR="00CA2486">
        <w:rPr>
          <w:rStyle w:val="PlaceholderText"/>
          <w:b/>
          <w:color w:val="000000"/>
        </w:rPr>
        <w:t>3</w:t>
      </w:r>
      <w:r w:rsidRPr="009D3D85">
        <w:rPr>
          <w:rStyle w:val="PlaceholderText"/>
          <w:b/>
          <w:color w:val="000000"/>
        </w:rPr>
        <w:t xml:space="preserve"> a 2</w:t>
      </w:r>
      <w:r w:rsidR="00CA2486">
        <w:rPr>
          <w:rStyle w:val="PlaceholderText"/>
          <w:b/>
          <w:color w:val="000000"/>
        </w:rPr>
        <w:t>4</w:t>
      </w:r>
      <w:r w:rsidRPr="009D3D85">
        <w:rPr>
          <w:rStyle w:val="PlaceholderText"/>
          <w:b/>
          <w:color w:val="000000"/>
        </w:rPr>
        <w:t xml:space="preserve"> (§ 23 ods. 6)</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 xml:space="preserve">Zákon z verejnej časti registra účtovných závierok vypúšťa ukladanie dokumentov účtovným jednotkám, ktorými sú pobočka zahraničnej banky, pobočka zahraničnej správcovskej spoločnosti, pobočka zahraničnej poisťovne, pobočka zahraničnej zaisťovne a pobočka zahraničnej finančnej inštitúcie. Ich dokumenty sa budú ukladať v neverejnej časti, nakoľko článok 2 smernice 89/117/EHS zakazuje zverejňovanie účtovných závierok pobočiek zahraničných bánk. Rovnaký postup ako v prípade pobočiek zahraničných bánk je žiadúce uplatniť aj v prípade všetkých druhov zahraničných finančných inštitúcií. Nadväzne na túto zmenu sa navrhuje zaradenie NBS medzi subjekty, ktoré budú mať prístup k uvedenej databáze v neverejnej časti.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b/>
          <w:color w:val="000000"/>
        </w:rPr>
        <w:t>K bodom 2</w:t>
      </w:r>
      <w:r w:rsidR="00CA2486">
        <w:rPr>
          <w:rStyle w:val="PlaceholderText"/>
          <w:b/>
          <w:color w:val="000000"/>
        </w:rPr>
        <w:t>5</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 xml:space="preserve">Ide o legislatívno – technickú úpravu. Znenie sa zosúlaďuje s terminológiou Občianskeho zákonníka.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b/>
          <w:color w:val="000000"/>
        </w:rPr>
        <w:t>K bodom 2</w:t>
      </w:r>
      <w:r w:rsidR="00CA2486">
        <w:rPr>
          <w:rStyle w:val="PlaceholderText"/>
          <w:b/>
          <w:color w:val="000000"/>
        </w:rPr>
        <w:t>6</w:t>
      </w:r>
      <w:r w:rsidRPr="009D3D85">
        <w:rPr>
          <w:rStyle w:val="PlaceholderText"/>
          <w:b/>
          <w:color w:val="000000"/>
        </w:rPr>
        <w:t xml:space="preserve"> a 2</w:t>
      </w:r>
      <w:r w:rsidR="00CA2486">
        <w:rPr>
          <w:rStyle w:val="PlaceholderText"/>
          <w:b/>
          <w:color w:val="000000"/>
        </w:rPr>
        <w:t>7</w:t>
      </w:r>
      <w:r w:rsidRPr="009D3D85">
        <w:rPr>
          <w:rStyle w:val="PlaceholderText"/>
          <w:b/>
          <w:color w:val="000000"/>
        </w:rPr>
        <w:t xml:space="preserve"> (§ 23a ods. 2 a 3)</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Dokumenty ustanovené v § 23 ods. 2 sa do registra účtovných závierok ukladajú v elektronickej alebo listinnej podobe. Návrh zákona rozširuje dokumenty aj počet účtovných jednotiek, ktoré budú ukladať dokumenty v elektronickej podobe. Dokumenty, ktorých štruktúra nie je štandardizovaná (výročná správa, správa audítora, dokumenty vyhotovované v cudzom jazyku) sa budú ukladať do registra účtovných závierok elektronicky priložením dokumentu vo forme prílohy všeobecného podania. Rovnako účtovné závierky účtovných jednotiek, ktorých početnosť je nízka, sa budú ukladať v elektronickej podobe. Účtovné závierky podnikateľov a neziskových organizácií sa môžu uložiť v písomnej alebo elektronickej podobe, rozhodnutie je ponechané na účtovnú jednotku.</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00CA2486">
        <w:rPr>
          <w:rStyle w:val="PlaceholderText"/>
          <w:b/>
          <w:color w:val="000000"/>
        </w:rPr>
        <w:t>K bodu 28</w:t>
      </w:r>
      <w:r w:rsidRPr="009D3D85">
        <w:rPr>
          <w:rStyle w:val="PlaceholderText"/>
          <w:b/>
          <w:color w:val="000000"/>
        </w:rPr>
        <w:t xml:space="preserve"> (§ 23a ods. 4)</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Predmetné novelizačné úpravy v § 23a ods. 4 sú vyvolané potrebou legislatívneho spresnenia tohto ustanovenia. Úprava precizuje potrebu vyjadriť, že účtovná jednotka  má povinnosť uložiť do registra účtovných závierok oznámenie dátumu schválenia účtovnej závierky.</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b/>
          <w:color w:val="000000"/>
        </w:rPr>
        <w:t>K bodu 2</w:t>
      </w:r>
      <w:r w:rsidR="00CA2486">
        <w:rPr>
          <w:rStyle w:val="PlaceholderText"/>
          <w:b/>
          <w:color w:val="000000"/>
        </w:rPr>
        <w:t>9</w:t>
      </w:r>
      <w:r w:rsidRPr="009D3D85">
        <w:rPr>
          <w:rStyle w:val="PlaceholderText"/>
          <w:b/>
          <w:color w:val="000000"/>
        </w:rPr>
        <w:t xml:space="preserve"> (§ 23a ods. 6)</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Predmetné novelizačné úpravy v § 23a ods. 6 vyjadrujú povinnosť účtovnej jednotky uloženia novej výročnej správy, ak účtovná jednotka realizovala úpravy  vo výročnej správe, ktorá je uložená v registri účtovných závierok.</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00CA2486">
        <w:rPr>
          <w:rStyle w:val="PlaceholderText"/>
          <w:b/>
          <w:color w:val="000000"/>
        </w:rPr>
        <w:t>K bodu 30</w:t>
      </w:r>
      <w:r w:rsidRPr="009D3D85">
        <w:rPr>
          <w:rStyle w:val="PlaceholderText"/>
          <w:b/>
          <w:color w:val="000000"/>
        </w:rPr>
        <w:t xml:space="preserve"> (§ 23a ods. 7)</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V § 23a ods. 7 sa ustanovuje termín na predkladanie výročných správ. Individuálna aj konsolidovaná výročná správa sa ukladá do registra účtovných závierok najneskôr do jedného roka od skončenia účtovného obdobia, za ktoré sa výročná správa vyhotovuje. Prvýkrát sa do registra účtovných závierok predkladajú výročné správy vyhotovené za účtovné obdobie končiace k  31. decembru 2013 a neskôr a tieto sa musia uložiť do registra účtovných závierok do 31. decembra 2014.  Podľa §  20 zákona výročná správa obsahuje účtovnú závierku a správu audítora. V súlade s termínmi predkladania jednotlivých dokumentov do registra účtovných závierok, ak už má účtovná jednotka účtovnú závierku a správu audítora uloženú v registri účtovných závierok v čase ukladania výročnej správy do registra účtovných závierok, ukladaná výročná správa do registra účtovných závierok nemusí (ale môže) obsahovať účtovnú závierku a správu audítora.</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b/>
          <w:color w:val="000000"/>
        </w:rPr>
        <w:t>K bodu 3</w:t>
      </w:r>
      <w:r w:rsidR="00CA2486">
        <w:rPr>
          <w:rStyle w:val="PlaceholderText"/>
          <w:b/>
          <w:color w:val="000000"/>
        </w:rPr>
        <w:t>1</w:t>
      </w:r>
      <w:r w:rsidRPr="009D3D85">
        <w:rPr>
          <w:rStyle w:val="PlaceholderText"/>
          <w:b/>
          <w:color w:val="000000"/>
        </w:rPr>
        <w:t xml:space="preserve"> (§ 23a ods. 9)</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 xml:space="preserve">Spresňuje sa legislatívne znenie. Register účtovných závierok bude slúžiť na zobrazovanie tých skutočností, ktoré sú požadované zákonom, z tohto dôvodu je potrebné zohľadniť požiadavky zákona č. 122/2013 Z. z. o ochrane osobných údajov.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b/>
          <w:color w:val="000000"/>
        </w:rPr>
        <w:t>K bodom 3</w:t>
      </w:r>
      <w:r w:rsidR="00CA2486">
        <w:rPr>
          <w:rStyle w:val="PlaceholderText"/>
          <w:b/>
          <w:color w:val="000000"/>
        </w:rPr>
        <w:t>2</w:t>
      </w:r>
      <w:r w:rsidRPr="009D3D85">
        <w:rPr>
          <w:rStyle w:val="PlaceholderText"/>
          <w:b/>
          <w:color w:val="000000"/>
        </w:rPr>
        <w:t xml:space="preserve"> a 3</w:t>
      </w:r>
      <w:r w:rsidR="00CA2486">
        <w:rPr>
          <w:rStyle w:val="PlaceholderText"/>
          <w:b/>
          <w:color w:val="000000"/>
        </w:rPr>
        <w:t>3</w:t>
      </w:r>
      <w:r w:rsidRPr="009D3D85">
        <w:rPr>
          <w:rStyle w:val="PlaceholderText"/>
          <w:b/>
          <w:color w:val="000000"/>
        </w:rPr>
        <w:t xml:space="preserve"> (§ 23b ods. 1)</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 xml:space="preserve">Bližšie sa upravuje postup na prevod listinnej podoby dokumentu do elektronickej podoby. Ako identifikátor pre  priradenie účtovnej závierky do registra účtovných závierok bolo vybrané IČO ako univerzálny identifikátor, ktorý má zo zákona pridelená každá spoločnosť. Preto už pri podaní skontroluje správca dane, či dokument, ktorý prijal má uvedený správny identifikátor a názov účtovnej jednotky, čo eliminuje množstvo následných opráv z dôvodu nemožnosti identifikovať, ku ktorej účtovnej jednotke má byť účtovná závierka priradená. Súčasne sa predlžuje lehota na prevod listinnej podoby do elektronickej podoby pri obchodných spoločnostiach na 10 dní a pri ostatných spoločnostiach na 30 dní. Rešpektujú sa tým kapacitné možnosti správcov dane, nakoľko rozsah ukladaných dokumentov sa zväčšil. Súčasne sa umožňuje ukladať elektronické podoby dokumentov všetkými spôsobmi, ktoré umožňuje zákon č. 563/2009 Z. z. V súčasnosti sa využívajú na vkladanie dve aplikácie a pri jednej z nich má účtovná jednotka povinnosť doručiť prvú stranu podania do piatich pracovných dní, čo následne posúva aj možnosť postúpiť elektronický dokument o päť dní.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p>
    <w:p w:rsidR="009D3D85" w:rsidRPr="009D3D85" w:rsidP="009D3D85">
      <w:pPr>
        <w:widowControl/>
        <w:bidi w:val="0"/>
        <w:jc w:val="both"/>
        <w:rPr>
          <w:rStyle w:val="PlaceholderText"/>
          <w:color w:val="000000"/>
        </w:rPr>
      </w:pPr>
      <w:r w:rsidRPr="009D3D85">
        <w:rPr>
          <w:rStyle w:val="PlaceholderText"/>
          <w:b/>
          <w:color w:val="000000"/>
        </w:rPr>
        <w:t>K bodu 3</w:t>
      </w:r>
      <w:r w:rsidR="00CA2486">
        <w:rPr>
          <w:rStyle w:val="PlaceholderText"/>
          <w:b/>
          <w:color w:val="000000"/>
        </w:rPr>
        <w:t>4</w:t>
      </w:r>
      <w:r w:rsidRPr="009D3D85">
        <w:rPr>
          <w:rStyle w:val="PlaceholderText"/>
          <w:b/>
          <w:color w:val="000000"/>
        </w:rPr>
        <w:t xml:space="preserve"> (§ 23b ods. 4 a 5 )</w:t>
      </w:r>
    </w:p>
    <w:p w:rsidR="009D3D85" w:rsidRPr="009D3D85" w:rsidP="009D3D85">
      <w:pPr>
        <w:widowControl/>
        <w:bidi w:val="0"/>
        <w:jc w:val="both"/>
        <w:rPr>
          <w:rStyle w:val="PlaceholderText"/>
          <w:color w:val="000000"/>
        </w:rPr>
      </w:pPr>
      <w:r w:rsidRPr="009D3D85">
        <w:rPr>
          <w:rStyle w:val="PlaceholderText"/>
          <w:color w:val="000000"/>
        </w:rPr>
        <w:t xml:space="preserve">Predmetné novelizačné úpravy v § 23b ods. 4 sú vyvolané potrebou legislatívneho spresnenia tohto ustanovenia. Úprava precizuje potrebu vyjadriť, že správca registra zaradí, zverejní a sprístupní dokumenty tak ako ich účtovná jednotka uložila. Predlžuje sa lehota na postúpenie dokumentov do zbierky listín na 30 dní. Pri príprave on-line prepojenia so zbierkou listín sa ukázalo, že elektronická podateľňa Ministerstva spravodlivosti SR je schopná prijať iba obmedzené množstvo dát. Aby sa predišlo znefunkčneniu podateľne v čase keď sa predpokladá najväčší objem dát (od marca do júla), rozloží sa zasielanie dát v čase. </w:t>
      </w:r>
    </w:p>
    <w:p w:rsidR="009D3D85" w:rsidRPr="009D3D85" w:rsidP="009D3D85">
      <w:pPr>
        <w:widowControl/>
        <w:bidi w:val="0"/>
        <w:jc w:val="both"/>
        <w:rPr>
          <w:rStyle w:val="PlaceholderText"/>
          <w:color w:val="000000"/>
        </w:rPr>
      </w:pPr>
      <w:r w:rsidRPr="009D3D85">
        <w:rPr>
          <w:rStyle w:val="PlaceholderText"/>
          <w:color w:val="000000"/>
        </w:rPr>
        <w:t> </w:t>
      </w:r>
    </w:p>
    <w:p w:rsidR="009D3D85" w:rsidRPr="009D3D85" w:rsidP="009D3D85">
      <w:pPr>
        <w:widowControl/>
        <w:bidi w:val="0"/>
        <w:jc w:val="both"/>
        <w:rPr>
          <w:rStyle w:val="PlaceholderText"/>
          <w:color w:val="000000"/>
        </w:rPr>
      </w:pPr>
      <w:r w:rsidRPr="009D3D85">
        <w:rPr>
          <w:rStyle w:val="PlaceholderText"/>
          <w:color w:val="000000"/>
        </w:rPr>
        <w:t>Účtovná jednotka má povinnosť ukladať dokumenty do registra. Samotné miesto na doručenie dokumentov a oznámenia vymedzujú ustanovenia § 23b. Dokumenty sa doručujú daňovému úradu alebo prostredníctvom systému štátnej pokladnice. Doručením dokumentov a oznámenia daňovému úradu alebo prostredníctvom systému štátnej pokladnice sa má zato, že účtovná jednotka si splnila povinnosť uloženia dokumentov a oznámenia podľa § 23a.</w:t>
      </w:r>
    </w:p>
    <w:p w:rsidR="009D3D85" w:rsidRPr="009D3D85" w:rsidP="009D3D85">
      <w:pPr>
        <w:widowControl/>
        <w:bidi w:val="0"/>
        <w:jc w:val="both"/>
        <w:rPr>
          <w:rStyle w:val="PlaceholderText"/>
          <w:color w:val="000000"/>
        </w:rPr>
      </w:pPr>
      <w:r w:rsidRPr="009D3D85">
        <w:rPr>
          <w:rStyle w:val="PlaceholderText"/>
          <w:color w:val="000000"/>
        </w:rPr>
        <w:t> </w:t>
      </w:r>
    </w:p>
    <w:p w:rsidR="009D3D85" w:rsidRPr="009D3D85" w:rsidP="009D3D85">
      <w:pPr>
        <w:widowControl/>
        <w:bidi w:val="0"/>
        <w:jc w:val="both"/>
        <w:rPr>
          <w:rStyle w:val="PlaceholderText"/>
          <w:color w:val="000000"/>
        </w:rPr>
      </w:pPr>
      <w:r w:rsidRPr="009D3D85">
        <w:rPr>
          <w:rStyle w:val="PlaceholderText"/>
          <w:b/>
          <w:color w:val="000000"/>
        </w:rPr>
        <w:t>K bodu 3</w:t>
      </w:r>
      <w:r w:rsidR="00CA2486">
        <w:rPr>
          <w:rStyle w:val="PlaceholderText"/>
          <w:b/>
          <w:color w:val="000000"/>
        </w:rPr>
        <w:t>5</w:t>
      </w:r>
      <w:r w:rsidRPr="009D3D85">
        <w:rPr>
          <w:rStyle w:val="PlaceholderText"/>
          <w:b/>
          <w:color w:val="000000"/>
        </w:rPr>
        <w:t xml:space="preserve"> (§ 23c ods. 1)</w:t>
      </w:r>
    </w:p>
    <w:p w:rsidR="009D3D85" w:rsidRPr="009D3D85" w:rsidP="009D3D85">
      <w:pPr>
        <w:widowControl/>
        <w:bidi w:val="0"/>
        <w:jc w:val="both"/>
        <w:rPr>
          <w:rStyle w:val="PlaceholderText"/>
          <w:color w:val="000000"/>
        </w:rPr>
      </w:pPr>
      <w:r w:rsidRPr="009D3D85">
        <w:rPr>
          <w:rStyle w:val="PlaceholderText"/>
          <w:color w:val="000000"/>
        </w:rPr>
        <w:t>Predmetným ustanovením sa zdôrazňuje, že správca registra sprístupní dokumenty tak ako ich účtovná jednotka uložila.</w:t>
      </w:r>
    </w:p>
    <w:p w:rsidR="009D3D85" w:rsidRPr="009D3D85" w:rsidP="009D3D85">
      <w:pPr>
        <w:widowControl/>
        <w:bidi w:val="0"/>
        <w:jc w:val="both"/>
        <w:rPr>
          <w:rStyle w:val="PlaceholderText"/>
          <w:color w:val="000000"/>
        </w:rPr>
      </w:pPr>
      <w:r w:rsidRPr="009D3D85">
        <w:rPr>
          <w:rStyle w:val="PlaceholderText"/>
          <w:color w:val="000000"/>
        </w:rPr>
        <w:t> </w:t>
      </w:r>
    </w:p>
    <w:p w:rsidR="009D3D85" w:rsidRPr="009D3D85" w:rsidP="009D3D85">
      <w:pPr>
        <w:widowControl/>
        <w:bidi w:val="0"/>
        <w:jc w:val="both"/>
        <w:rPr>
          <w:rStyle w:val="PlaceholderText"/>
          <w:color w:val="000000"/>
        </w:rPr>
      </w:pPr>
      <w:r w:rsidRPr="009D3D85">
        <w:rPr>
          <w:rStyle w:val="PlaceholderText"/>
          <w:b/>
          <w:color w:val="000000"/>
        </w:rPr>
        <w:t>K bodu 3</w:t>
      </w:r>
      <w:r w:rsidR="00CA2486">
        <w:rPr>
          <w:rStyle w:val="PlaceholderText"/>
          <w:b/>
          <w:color w:val="000000"/>
        </w:rPr>
        <w:t>6</w:t>
      </w:r>
      <w:r w:rsidRPr="009D3D85">
        <w:rPr>
          <w:rStyle w:val="PlaceholderText"/>
          <w:b/>
          <w:color w:val="000000"/>
        </w:rPr>
        <w:t xml:space="preserve"> (§ 23c ods. 2)</w:t>
      </w:r>
    </w:p>
    <w:p w:rsidR="009D3D85" w:rsidRPr="009D3D85" w:rsidP="009D3D85">
      <w:pPr>
        <w:widowControl/>
        <w:bidi w:val="0"/>
        <w:jc w:val="both"/>
        <w:rPr>
          <w:rStyle w:val="PlaceholderText"/>
          <w:color w:val="000000"/>
        </w:rPr>
      </w:pPr>
      <w:r w:rsidRPr="009D3D85">
        <w:rPr>
          <w:rStyle w:val="PlaceholderText"/>
          <w:color w:val="000000"/>
        </w:rPr>
        <w:t>Dokumenty uložené v neverejnej časti registra účtovných závierok  sprístupní správca registra (DataCentrum) účtovnej jednotke, ktorej sa týkajú na požiadanie prostredníctvom správcu registra, Národnej banke Slovenska a subjektom verejnej správy prostredníctvom zriadenia kontrolovaného vstupu do neverejnej časti registra. Na dokumenty uložené v neverejnej časti registra účtovných závierok sa nevzťahuje zákon o slobodnom prístupe k informáciám.</w:t>
      </w:r>
    </w:p>
    <w:p w:rsidR="009D3D85" w:rsidRPr="009D3D85" w:rsidP="009D3D85">
      <w:pPr>
        <w:widowControl/>
        <w:bidi w:val="0"/>
        <w:jc w:val="both"/>
        <w:rPr>
          <w:rStyle w:val="PlaceholderText"/>
          <w:color w:val="000000"/>
        </w:rPr>
      </w:pPr>
      <w:r w:rsidRPr="009D3D85">
        <w:rPr>
          <w:rStyle w:val="PlaceholderText"/>
          <w:color w:val="000000"/>
        </w:rPr>
        <w:t> </w:t>
      </w:r>
    </w:p>
    <w:p w:rsidR="009D3D85" w:rsidRPr="009D3D85" w:rsidP="009D3D85">
      <w:pPr>
        <w:widowControl/>
        <w:bidi w:val="0"/>
        <w:jc w:val="both"/>
        <w:rPr>
          <w:rStyle w:val="PlaceholderText"/>
          <w:color w:val="000000"/>
        </w:rPr>
      </w:pPr>
      <w:r w:rsidRPr="009D3D85">
        <w:rPr>
          <w:rStyle w:val="PlaceholderText"/>
          <w:b/>
          <w:color w:val="000000"/>
        </w:rPr>
        <w:t>K bodu 3</w:t>
      </w:r>
      <w:r w:rsidR="00CA2486">
        <w:rPr>
          <w:rStyle w:val="PlaceholderText"/>
          <w:b/>
          <w:color w:val="000000"/>
        </w:rPr>
        <w:t>7</w:t>
      </w:r>
      <w:r w:rsidRPr="009D3D85">
        <w:rPr>
          <w:rStyle w:val="PlaceholderText"/>
          <w:b/>
          <w:color w:val="000000"/>
        </w:rPr>
        <w:t xml:space="preserve"> (§ 23d)</w:t>
      </w:r>
    </w:p>
    <w:p w:rsidR="009D3D85" w:rsidRPr="009D3D85" w:rsidP="009D3D85">
      <w:pPr>
        <w:widowControl/>
        <w:bidi w:val="0"/>
        <w:jc w:val="both"/>
        <w:rPr>
          <w:rStyle w:val="PlaceholderText"/>
          <w:color w:val="000000"/>
        </w:rPr>
      </w:pPr>
      <w:r w:rsidRPr="009D3D85">
        <w:rPr>
          <w:rStyle w:val="PlaceholderText"/>
          <w:color w:val="000000"/>
        </w:rPr>
        <w:t xml:space="preserve">V § 23d ods. 1 a 2 sa ustanovuje povinnosť zverejňovania účtovných závierok a nadväzujúcich dokumentov v registri  účtovných závierok. Samotná povinnosť  sprístupnenia  týchto dokumentov používateľom formou zverejnenia nadväzuje na čl. 47 smernice Rady č. 78/660/EHS z 25. júla 1978 o ročnej účtovnej závierke niektorých typov spoločností a smernice  Európskeho parlamentu a Rady č. 2009/101/ES zo 16. septembra 2009. V Slovenskej republike sa na základe uznesenia vlády SR č. 516/2011 zabezpečuje zverejňovanie týchto dokumentov prostredníctvom ukladania do registra účtovných závierok. Spôsob ukladania dokumentov do registra účtovných závierok je upravený v § 23 až 23c zákona. Účtovná jednotka  si povinnosť zverejnenia dokumentov splní ich doručením na stanovené kontaktné miesto. Kontaktným miestom pre obchodné spoločnosti, družstvá,  štátne podniky a neziskové organizácie je daňový úrad, resp. pri elektronickej forme doručením prostredníctvom elektronickej podateľne, ktorú prevádzkuje Finančné riaditeľstvo SR podľa zákona č. 563/2009 Z. z. v znení neskorších predpisov. V prípade účtovných jednotiek verejnej správy si účtovná jednotka splní povinnosť zverejnenia doručením prostredníctvom systému štátnej pokladnice podľa zákona č. 291/2002 Z. z. v znení neskorších predpisov. Správca registra (DataCentrum) zabezpečí, aby sa účtovné závierky, správa audítora, výročná správa obchodných spoločností, družstiev a štátneho podniku uložila do  zbierky listín obchodného registra. Termíny na ukladanie dokumentov do registra účtovných závierok upravuje § 23 až 23c zákona. </w:t>
      </w:r>
    </w:p>
    <w:p w:rsidR="009D3D85" w:rsidRPr="009D3D85" w:rsidP="009D3D85">
      <w:pPr>
        <w:widowControl/>
        <w:bidi w:val="0"/>
        <w:jc w:val="both"/>
        <w:rPr>
          <w:rStyle w:val="PlaceholderText"/>
          <w:color w:val="000000"/>
        </w:rPr>
      </w:pPr>
      <w:r w:rsidRPr="009D3D85">
        <w:rPr>
          <w:rStyle w:val="PlaceholderText"/>
          <w:color w:val="000000"/>
        </w:rPr>
        <w:t> </w:t>
      </w:r>
    </w:p>
    <w:p w:rsidR="009D3D85" w:rsidRPr="009D3D85" w:rsidP="009D3D85">
      <w:pPr>
        <w:widowControl/>
        <w:bidi w:val="0"/>
        <w:jc w:val="both"/>
        <w:rPr>
          <w:rStyle w:val="PlaceholderText"/>
          <w:color w:val="000000"/>
        </w:rPr>
      </w:pPr>
      <w:r w:rsidRPr="009D3D85">
        <w:rPr>
          <w:rStyle w:val="PlaceholderText"/>
          <w:color w:val="000000"/>
        </w:rPr>
        <w:t> </w:t>
      </w:r>
    </w:p>
    <w:p w:rsidR="009D3D85" w:rsidRPr="009D3D85" w:rsidP="009D3D85">
      <w:pPr>
        <w:widowControl/>
        <w:bidi w:val="0"/>
        <w:jc w:val="both"/>
        <w:rPr>
          <w:rStyle w:val="PlaceholderText"/>
          <w:color w:val="000000"/>
        </w:rPr>
      </w:pPr>
      <w:r w:rsidRPr="009D3D85">
        <w:rPr>
          <w:rStyle w:val="PlaceholderText"/>
          <w:b/>
          <w:color w:val="000000"/>
        </w:rPr>
        <w:t>K bodu 3</w:t>
      </w:r>
      <w:r w:rsidR="00CA2486">
        <w:rPr>
          <w:rStyle w:val="PlaceholderText"/>
          <w:b/>
          <w:color w:val="000000"/>
        </w:rPr>
        <w:t>8</w:t>
      </w:r>
      <w:r w:rsidRPr="009D3D85">
        <w:rPr>
          <w:rStyle w:val="PlaceholderText"/>
          <w:b/>
          <w:color w:val="000000"/>
        </w:rPr>
        <w:t xml:space="preserve"> (§ 25 ods.1 písm. a) tretí bod)</w:t>
      </w:r>
    </w:p>
    <w:p w:rsidR="009D3D85" w:rsidRPr="009D3D85" w:rsidP="009D3D85">
      <w:pPr>
        <w:widowControl/>
        <w:bidi w:val="0"/>
        <w:jc w:val="both"/>
        <w:rPr>
          <w:rStyle w:val="PlaceholderText"/>
          <w:color w:val="000000"/>
        </w:rPr>
      </w:pPr>
      <w:r w:rsidRPr="009D3D85">
        <w:rPr>
          <w:rStyle w:val="PlaceholderText"/>
          <w:color w:val="000000"/>
        </w:rPr>
        <w:t xml:space="preserve">Zákon č. 203/2011 Z. z. o kolektívnom investovaní umožnil vytvárať aj špeciálne podielové fondy alternatívnych investícií, pričom touto alternatívnou investíciou môže byť aj majetkový podiel v  obchodnej spoločnosti, ktorý nie je reprezentovaný cennými papiermi, akým je podiel v spoločnosti s ručením obmedzeným, v komanditnej spoločnosti alebo vo verejnej obchodnej spoločnosti. Pretože fond sa zriaďuje na účel zhodnotenia majetku podielnikov, je potrebné toto zhodnotenie priebežne sledovať a takúto informáciu poskytnúť podielnikom. Preto je potrebné tieto podiely oceňovať od začiatku reálnou hodnotou. Rovnako tak aj deriváty, ktoré držia účtovné jednotky menované v § 25 ods. 1 písm. e) treťom bode. </w:t>
      </w:r>
    </w:p>
    <w:p w:rsidR="009D3D85" w:rsidRPr="009D3D85" w:rsidP="009D3D85">
      <w:pPr>
        <w:widowControl/>
        <w:bidi w:val="0"/>
        <w:jc w:val="both"/>
        <w:rPr>
          <w:rStyle w:val="PlaceholderText"/>
          <w:color w:val="000000"/>
        </w:rPr>
      </w:pPr>
      <w:r w:rsidRPr="009D3D85">
        <w:rPr>
          <w:rStyle w:val="PlaceholderText"/>
          <w:color w:val="000000"/>
        </w:rPr>
        <w:t> </w:t>
      </w:r>
    </w:p>
    <w:p w:rsidR="009D3D85" w:rsidRPr="009D3D85" w:rsidP="009D3D85">
      <w:pPr>
        <w:widowControl/>
        <w:bidi w:val="0"/>
        <w:jc w:val="both"/>
        <w:rPr>
          <w:rStyle w:val="PlaceholderText"/>
          <w:color w:val="000000"/>
        </w:rPr>
      </w:pPr>
      <w:r w:rsidRPr="009D3D85">
        <w:rPr>
          <w:rStyle w:val="PlaceholderText"/>
          <w:b/>
          <w:color w:val="000000"/>
        </w:rPr>
        <w:t>K bodu 3</w:t>
      </w:r>
      <w:r w:rsidR="00CA2486">
        <w:rPr>
          <w:rStyle w:val="PlaceholderText"/>
          <w:b/>
          <w:color w:val="000000"/>
        </w:rPr>
        <w:t>9</w:t>
      </w:r>
      <w:r w:rsidRPr="009D3D85">
        <w:rPr>
          <w:rStyle w:val="PlaceholderText"/>
          <w:b/>
          <w:color w:val="000000"/>
        </w:rPr>
        <w:t xml:space="preserve"> (§ 25 ods. 1 písm. e) tretí bod)</w:t>
      </w:r>
    </w:p>
    <w:p w:rsidR="009D3D85" w:rsidRPr="009D3D85" w:rsidP="009D3D85">
      <w:pPr>
        <w:widowControl/>
        <w:bidi w:val="0"/>
        <w:jc w:val="both"/>
        <w:rPr>
          <w:rStyle w:val="PlaceholderText"/>
          <w:color w:val="000000"/>
        </w:rPr>
      </w:pPr>
      <w:r w:rsidRPr="009D3D85">
        <w:rPr>
          <w:rStyle w:val="PlaceholderText"/>
          <w:color w:val="000000"/>
        </w:rPr>
        <w:t xml:space="preserve">Pre účtovné jednotky v oblasti finančného sektora je prioritné, aby mali vybrané druhy majetku ocenené reálnou hodnotou. Ide o fondy (kolektívneho investovania, dôchodkové fondy a doplnkové dôchodkové fondy), obchodníkov s cennými papiermi, platobné inštitúcie, inštitúcie elektronických peňazí a niektorých druhov pobočiek finančných inštitúcií. Ak by prvotné ocenenie majetku bolo obstarávacou cenou, ktorá v sebe obsahuje výdavky na obstaranie tohto majetku, pričom sa následne oceňuje tento majetok reálnou hodnotou, ktorá neobsahuje výdavky na obstaranie majetku, rady ocenení každej jednotlivej položky majetku by neboli konzistentné, pretože obsah jednotlivých ocenení tej istej majetkovej položky by nebol totožný. Hneď pri prvom precenení tejto majetkovej položky po jej prvotnom zaúčtovaní by toto ocenenie bolo nižšie o výdavok na jej obstaranie a toto zníženie jej ocenenia by bolo vo výkaze ziskov a strát zobrazené ako strata z ocenenia, nie ako výdavok na obstaranie tejto majetkovej položky, ktorým v skutočnosti je. Pre posúdenie úspešnosti obchodovania s finančným majetkom je potrebné výdavky na obstaranie majetku zobraziť oddelene, nie kapitalizovať ich do ceny príslušnej položky majetku.  </w:t>
      </w:r>
    </w:p>
    <w:p w:rsidR="009D3D85" w:rsidRPr="009D3D85" w:rsidP="009D3D85">
      <w:pPr>
        <w:widowControl/>
        <w:bidi w:val="0"/>
        <w:jc w:val="both"/>
        <w:rPr>
          <w:rStyle w:val="PlaceholderText"/>
          <w:color w:val="000000"/>
        </w:rPr>
      </w:pPr>
      <w:r w:rsidRPr="009D3D85">
        <w:rPr>
          <w:rStyle w:val="PlaceholderText"/>
          <w:color w:val="000000"/>
        </w:rPr>
        <w:t> </w:t>
      </w:r>
    </w:p>
    <w:p w:rsidR="009D3D85" w:rsidRPr="009D3D85" w:rsidP="009D3D85">
      <w:pPr>
        <w:widowControl/>
        <w:bidi w:val="0"/>
        <w:jc w:val="both"/>
        <w:rPr>
          <w:rStyle w:val="PlaceholderText"/>
          <w:color w:val="000000"/>
        </w:rPr>
      </w:pPr>
      <w:r w:rsidRPr="009D3D85">
        <w:rPr>
          <w:rStyle w:val="PlaceholderText"/>
          <w:b/>
          <w:color w:val="000000"/>
        </w:rPr>
        <w:t>K </w:t>
      </w:r>
      <w:r w:rsidR="00CA2486">
        <w:rPr>
          <w:rStyle w:val="PlaceholderText"/>
          <w:b/>
          <w:color w:val="000000"/>
        </w:rPr>
        <w:t>bodu 40</w:t>
      </w:r>
      <w:r w:rsidRPr="009D3D85">
        <w:rPr>
          <w:rStyle w:val="PlaceholderText"/>
          <w:b/>
          <w:color w:val="000000"/>
        </w:rPr>
        <w:t xml:space="preserve"> (§ 25 ods. 3)</w:t>
      </w:r>
    </w:p>
    <w:p w:rsidR="009D3D85" w:rsidRPr="009D3D85" w:rsidP="009D3D85">
      <w:pPr>
        <w:widowControl/>
        <w:bidi w:val="0"/>
        <w:jc w:val="both"/>
        <w:rPr>
          <w:rStyle w:val="PlaceholderText"/>
          <w:color w:val="000000"/>
        </w:rPr>
      </w:pPr>
      <w:r w:rsidRPr="009D3D85">
        <w:rPr>
          <w:rStyle w:val="PlaceholderText"/>
          <w:color w:val="000000"/>
        </w:rPr>
        <w:t>Z ocenenia súčasnou hodnotou vo fondoch sa vynímajú bankové vklady, u ktorých ich ocenenie menovitou hodnotou je obchodnou zvyklosťou a ktorých časť nie je možné oceniť súčasnou hodnotou, pretože nemajú pevnú splatnosť, ani fixné úročenie. Ďalej sa z ocenenia súčasnou hodnotou vynímajú pohľadávky a záväzky, ktoré neboli obstarané s cieľom investovania alebo financovania, teda neboli obstarané v rámci obchodnej politiky fondu. Majú väčšinou tranzitný charakter, napríklad pohľadávky zo vstupov do fondu, záväzky z výstupov z fondu.</w:t>
      </w:r>
    </w:p>
    <w:p w:rsidR="009D3D85" w:rsidRPr="009D3D85" w:rsidP="009D3D85">
      <w:pPr>
        <w:widowControl/>
        <w:bidi w:val="0"/>
        <w:jc w:val="both"/>
        <w:rPr>
          <w:rStyle w:val="PlaceholderText"/>
          <w:color w:val="000000"/>
        </w:rPr>
      </w:pPr>
      <w:r w:rsidRPr="009D3D85">
        <w:rPr>
          <w:rStyle w:val="PlaceholderText"/>
          <w:color w:val="000000"/>
        </w:rPr>
        <w:t> </w:t>
      </w:r>
    </w:p>
    <w:p w:rsidR="009D3D85" w:rsidRPr="009D3D85" w:rsidP="009D3D85">
      <w:pPr>
        <w:widowControl/>
        <w:bidi w:val="0"/>
        <w:jc w:val="both"/>
        <w:rPr>
          <w:rStyle w:val="PlaceholderText"/>
          <w:color w:val="000000"/>
        </w:rPr>
      </w:pPr>
      <w:r w:rsidRPr="009D3D85">
        <w:rPr>
          <w:rStyle w:val="PlaceholderText"/>
          <w:b/>
          <w:color w:val="000000"/>
        </w:rPr>
        <w:t>K bodu 4</w:t>
      </w:r>
      <w:r w:rsidR="00CA2486">
        <w:rPr>
          <w:rStyle w:val="PlaceholderText"/>
          <w:b/>
          <w:color w:val="000000"/>
        </w:rPr>
        <w:t>1</w:t>
      </w:r>
      <w:r w:rsidRPr="009D3D85">
        <w:rPr>
          <w:rStyle w:val="PlaceholderText"/>
          <w:b/>
          <w:color w:val="000000"/>
        </w:rPr>
        <w:t xml:space="preserve"> (§ 25 ods. 7)</w:t>
      </w:r>
    </w:p>
    <w:p w:rsidR="009D3D85" w:rsidRPr="009D3D85" w:rsidP="009D3D85">
      <w:pPr>
        <w:widowControl/>
        <w:bidi w:val="0"/>
        <w:jc w:val="both"/>
        <w:rPr>
          <w:rStyle w:val="PlaceholderText"/>
          <w:color w:val="000000"/>
        </w:rPr>
      </w:pPr>
      <w:r w:rsidRPr="009D3D85">
        <w:rPr>
          <w:rStyle w:val="PlaceholderText"/>
          <w:color w:val="000000"/>
        </w:rPr>
        <w:t>Mikro účtovná jednotka, účtovná jednotka, ktorá nie je založená alebo zriadená na účel podnikania a účtovná jednotka, ktorá účtuje v sústave jednoduchého účtovníctva neoceňuje obstarané cenné papiere určené na obchodovanie reálnou hodnotou. Tieto účtovné jednotky oceňujú cenné papiere určené na obchodovanie obstarávacou cenou.</w:t>
      </w:r>
    </w:p>
    <w:p w:rsidR="009D3D85" w:rsidRPr="009D3D85" w:rsidP="009D3D85">
      <w:pPr>
        <w:widowControl/>
        <w:bidi w:val="0"/>
        <w:jc w:val="both"/>
        <w:rPr>
          <w:rStyle w:val="PlaceholderText"/>
          <w:color w:val="000000"/>
        </w:rPr>
      </w:pPr>
      <w:r w:rsidRPr="009D3D85">
        <w:rPr>
          <w:rStyle w:val="PlaceholderText"/>
          <w:color w:val="000000"/>
        </w:rPr>
        <w:t> </w:t>
      </w:r>
    </w:p>
    <w:p w:rsidR="009D3D85" w:rsidRPr="009D3D85" w:rsidP="009D3D85">
      <w:pPr>
        <w:widowControl/>
        <w:bidi w:val="0"/>
        <w:jc w:val="both"/>
        <w:rPr>
          <w:rStyle w:val="PlaceholderText"/>
          <w:color w:val="000000"/>
        </w:rPr>
      </w:pPr>
      <w:r w:rsidRPr="009D3D85">
        <w:rPr>
          <w:rStyle w:val="PlaceholderText"/>
          <w:b/>
          <w:color w:val="000000"/>
        </w:rPr>
        <w:t>K bodu 4</w:t>
      </w:r>
      <w:r w:rsidR="00CA2486">
        <w:rPr>
          <w:rStyle w:val="PlaceholderText"/>
          <w:b/>
          <w:color w:val="000000"/>
        </w:rPr>
        <w:t>2</w:t>
      </w:r>
      <w:r w:rsidRPr="009D3D85">
        <w:rPr>
          <w:rStyle w:val="PlaceholderText"/>
          <w:b/>
          <w:color w:val="000000"/>
        </w:rPr>
        <w:t xml:space="preserve"> (§ 26 ods. 7)</w:t>
      </w:r>
    </w:p>
    <w:p w:rsidR="009D3D85" w:rsidRPr="009D3D85" w:rsidP="009D3D85">
      <w:pPr>
        <w:widowControl/>
        <w:bidi w:val="0"/>
        <w:jc w:val="both"/>
        <w:rPr>
          <w:rStyle w:val="PlaceholderText"/>
          <w:color w:val="000000"/>
        </w:rPr>
      </w:pPr>
      <w:r w:rsidRPr="009D3D85">
        <w:rPr>
          <w:rStyle w:val="PlaceholderText"/>
          <w:color w:val="000000"/>
        </w:rPr>
        <w:t xml:space="preserve">Z dôvodu zníženia administratívnej náročnosti vedenia účtovníctva v neziskových účtovných jednotkách sa navrhuje upustenie od povinnosti účtovať o opravných položkách a rezervách. Bude v kompetencii účtovnej jednotky, aby sa rozhodla či účtovanie rezerv a opravných položiek je významné pre vykázanie účtovného výsledku hospodárenia, pričom hlavne pri malých sumách nie je potrebné o týchto položkách účtovať.  Takisto o opakujúcich sa sumách medzi jednotlivými účtovnými obdobiami, ktorými sú napríklad rezervy na mzdy na dovolenky, nebude nezisková organizácia povinná účtovať. Nezisková organizácia bude povinná účtovať o odpisoch dlhodobého majetku. Pri tejto položke si môže zvoliť účtovanie daňových odpisov, ak sa dlhodobý majetok používa na zdaňovanú činnosť. </w:t>
      </w:r>
    </w:p>
    <w:p w:rsidR="009D3D85" w:rsidRPr="009D3D85" w:rsidP="009D3D85">
      <w:pPr>
        <w:widowControl/>
        <w:bidi w:val="0"/>
        <w:jc w:val="both"/>
        <w:rPr>
          <w:rStyle w:val="PlaceholderText"/>
          <w:color w:val="000000"/>
        </w:rPr>
      </w:pPr>
      <w:r w:rsidRPr="009D3D85">
        <w:rPr>
          <w:rStyle w:val="PlaceholderText"/>
          <w:color w:val="000000"/>
        </w:rPr>
        <w:t>Podrobnejšie bude uvedená problematika rozpracovaná v opatrení MF SR, ktoré ustanovuje postupy účtovania pre tieto účtovné jednotky.</w:t>
      </w:r>
    </w:p>
    <w:p w:rsidR="009D3D85" w:rsidRPr="009D3D85" w:rsidP="009D3D85">
      <w:pPr>
        <w:widowControl/>
        <w:bidi w:val="0"/>
        <w:jc w:val="both"/>
        <w:rPr>
          <w:rStyle w:val="PlaceholderText"/>
          <w:color w:val="000000"/>
        </w:rPr>
      </w:pPr>
      <w:r w:rsidRPr="009D3D85">
        <w:rPr>
          <w:rStyle w:val="PlaceholderText"/>
          <w:color w:val="000000"/>
        </w:rPr>
        <w:t> </w:t>
      </w:r>
    </w:p>
    <w:p w:rsidR="009D3D85" w:rsidRPr="009D3D85" w:rsidP="009D3D85">
      <w:pPr>
        <w:widowControl/>
        <w:bidi w:val="0"/>
        <w:jc w:val="both"/>
        <w:rPr>
          <w:rStyle w:val="PlaceholderText"/>
          <w:color w:val="000000"/>
        </w:rPr>
      </w:pPr>
      <w:r w:rsidRPr="009D3D85">
        <w:rPr>
          <w:rStyle w:val="PlaceholderText"/>
          <w:b/>
          <w:color w:val="000000"/>
        </w:rPr>
        <w:t>K bodu 4</w:t>
      </w:r>
      <w:r w:rsidR="00CA2486">
        <w:rPr>
          <w:rStyle w:val="PlaceholderText"/>
          <w:b/>
          <w:color w:val="000000"/>
        </w:rPr>
        <w:t>3</w:t>
      </w:r>
      <w:r w:rsidRPr="009D3D85">
        <w:rPr>
          <w:rStyle w:val="PlaceholderText"/>
          <w:b/>
          <w:color w:val="000000"/>
        </w:rPr>
        <w:t xml:space="preserve"> (§ 27 ods. 1)</w:t>
      </w:r>
    </w:p>
    <w:p w:rsidR="009D3D85" w:rsidRPr="009D3D85" w:rsidP="009D3D85">
      <w:pPr>
        <w:widowControl/>
        <w:bidi w:val="0"/>
        <w:jc w:val="both"/>
        <w:rPr>
          <w:rStyle w:val="PlaceholderText"/>
          <w:color w:val="000000"/>
        </w:rPr>
      </w:pPr>
      <w:r w:rsidRPr="009D3D85">
        <w:rPr>
          <w:rStyle w:val="PlaceholderText"/>
          <w:color w:val="000000"/>
        </w:rPr>
        <w:t>Zákon upravuje ocenenie podielov na základnom imaní obchodných spoločností, ktoré nemajú podobu cenného papiera a sú nadobudnuté do majetku špeciálneho podielového fondu alternatívnych investícií reálnou hodnotou ku dňu, ku ktorému sa zostavuje účtovná závierka.</w:t>
      </w:r>
    </w:p>
    <w:p w:rsidR="009D3D85" w:rsidRPr="009D3D85" w:rsidP="009D3D85">
      <w:pPr>
        <w:widowControl/>
        <w:bidi w:val="0"/>
        <w:jc w:val="both"/>
        <w:rPr>
          <w:rStyle w:val="PlaceholderText"/>
          <w:color w:val="000000"/>
        </w:rPr>
      </w:pPr>
      <w:r w:rsidRPr="009D3D85">
        <w:rPr>
          <w:rStyle w:val="PlaceholderText"/>
          <w:color w:val="000000"/>
        </w:rPr>
        <w:t> </w:t>
      </w:r>
    </w:p>
    <w:p w:rsidR="009D3D85" w:rsidRPr="009D3D85" w:rsidP="009D3D85">
      <w:pPr>
        <w:widowControl/>
        <w:bidi w:val="0"/>
        <w:jc w:val="both"/>
        <w:rPr>
          <w:rStyle w:val="PlaceholderText"/>
          <w:color w:val="000000"/>
        </w:rPr>
      </w:pPr>
      <w:r w:rsidRPr="009D3D85">
        <w:rPr>
          <w:rStyle w:val="PlaceholderText"/>
          <w:b/>
          <w:color w:val="000000"/>
        </w:rPr>
        <w:t>K bodu 4</w:t>
      </w:r>
      <w:r w:rsidR="00CA2486">
        <w:rPr>
          <w:rStyle w:val="PlaceholderText"/>
          <w:b/>
          <w:color w:val="000000"/>
        </w:rPr>
        <w:t>4</w:t>
      </w:r>
      <w:r w:rsidRPr="009D3D85">
        <w:rPr>
          <w:rStyle w:val="PlaceholderText"/>
          <w:b/>
          <w:color w:val="000000"/>
        </w:rPr>
        <w:t xml:space="preserve"> (§ 27 ods. 3)</w:t>
      </w:r>
    </w:p>
    <w:p w:rsidR="009D3D85" w:rsidRPr="009D3D85" w:rsidP="009D3D85">
      <w:pPr>
        <w:widowControl/>
        <w:bidi w:val="0"/>
        <w:jc w:val="both"/>
        <w:rPr>
          <w:rStyle w:val="PlaceholderText"/>
          <w:color w:val="000000"/>
        </w:rPr>
      </w:pPr>
      <w:r w:rsidRPr="009D3D85">
        <w:rPr>
          <w:rStyle w:val="PlaceholderText"/>
          <w:color w:val="000000"/>
        </w:rPr>
        <w:t xml:space="preserve">Trhová cena sa vymedzuje s prihliadnutím na možnosti a schopnosti profesionálnych investorov, ako sú fondy, obchodníci s cennými papiermi a pod. tak, aby v prípade, keď nie je v deň ocenenia cena na trhu k dispozícii, títo použili odhad trhovej ceny prostredníctvom modelu. </w:t>
      </w:r>
    </w:p>
    <w:p w:rsidR="009D3D85" w:rsidRPr="009D3D85" w:rsidP="009D3D85">
      <w:pPr>
        <w:widowControl/>
        <w:bidi w:val="0"/>
        <w:jc w:val="both"/>
        <w:rPr>
          <w:rStyle w:val="PlaceholderText"/>
          <w:color w:val="000000"/>
        </w:rPr>
      </w:pPr>
      <w:r w:rsidRPr="009D3D85">
        <w:rPr>
          <w:rStyle w:val="PlaceholderText"/>
          <w:color w:val="000000"/>
        </w:rPr>
        <w:t> </w:t>
      </w:r>
    </w:p>
    <w:p w:rsidR="009D3D85" w:rsidRPr="009D3D85" w:rsidP="009D3D85">
      <w:pPr>
        <w:widowControl/>
        <w:bidi w:val="0"/>
        <w:jc w:val="both"/>
        <w:rPr>
          <w:rStyle w:val="PlaceholderText"/>
          <w:color w:val="000000"/>
        </w:rPr>
      </w:pPr>
      <w:r w:rsidRPr="009D3D85">
        <w:rPr>
          <w:rStyle w:val="PlaceholderText"/>
          <w:b/>
          <w:color w:val="000000"/>
        </w:rPr>
        <w:t>K bodu 4</w:t>
      </w:r>
      <w:r w:rsidR="00CA2486">
        <w:rPr>
          <w:rStyle w:val="PlaceholderText"/>
          <w:b/>
          <w:color w:val="000000"/>
        </w:rPr>
        <w:t>5</w:t>
      </w:r>
      <w:r w:rsidRPr="009D3D85">
        <w:rPr>
          <w:rStyle w:val="PlaceholderText"/>
          <w:b/>
          <w:color w:val="000000"/>
        </w:rPr>
        <w:t xml:space="preserve"> (§ 27 ods. 6)</w:t>
      </w:r>
    </w:p>
    <w:p w:rsidR="009D3D85" w:rsidRPr="009D3D85" w:rsidP="009D3D85">
      <w:pPr>
        <w:widowControl/>
        <w:bidi w:val="0"/>
        <w:jc w:val="both"/>
        <w:rPr>
          <w:rStyle w:val="PlaceholderText"/>
          <w:color w:val="000000"/>
        </w:rPr>
      </w:pPr>
      <w:r w:rsidRPr="009D3D85">
        <w:rPr>
          <w:rStyle w:val="PlaceholderText"/>
          <w:color w:val="000000"/>
        </w:rPr>
        <w:t>V § 27 ods. 6 sa dopĺňa definícia kvalifikovaného odhadu. Oceňovacie modely, ktoré sú základom kvalifikovaných odhadov, vychádzajú všetky zo súčasnej hodnoty budúcich výdavkov na majetok a príjmov z majetku.</w:t>
      </w:r>
    </w:p>
    <w:p w:rsidR="009D3D85" w:rsidRPr="009D3D85" w:rsidP="009D3D85">
      <w:pPr>
        <w:widowControl/>
        <w:bidi w:val="0"/>
        <w:jc w:val="both"/>
        <w:rPr>
          <w:rStyle w:val="PlaceholderText"/>
          <w:color w:val="000000"/>
        </w:rPr>
      </w:pPr>
      <w:r w:rsidRPr="009D3D85">
        <w:rPr>
          <w:rStyle w:val="PlaceholderText"/>
          <w:color w:val="000000"/>
        </w:rPr>
        <w:t> </w:t>
      </w:r>
    </w:p>
    <w:p w:rsidR="009D3D85" w:rsidRPr="009D3D85" w:rsidP="009D3D85">
      <w:pPr>
        <w:widowControl/>
        <w:bidi w:val="0"/>
        <w:jc w:val="both"/>
        <w:rPr>
          <w:rStyle w:val="PlaceholderText"/>
          <w:color w:val="000000"/>
        </w:rPr>
      </w:pPr>
      <w:r w:rsidRPr="009D3D85">
        <w:rPr>
          <w:rStyle w:val="PlaceholderText"/>
          <w:b/>
          <w:color w:val="000000"/>
        </w:rPr>
        <w:t>K bodu 4</w:t>
      </w:r>
      <w:r w:rsidR="00CA2486">
        <w:rPr>
          <w:rStyle w:val="PlaceholderText"/>
          <w:b/>
          <w:color w:val="000000"/>
        </w:rPr>
        <w:t>6</w:t>
      </w:r>
      <w:r w:rsidRPr="009D3D85">
        <w:rPr>
          <w:rStyle w:val="PlaceholderText"/>
          <w:b/>
          <w:color w:val="000000"/>
        </w:rPr>
        <w:t xml:space="preserve"> (§ 27 ods. 11)</w:t>
      </w:r>
    </w:p>
    <w:p w:rsidR="009D3D85" w:rsidRPr="009D3D85" w:rsidP="009D3D85">
      <w:pPr>
        <w:widowControl/>
        <w:bidi w:val="0"/>
        <w:jc w:val="both"/>
        <w:rPr>
          <w:rStyle w:val="PlaceholderText"/>
          <w:color w:val="000000"/>
        </w:rPr>
      </w:pPr>
      <w:r w:rsidRPr="009D3D85">
        <w:rPr>
          <w:rStyle w:val="PlaceholderText"/>
          <w:color w:val="000000"/>
        </w:rPr>
        <w:t xml:space="preserve">V § 27 ods. 11 sa ustanovuje oslobodenie od oceňovania reálnou hodnotou a metódou vlastného imania ku dňu, ku ktorému sa zostavuje účtovná závierka. Oslobodenie sa netýka oceňovania majetku a záväzkov z dôvodu zániku účtovnej jednotky bez likvidácie. Oslobodenie sa vzťahuje na mikro účtovnú jednotku, účtovnú jednotku, ktorá nie je založená alebo zriadená na účel podnikania a účtovnú jednotku, ktorá účtuje v sústave jednoduchého účtovníctva. Ide o odbúranie administratívnej záťaže spojenej zo získaním reálnej hodnoty a ocenením metódou vlastného imania  a odstráni sa vznik možných chýb z dôvodu nesprávneho zaúčtovania týchto hodnôt. </w:t>
      </w:r>
    </w:p>
    <w:p w:rsidR="009D3D85" w:rsidRPr="009D3D85" w:rsidP="009D3D85">
      <w:pPr>
        <w:widowControl/>
        <w:bidi w:val="0"/>
        <w:jc w:val="both"/>
        <w:rPr>
          <w:rStyle w:val="PlaceholderText"/>
          <w:color w:val="000000"/>
        </w:rPr>
      </w:pPr>
      <w:r w:rsidRPr="009D3D85">
        <w:rPr>
          <w:rStyle w:val="PlaceholderText"/>
          <w:color w:val="000000"/>
        </w:rPr>
        <w:t> </w:t>
      </w:r>
    </w:p>
    <w:p w:rsidR="009D3D85" w:rsidRPr="009D3D85" w:rsidP="009D3D85">
      <w:pPr>
        <w:widowControl/>
        <w:bidi w:val="0"/>
        <w:jc w:val="both"/>
        <w:rPr>
          <w:rStyle w:val="PlaceholderText"/>
          <w:color w:val="000000"/>
        </w:rPr>
      </w:pPr>
      <w:r w:rsidRPr="009D3D85">
        <w:rPr>
          <w:rStyle w:val="PlaceholderText"/>
          <w:b/>
          <w:color w:val="000000"/>
        </w:rPr>
        <w:t>K bodu 4</w:t>
      </w:r>
      <w:r w:rsidR="00CA2486">
        <w:rPr>
          <w:rStyle w:val="PlaceholderText"/>
          <w:b/>
          <w:color w:val="000000"/>
        </w:rPr>
        <w:t>7</w:t>
      </w:r>
      <w:r w:rsidRPr="009D3D85">
        <w:rPr>
          <w:rStyle w:val="PlaceholderText"/>
          <w:b/>
          <w:color w:val="000000"/>
        </w:rPr>
        <w:t xml:space="preserve"> (§ 28 ods. 3)</w:t>
      </w:r>
    </w:p>
    <w:p w:rsidR="009D3D85" w:rsidRPr="009D3D85" w:rsidP="009D3D85">
      <w:pPr>
        <w:widowControl/>
        <w:bidi w:val="0"/>
        <w:jc w:val="both"/>
        <w:rPr>
          <w:rStyle w:val="PlaceholderText"/>
          <w:color w:val="000000"/>
        </w:rPr>
      </w:pPr>
      <w:r w:rsidRPr="009D3D85">
        <w:rPr>
          <w:rStyle w:val="PlaceholderText"/>
          <w:color w:val="000000"/>
        </w:rPr>
        <w:t>V záujme zníženia administratívnej záťaže v účtovných jednotkách, ktoré nie sú zriadené alebo založené na účel podnikania, sa umožňuje účtovať odpisy v súlade s ustanoveniami zákona o dani z príjmov tzv. daňové odpisy. Využitie tejto možnosti je vhodné predovšetkým v neziskových organizáciách, ktoré využívajú dlhodobý majetok aj na účely zdaňovanej činnosti.</w:t>
      </w:r>
    </w:p>
    <w:p w:rsidR="009D3D85" w:rsidRPr="009D3D85" w:rsidP="009D3D85">
      <w:pPr>
        <w:widowControl/>
        <w:bidi w:val="0"/>
        <w:jc w:val="both"/>
        <w:rPr>
          <w:rStyle w:val="PlaceholderText"/>
          <w:color w:val="000000"/>
        </w:rPr>
      </w:pPr>
      <w:r w:rsidRPr="009D3D85">
        <w:rPr>
          <w:rStyle w:val="PlaceholderText"/>
          <w:color w:val="000000"/>
        </w:rPr>
        <w:t> </w:t>
      </w:r>
    </w:p>
    <w:p w:rsidR="009D3D85" w:rsidRPr="009D3D85" w:rsidP="009D3D85">
      <w:pPr>
        <w:widowControl/>
        <w:bidi w:val="0"/>
        <w:jc w:val="both"/>
        <w:rPr>
          <w:rStyle w:val="PlaceholderText"/>
          <w:color w:val="000000"/>
        </w:rPr>
      </w:pPr>
      <w:r w:rsidR="00CA2486">
        <w:rPr>
          <w:rStyle w:val="PlaceholderText"/>
          <w:b/>
          <w:color w:val="000000"/>
        </w:rPr>
        <w:t>K bodu 48</w:t>
      </w:r>
      <w:r w:rsidRPr="009D3D85">
        <w:rPr>
          <w:rStyle w:val="PlaceholderText"/>
          <w:b/>
          <w:color w:val="000000"/>
        </w:rPr>
        <w:t xml:space="preserve"> (§ 29 ods. 3)</w:t>
      </w:r>
    </w:p>
    <w:p w:rsidR="009D3D85" w:rsidRPr="009D3D85" w:rsidP="009D3D85">
      <w:pPr>
        <w:widowControl/>
        <w:bidi w:val="0"/>
        <w:jc w:val="both"/>
        <w:rPr>
          <w:rStyle w:val="PlaceholderText"/>
          <w:color w:val="000000"/>
        </w:rPr>
      </w:pPr>
      <w:r w:rsidRPr="009D3D85">
        <w:rPr>
          <w:rStyle w:val="PlaceholderText"/>
          <w:color w:val="000000"/>
        </w:rPr>
        <w:t>Inventarizácia majetku a záväzkov predstavuje kľúčovú podmienku na zabezpečenie zásady preukázateľnosti skutočností v účtovníctve. Dlhodobý majetok je jednoznačne preukázateľný a obstaráva sa na účely dlhodobého používania. Za účelom odbúrania nadbytočných povinností pre účtovnú jednotku sa mení periodicita  inventarizácie dlhodobého majetku z dvoch rokov na štyri roky. Podľa súčasného znenia zákona  sa peňažné prostriedky v hotovosti museli inventarizovať minimálne štyrikrát za účtovné obdobie. Na účely účtovnej závierky je postačujúca inventarizácia peňažných prostriedkov v hotovosti ku dňu, ku ktorému sa zostavuje účtovná závierka. Účtovná jednotka, ktorá chce častejšie inventarizovať majetok, môže túto povinnosť ustanoviť vo svojom internom predpise.</w:t>
      </w:r>
    </w:p>
    <w:p w:rsidR="009D3D85" w:rsidRPr="009D3D85" w:rsidP="009D3D85">
      <w:pPr>
        <w:widowControl/>
        <w:bidi w:val="0"/>
        <w:rPr>
          <w:rStyle w:val="PlaceholderText"/>
          <w:color w:val="000000"/>
        </w:rPr>
      </w:pPr>
      <w:r w:rsidRPr="009D3D85">
        <w:rPr>
          <w:rStyle w:val="PlaceholderText"/>
          <w:color w:val="000000"/>
        </w:rPr>
        <w:t> </w:t>
      </w:r>
    </w:p>
    <w:p w:rsidR="009D3D85" w:rsidRPr="009D3D85" w:rsidP="009D3D85">
      <w:pPr>
        <w:widowControl/>
        <w:bidi w:val="0"/>
        <w:rPr>
          <w:rStyle w:val="PlaceholderText"/>
          <w:color w:val="000000"/>
        </w:rPr>
      </w:pPr>
      <w:r w:rsidRPr="009D3D85">
        <w:rPr>
          <w:rStyle w:val="PlaceholderText"/>
          <w:b/>
          <w:color w:val="000000"/>
        </w:rPr>
        <w:t>K bodu 4</w:t>
      </w:r>
      <w:r w:rsidR="00CA2486">
        <w:rPr>
          <w:rStyle w:val="PlaceholderText"/>
          <w:b/>
          <w:color w:val="000000"/>
        </w:rPr>
        <w:t>9</w:t>
      </w:r>
      <w:r w:rsidRPr="009D3D85">
        <w:rPr>
          <w:rStyle w:val="PlaceholderText"/>
          <w:b/>
          <w:color w:val="000000"/>
        </w:rPr>
        <w:t xml:space="preserve"> (§ 30 ods. 2)</w:t>
      </w:r>
    </w:p>
    <w:p w:rsidR="009D3D85" w:rsidRPr="009D3D85" w:rsidP="009D3D85">
      <w:pPr>
        <w:widowControl/>
        <w:bidi w:val="0"/>
        <w:rPr>
          <w:rStyle w:val="PlaceholderText"/>
          <w:color w:val="000000"/>
        </w:rPr>
      </w:pPr>
      <w:r w:rsidRPr="009D3D85">
        <w:rPr>
          <w:rStyle w:val="PlaceholderText"/>
          <w:color w:val="000000"/>
        </w:rPr>
        <w:t>Ustanovenie precizuje situáciu, ak nie je uzatvorená dohoda o hmotnej zodpovednosti.</w:t>
      </w:r>
    </w:p>
    <w:p w:rsidR="009D3D85" w:rsidRPr="009D3D85" w:rsidP="009D3D85">
      <w:pPr>
        <w:widowControl/>
        <w:bidi w:val="0"/>
        <w:rPr>
          <w:rStyle w:val="PlaceholderText"/>
          <w:color w:val="000000"/>
        </w:rPr>
      </w:pPr>
      <w:r w:rsidRPr="009D3D85">
        <w:rPr>
          <w:rStyle w:val="PlaceholderText"/>
          <w:color w:val="000000"/>
        </w:rPr>
        <w:t> </w:t>
      </w:r>
    </w:p>
    <w:p w:rsidR="009D3D85" w:rsidRPr="009D3D85" w:rsidP="009D3D85">
      <w:pPr>
        <w:widowControl/>
        <w:bidi w:val="0"/>
        <w:rPr>
          <w:rStyle w:val="PlaceholderText"/>
          <w:color w:val="000000"/>
        </w:rPr>
      </w:pPr>
      <w:r w:rsidRPr="009D3D85">
        <w:rPr>
          <w:rStyle w:val="PlaceholderText"/>
          <w:b/>
          <w:color w:val="000000"/>
        </w:rPr>
        <w:t xml:space="preserve">K bodom </w:t>
      </w:r>
      <w:r w:rsidR="00CA2486">
        <w:rPr>
          <w:rStyle w:val="PlaceholderText"/>
          <w:b/>
          <w:color w:val="000000"/>
        </w:rPr>
        <w:t>50</w:t>
      </w:r>
      <w:r w:rsidRPr="009D3D85">
        <w:rPr>
          <w:rStyle w:val="PlaceholderText"/>
          <w:b/>
          <w:color w:val="000000"/>
        </w:rPr>
        <w:t xml:space="preserve">   (§ 31 ods. 5)</w:t>
      </w:r>
    </w:p>
    <w:p w:rsidR="009D3D85" w:rsidRPr="009D3D85" w:rsidP="009D3D85">
      <w:pPr>
        <w:widowControl/>
        <w:bidi w:val="0"/>
        <w:rPr>
          <w:rStyle w:val="PlaceholderText"/>
          <w:color w:val="000000"/>
        </w:rPr>
      </w:pPr>
      <w:r w:rsidRPr="009D3D85">
        <w:rPr>
          <w:rStyle w:val="PlaceholderText"/>
          <w:color w:val="000000"/>
        </w:rPr>
        <w:t>Ide o legislatívno-technickú úpravu textu.</w:t>
      </w:r>
    </w:p>
    <w:p w:rsidR="009D3D85" w:rsidRPr="009D3D85" w:rsidP="009D3D85">
      <w:pPr>
        <w:widowControl/>
        <w:bidi w:val="0"/>
        <w:rPr>
          <w:rStyle w:val="PlaceholderText"/>
          <w:color w:val="000000"/>
        </w:rPr>
      </w:pPr>
      <w:r w:rsidRPr="009D3D85">
        <w:rPr>
          <w:rStyle w:val="PlaceholderText"/>
          <w:color w:val="000000"/>
        </w:rPr>
        <w:t> </w:t>
      </w:r>
    </w:p>
    <w:p w:rsidR="009D3D85" w:rsidRPr="009D3D85" w:rsidP="009D3D85">
      <w:pPr>
        <w:widowControl/>
        <w:bidi w:val="0"/>
        <w:rPr>
          <w:rStyle w:val="PlaceholderText"/>
          <w:color w:val="000000"/>
        </w:rPr>
      </w:pPr>
      <w:r w:rsidRPr="009D3D85">
        <w:rPr>
          <w:rStyle w:val="PlaceholderText"/>
          <w:b/>
          <w:color w:val="000000"/>
        </w:rPr>
        <w:t>K bodu 5</w:t>
      </w:r>
      <w:r w:rsidR="00CA2486">
        <w:rPr>
          <w:rStyle w:val="PlaceholderText"/>
          <w:b/>
          <w:color w:val="000000"/>
        </w:rPr>
        <w:t>1</w:t>
      </w:r>
      <w:r w:rsidRPr="009D3D85">
        <w:rPr>
          <w:rStyle w:val="PlaceholderText"/>
          <w:b/>
          <w:color w:val="000000"/>
        </w:rPr>
        <w:t xml:space="preserve"> (§ 32 ods. 2)</w:t>
      </w:r>
    </w:p>
    <w:p w:rsidR="009D3D85" w:rsidRPr="009D3D85" w:rsidP="009D3D85">
      <w:pPr>
        <w:widowControl/>
        <w:bidi w:val="0"/>
        <w:rPr>
          <w:rStyle w:val="PlaceholderText"/>
          <w:color w:val="000000"/>
        </w:rPr>
      </w:pPr>
      <w:r w:rsidRPr="009D3D85">
        <w:rPr>
          <w:rStyle w:val="PlaceholderText"/>
          <w:color w:val="000000"/>
        </w:rPr>
        <w:t xml:space="preserve">Umožňuje sa, aby podpisový záznam, ktorým sa zabezpečuje účtovný záznam určený na prenos, nemusel byť obsahom tohto účtovného záznamu. </w:t>
      </w:r>
    </w:p>
    <w:p w:rsidR="009D3D85" w:rsidRPr="009D3D85" w:rsidP="009D3D85">
      <w:pPr>
        <w:widowControl/>
        <w:bidi w:val="0"/>
        <w:rPr>
          <w:rStyle w:val="PlaceholderText"/>
          <w:color w:val="000000"/>
        </w:rPr>
      </w:pPr>
      <w:r w:rsidRPr="009D3D85">
        <w:rPr>
          <w:rStyle w:val="PlaceholderText"/>
          <w:color w:val="000000"/>
        </w:rPr>
        <w:t> </w:t>
      </w:r>
    </w:p>
    <w:p w:rsidR="009D3D85" w:rsidRPr="009D3D85" w:rsidP="009D3D85">
      <w:pPr>
        <w:widowControl/>
        <w:bidi w:val="0"/>
        <w:rPr>
          <w:rStyle w:val="PlaceholderText"/>
          <w:color w:val="000000"/>
        </w:rPr>
      </w:pPr>
      <w:r w:rsidRPr="009D3D85">
        <w:rPr>
          <w:rStyle w:val="PlaceholderText"/>
          <w:b/>
          <w:color w:val="000000"/>
        </w:rPr>
        <w:t>K bodu 5</w:t>
      </w:r>
      <w:r w:rsidR="00CA2486">
        <w:rPr>
          <w:rStyle w:val="PlaceholderText"/>
          <w:b/>
          <w:color w:val="000000"/>
        </w:rPr>
        <w:t>2</w:t>
      </w:r>
      <w:r w:rsidRPr="009D3D85">
        <w:rPr>
          <w:rStyle w:val="PlaceholderText"/>
          <w:b/>
          <w:color w:val="000000"/>
        </w:rPr>
        <w:t xml:space="preserve"> (§ 38 ods. 1)</w:t>
      </w:r>
    </w:p>
    <w:p w:rsidR="009D3D85" w:rsidRPr="009D3D85" w:rsidP="009D3D85">
      <w:pPr>
        <w:widowControl/>
        <w:bidi w:val="0"/>
        <w:rPr>
          <w:rStyle w:val="PlaceholderText"/>
          <w:color w:val="000000"/>
        </w:rPr>
      </w:pPr>
      <w:r w:rsidRPr="009D3D85">
        <w:rPr>
          <w:rStyle w:val="PlaceholderText"/>
          <w:color w:val="000000"/>
        </w:rPr>
        <w:t>Ide o legislatívno-technickú úpravu textu.</w:t>
      </w:r>
    </w:p>
    <w:p w:rsidR="009D3D85" w:rsidRPr="009D3D85" w:rsidP="009D3D85">
      <w:pPr>
        <w:widowControl/>
        <w:bidi w:val="0"/>
        <w:rPr>
          <w:rStyle w:val="PlaceholderText"/>
          <w:color w:val="000000"/>
        </w:rPr>
      </w:pPr>
      <w:r w:rsidRPr="009D3D85">
        <w:rPr>
          <w:rStyle w:val="PlaceholderText"/>
          <w:color w:val="000000"/>
        </w:rPr>
        <w:t> </w:t>
      </w:r>
    </w:p>
    <w:p w:rsidR="009D3D85" w:rsidRPr="009D3D85" w:rsidP="009D3D85">
      <w:pPr>
        <w:widowControl/>
        <w:bidi w:val="0"/>
        <w:rPr>
          <w:rStyle w:val="PlaceholderText"/>
          <w:color w:val="000000"/>
        </w:rPr>
      </w:pPr>
      <w:r w:rsidRPr="009D3D85">
        <w:rPr>
          <w:rStyle w:val="PlaceholderText"/>
          <w:b/>
          <w:color w:val="000000"/>
        </w:rPr>
        <w:t>K bodu 5</w:t>
      </w:r>
      <w:r w:rsidR="00CA2486">
        <w:rPr>
          <w:rStyle w:val="PlaceholderText"/>
          <w:b/>
          <w:color w:val="000000"/>
        </w:rPr>
        <w:t>3</w:t>
      </w:r>
      <w:r w:rsidRPr="009D3D85">
        <w:rPr>
          <w:rStyle w:val="PlaceholderText"/>
          <w:b/>
          <w:color w:val="000000"/>
        </w:rPr>
        <w:t xml:space="preserve"> (§ 39j)</w:t>
      </w:r>
    </w:p>
    <w:p w:rsidR="009D3D85" w:rsidRPr="009D3D85" w:rsidP="009D3D85">
      <w:pPr>
        <w:widowControl/>
        <w:bidi w:val="0"/>
        <w:rPr>
          <w:rStyle w:val="PlaceholderText"/>
          <w:color w:val="000000"/>
        </w:rPr>
      </w:pPr>
      <w:r w:rsidRPr="009D3D85">
        <w:rPr>
          <w:rStyle w:val="PlaceholderText"/>
          <w:color w:val="000000"/>
        </w:rPr>
        <w:t> </w:t>
      </w:r>
    </w:p>
    <w:p w:rsidR="009D3D85" w:rsidRPr="009D3D85" w:rsidP="009D3D85">
      <w:pPr>
        <w:widowControl/>
        <w:bidi w:val="0"/>
        <w:rPr>
          <w:rStyle w:val="PlaceholderText"/>
          <w:color w:val="000000"/>
        </w:rPr>
      </w:pPr>
      <w:r w:rsidRPr="009D3D85">
        <w:rPr>
          <w:rStyle w:val="PlaceholderText"/>
          <w:b/>
          <w:color w:val="000000"/>
          <w:u w:val="single"/>
        </w:rPr>
        <w:t>Prechodné ustanovenia</w:t>
      </w:r>
    </w:p>
    <w:p w:rsidR="009D3D85" w:rsidRPr="009D3D85" w:rsidP="009D3D85">
      <w:pPr>
        <w:widowControl/>
        <w:bidi w:val="0"/>
        <w:jc w:val="both"/>
        <w:rPr>
          <w:rStyle w:val="PlaceholderText"/>
          <w:color w:val="000000"/>
        </w:rPr>
      </w:pPr>
      <w:r w:rsidRPr="009D3D85">
        <w:rPr>
          <w:rStyle w:val="PlaceholderText"/>
          <w:color w:val="000000"/>
        </w:rPr>
        <w:t> </w:t>
      </w:r>
    </w:p>
    <w:p w:rsidR="009D3D85" w:rsidRPr="009D3D85" w:rsidP="009D3D85">
      <w:pPr>
        <w:widowControl/>
        <w:bidi w:val="0"/>
        <w:jc w:val="both"/>
        <w:rPr>
          <w:rStyle w:val="PlaceholderText"/>
          <w:color w:val="000000"/>
        </w:rPr>
      </w:pPr>
      <w:r w:rsidRPr="009D3D85">
        <w:rPr>
          <w:rStyle w:val="PlaceholderText"/>
          <w:b/>
          <w:color w:val="000000"/>
        </w:rPr>
        <w:t> § 39j ods. 1</w:t>
      </w:r>
    </w:p>
    <w:p w:rsidR="009D3D85" w:rsidRPr="009D3D85" w:rsidP="009D3D85">
      <w:pPr>
        <w:widowControl/>
        <w:bidi w:val="0"/>
        <w:jc w:val="both"/>
        <w:rPr>
          <w:rStyle w:val="PlaceholderText"/>
          <w:color w:val="000000"/>
        </w:rPr>
      </w:pPr>
      <w:r w:rsidRPr="009D3D85">
        <w:rPr>
          <w:rStyle w:val="PlaceholderText"/>
          <w:color w:val="000000"/>
        </w:rPr>
        <w:t xml:space="preserve">Ustanovenia § 1 ods. 1 písm. a) a § 1 ods. 2 určujú, že na právnická osoba s obmedzenou daňovou povinnosťou, ktorá má stálu prevádzkareň na území SR sa vzťahujú povinnosti vedenia účtovníctva podľa tohto zákona. Povinnosť viesť účtovníctvo za stálu prevádzkareň  sa vzťahuje na právnickú osobu na účtovné obdobie, ktoré sa začína od 1. januára 2014 a neskôr.  </w:t>
      </w:r>
    </w:p>
    <w:p w:rsidR="009D3D85" w:rsidRPr="009D3D85" w:rsidP="009D3D85">
      <w:pPr>
        <w:widowControl/>
        <w:bidi w:val="0"/>
        <w:jc w:val="both"/>
        <w:rPr>
          <w:rStyle w:val="PlaceholderText"/>
          <w:color w:val="000000"/>
        </w:rPr>
      </w:pPr>
      <w:r w:rsidRPr="009D3D85">
        <w:rPr>
          <w:rStyle w:val="PlaceholderText"/>
          <w:color w:val="000000"/>
        </w:rPr>
        <w:t> </w:t>
      </w:r>
    </w:p>
    <w:p w:rsidR="009D3D85" w:rsidRPr="009D3D85" w:rsidP="009D3D85">
      <w:pPr>
        <w:widowControl/>
        <w:bidi w:val="0"/>
        <w:jc w:val="both"/>
        <w:rPr>
          <w:rStyle w:val="PlaceholderText"/>
          <w:color w:val="000000"/>
        </w:rPr>
      </w:pPr>
      <w:r w:rsidRPr="009D3D85">
        <w:rPr>
          <w:rStyle w:val="PlaceholderText"/>
          <w:b/>
          <w:color w:val="000000"/>
        </w:rPr>
        <w:t>§ 39j ods. 2</w:t>
      </w:r>
    </w:p>
    <w:p w:rsidR="009D3D85" w:rsidRPr="009D3D85" w:rsidP="009D3D85">
      <w:pPr>
        <w:widowControl/>
        <w:bidi w:val="0"/>
        <w:jc w:val="both"/>
        <w:rPr>
          <w:rStyle w:val="PlaceholderText"/>
          <w:color w:val="000000"/>
        </w:rPr>
      </w:pPr>
      <w:r w:rsidRPr="009D3D85">
        <w:rPr>
          <w:rStyle w:val="PlaceholderText"/>
          <w:color w:val="000000"/>
        </w:rPr>
        <w:t xml:space="preserve">Ustanovenie § 39j ods. 2 určuje účtovnej obdobie, v ktorom účtovné jednotky prvýkrát budú posudzovať ich zaradenie medzi  mikro  účtovné jednotky.  Podmienky na zaradenie účtovnej jednotky medzi mikro účtovné jednotky ustanovuje § 2 ods. 5 a 7.  Pri zostavovaní účtovnej závierky po 1. januári 2014  účtovná jednotka posudzuje splnenie veľkostných kritérií za účtovné obdobie, za ktoré zostavuje účtovnú závierku a za bezprostredne predchádzajúce účtovné obdobie. </w:t>
      </w:r>
    </w:p>
    <w:p w:rsidR="009D3D85" w:rsidRPr="009D3D85" w:rsidP="009D3D85">
      <w:pPr>
        <w:widowControl/>
        <w:bidi w:val="0"/>
        <w:jc w:val="both"/>
        <w:rPr>
          <w:rStyle w:val="PlaceholderText"/>
          <w:color w:val="000000"/>
        </w:rPr>
      </w:pPr>
      <w:r w:rsidRPr="009D3D85">
        <w:rPr>
          <w:rStyle w:val="PlaceholderText"/>
          <w:color w:val="000000"/>
        </w:rPr>
        <w:t> </w:t>
      </w:r>
    </w:p>
    <w:p w:rsidR="009D3D85" w:rsidRPr="009D3D85" w:rsidP="009D3D85">
      <w:pPr>
        <w:widowControl/>
        <w:bidi w:val="0"/>
        <w:jc w:val="both"/>
        <w:rPr>
          <w:rStyle w:val="PlaceholderText"/>
          <w:color w:val="000000"/>
        </w:rPr>
      </w:pPr>
      <w:r w:rsidRPr="009D3D85">
        <w:rPr>
          <w:rStyle w:val="PlaceholderText"/>
          <w:b/>
          <w:color w:val="000000"/>
        </w:rPr>
        <w:t>§ 39j ods. 3 a 4</w:t>
      </w:r>
    </w:p>
    <w:p w:rsidR="009D3D85" w:rsidRPr="009D3D85" w:rsidP="009D3D85">
      <w:pPr>
        <w:widowControl/>
        <w:bidi w:val="0"/>
        <w:jc w:val="both"/>
        <w:rPr>
          <w:rStyle w:val="PlaceholderText"/>
          <w:color w:val="000000"/>
        </w:rPr>
      </w:pPr>
      <w:r w:rsidRPr="009D3D85">
        <w:rPr>
          <w:rStyle w:val="PlaceholderText"/>
          <w:color w:val="000000"/>
        </w:rPr>
        <w:t xml:space="preserve">Ustanovenie § 39j ods. 2 určuje účtovné obdobie, v ktorom účtovná jednotka prvý krát posudzuje, či musí  zostavovať individuálnu účtovnú závierku podľa IFRS/EÚ, a to na základe splnenia podmienok ustanovených v § 17a ods. 2 písm. a) a b) po 1. januári 2014. </w:t>
      </w:r>
    </w:p>
    <w:p w:rsidR="009D3D85" w:rsidRPr="009D3D85" w:rsidP="009D3D85">
      <w:pPr>
        <w:widowControl/>
        <w:bidi w:val="0"/>
        <w:jc w:val="both"/>
        <w:rPr>
          <w:rStyle w:val="PlaceholderText"/>
          <w:color w:val="000000"/>
        </w:rPr>
      </w:pPr>
      <w:r w:rsidRPr="009D3D85">
        <w:rPr>
          <w:rStyle w:val="PlaceholderText"/>
          <w:color w:val="000000"/>
        </w:rPr>
        <w:t xml:space="preserve">Ustanovenie § 39j ods. 3 určuje účtovné obdobie, v ktorom účtovná jednotka prvý krát posudzuje, či môže zostaviť individuálnu účtovnú závierku podľa IFRS/EÚ. Nástupnícka účtovná jednotka, ktorá spĺňa podmienky ustanovené v § 17a ods. 3 písm. c) môže zostaviť  individuálnu účtovná závierku podľa IFRS/EÚ  k 1 . januáru 2014 a neskôr. Novovzniknutá dcérska účtovná jednotka, ktorá spĺňa podmienky ustanovené v § 17a ods. 3 písm. d) môže zostaviť individuálnu účtovnú závierku podľa IFRS/EÚ k 1. januáru 2014 a neskôr. </w:t>
      </w:r>
    </w:p>
    <w:p w:rsidR="009D3D85" w:rsidRPr="009D3D85" w:rsidP="009D3D85">
      <w:pPr>
        <w:widowControl/>
        <w:bidi w:val="0"/>
        <w:jc w:val="both"/>
        <w:rPr>
          <w:rStyle w:val="PlaceholderText"/>
          <w:color w:val="000000"/>
        </w:rPr>
      </w:pPr>
      <w:r w:rsidRPr="009D3D85">
        <w:rPr>
          <w:rStyle w:val="PlaceholderText"/>
          <w:color w:val="000000"/>
        </w:rPr>
        <w:t> </w:t>
      </w:r>
    </w:p>
    <w:p w:rsidR="009D3D85" w:rsidRPr="009D3D85" w:rsidP="009D3D85">
      <w:pPr>
        <w:widowControl/>
        <w:bidi w:val="0"/>
        <w:jc w:val="both"/>
        <w:rPr>
          <w:rStyle w:val="PlaceholderText"/>
          <w:color w:val="000000"/>
        </w:rPr>
      </w:pPr>
      <w:r w:rsidRPr="009D3D85">
        <w:rPr>
          <w:rStyle w:val="PlaceholderText"/>
          <w:b/>
          <w:color w:val="000000"/>
        </w:rPr>
        <w:t>§ 39j ods. 5</w:t>
      </w:r>
    </w:p>
    <w:p w:rsidR="009D3D85" w:rsidRPr="009D3D85" w:rsidP="009D3D85">
      <w:pPr>
        <w:widowControl/>
        <w:bidi w:val="0"/>
        <w:jc w:val="both"/>
        <w:rPr>
          <w:rStyle w:val="PlaceholderText"/>
          <w:color w:val="000000"/>
        </w:rPr>
      </w:pPr>
      <w:r w:rsidRPr="009D3D85">
        <w:rPr>
          <w:rStyle w:val="PlaceholderText"/>
          <w:color w:val="000000"/>
        </w:rPr>
        <w:t>Od 1. januára 2014 sa zvyšuje suma podielu prijatej dane, od ktorej má nezisková účtovná jednotka povinnosť auditu. Táto povinnosť sa vzťahuje na dve účtovné obdobia, počas ktorých sa tieto prostriedky čerpajú.  Prechodné ustanovenie určuje, že na podiel prijatej dane, ktorý bol prijatý neziskovou organizáciou do 31. decembra 2013 sa vzťahuje doterajší limit 33 193,92 eur. Ak použije nezisková organizácia takýto podiel prijatej dane v roku 2014 bude sa na ňu vzťahovať povinnosť auditu podľa výšky doterajšieho limitu aj pre rok 2014.</w:t>
      </w:r>
    </w:p>
    <w:p w:rsidR="009D3D85" w:rsidRPr="009D3D85" w:rsidP="009D3D85">
      <w:pPr>
        <w:widowControl/>
        <w:bidi w:val="0"/>
        <w:jc w:val="both"/>
        <w:rPr>
          <w:rStyle w:val="PlaceholderText"/>
          <w:color w:val="000000"/>
        </w:rPr>
      </w:pPr>
      <w:r w:rsidRPr="009D3D85">
        <w:rPr>
          <w:rStyle w:val="PlaceholderText"/>
          <w:color w:val="000000"/>
        </w:rPr>
        <w:t xml:space="preserve">Zvýšená suma 35 000 eur sa vzťahuje až na sumu podielu prijatej dane, ktorá bude prijatá po 1. januári 2014. </w:t>
      </w:r>
    </w:p>
    <w:p w:rsidR="009D3D85" w:rsidRPr="009D3D85" w:rsidP="009D3D85">
      <w:pPr>
        <w:widowControl/>
        <w:bidi w:val="0"/>
        <w:jc w:val="both"/>
        <w:rPr>
          <w:rStyle w:val="PlaceholderText"/>
          <w:color w:val="000000"/>
        </w:rPr>
      </w:pPr>
      <w:r w:rsidRPr="009D3D85">
        <w:rPr>
          <w:rStyle w:val="PlaceholderText"/>
          <w:color w:val="000000"/>
        </w:rPr>
        <w:t> </w:t>
      </w:r>
    </w:p>
    <w:p w:rsidR="009D3D85" w:rsidRPr="009D3D85" w:rsidP="009D3D85">
      <w:pPr>
        <w:widowControl/>
        <w:bidi w:val="0"/>
        <w:jc w:val="both"/>
        <w:rPr>
          <w:rStyle w:val="PlaceholderText"/>
          <w:color w:val="000000"/>
        </w:rPr>
      </w:pPr>
      <w:r w:rsidRPr="009D3D85">
        <w:rPr>
          <w:rStyle w:val="PlaceholderText"/>
          <w:b/>
          <w:color w:val="000000"/>
        </w:rPr>
        <w:t>§ 39j ods. 6 a 7</w:t>
      </w:r>
    </w:p>
    <w:p w:rsidR="009D3D85" w:rsidRPr="009D3D85" w:rsidP="009D3D85">
      <w:pPr>
        <w:widowControl/>
        <w:bidi w:val="0"/>
        <w:jc w:val="both"/>
        <w:rPr>
          <w:rStyle w:val="PlaceholderText"/>
          <w:color w:val="000000"/>
        </w:rPr>
      </w:pPr>
      <w:r w:rsidRPr="009D3D85">
        <w:rPr>
          <w:rStyle w:val="PlaceholderText"/>
          <w:color w:val="000000"/>
        </w:rPr>
        <w:t>Ustanovenia  § 39j ods. 6 a 7 určujú  ako postupovať pri oneskorenom ukladaní súvahy a výkazu ziskov a strát do obchodného registra t.j. po uplynutí  zákonom stanovenej lehoty. Od roku  2014  zaniká obchodným spoločnostiam (túto povinnosť zabezpečí za účtovné jednotky register) povinnosť ukladania súvahy a výkazu ziskov a strát do obchodného registra a zverejňovanie súvahy a výkazu ziskov a strát v Obchodnom vestníku.  Prechodné ustanovenia určujú povinnosť účtovnej jednotky, ktorá za predchádzajúce roky ide si splniť povinnosť zverejnenie súvahy a výkazu ziskov a strát.  V prípade, ak účtovná jednotka po 1. januári 2014 ide zverejňovať súvahu a výkaz ziskov strát za účtovné obdobie končiace najneskôr do 31. decembra 2008, zverejňuje súvahu a výkaz ziskov a strát v Obchodnom  vestníku.</w:t>
      </w:r>
    </w:p>
    <w:p w:rsidR="009D3D85" w:rsidRPr="009D3D85" w:rsidP="009D3D85">
      <w:pPr>
        <w:widowControl/>
        <w:bidi w:val="0"/>
        <w:jc w:val="both"/>
        <w:rPr>
          <w:rStyle w:val="PlaceholderText"/>
          <w:color w:val="000000"/>
        </w:rPr>
      </w:pPr>
      <w:r w:rsidRPr="009D3D85">
        <w:rPr>
          <w:rStyle w:val="PlaceholderText"/>
          <w:color w:val="000000"/>
        </w:rPr>
        <w:t xml:space="preserve">V prípade, ak účtovná jednotka po 1. januári 2014 ide zverejňovať súvahu a výkaz ziskov a strát za účtovné obdobie  končiace v období od 1. januára 2009 do 31. decembra 2012, ukladá súvahu a výkaz  ziskov strát do registra účtovných závierok, ktorý ju zverejní. Register obsahuje aj historické dáta, ale iba od roku 2009, kedy sa po prvý krát vykazovalo v mene euro. </w:t>
      </w:r>
    </w:p>
    <w:p w:rsidR="009D3D85" w:rsidRPr="009D3D85" w:rsidP="009D3D85">
      <w:pPr>
        <w:widowControl/>
        <w:bidi w:val="0"/>
        <w:jc w:val="both"/>
        <w:rPr>
          <w:rStyle w:val="PlaceholderText"/>
          <w:color w:val="000000"/>
        </w:rPr>
      </w:pPr>
      <w:r w:rsidRPr="009D3D85">
        <w:rPr>
          <w:rStyle w:val="PlaceholderText"/>
          <w:color w:val="000000"/>
        </w:rPr>
        <w:t> </w:t>
      </w:r>
    </w:p>
    <w:p w:rsidR="009D3D85" w:rsidRPr="009D3D85" w:rsidP="009D3D85">
      <w:pPr>
        <w:widowControl/>
        <w:bidi w:val="0"/>
        <w:jc w:val="both"/>
        <w:rPr>
          <w:rStyle w:val="PlaceholderText"/>
          <w:color w:val="000000"/>
        </w:rPr>
      </w:pPr>
      <w:r w:rsidRPr="009D3D85">
        <w:rPr>
          <w:rStyle w:val="PlaceholderText"/>
          <w:b/>
          <w:color w:val="000000"/>
        </w:rPr>
        <w:t>§ 39j ods. 8 a 9</w:t>
      </w:r>
    </w:p>
    <w:p w:rsidR="009D3D85" w:rsidRPr="009D3D85" w:rsidP="009D3D85">
      <w:pPr>
        <w:widowControl/>
        <w:bidi w:val="0"/>
        <w:jc w:val="both"/>
        <w:rPr>
          <w:rStyle w:val="PlaceholderText"/>
          <w:color w:val="000000"/>
        </w:rPr>
      </w:pPr>
      <w:r w:rsidRPr="009D3D85">
        <w:rPr>
          <w:rStyle w:val="PlaceholderText"/>
          <w:color w:val="000000"/>
        </w:rPr>
        <w:t xml:space="preserve">Ustanovenia § 39j ods. 8 a 9 upravujú povinnosť neziskových organizácií, ktoré nie sú založené na účel podnikania, v prípade predkladania účtovnej závierky overenej audítorom za účtovné obdobie končiace 31. 12. 2008 a skôr. Predkladacím miestom týchto účtovných závierok ostáva  Obchodný vestník podľa príslušných právnych predpisov. </w:t>
      </w:r>
    </w:p>
    <w:p w:rsidR="009D3D85" w:rsidRPr="009D3D85" w:rsidP="009D3D85">
      <w:pPr>
        <w:widowControl/>
        <w:bidi w:val="0"/>
        <w:jc w:val="both"/>
        <w:rPr>
          <w:rStyle w:val="PlaceholderText"/>
          <w:color w:val="000000"/>
        </w:rPr>
      </w:pPr>
      <w:r w:rsidRPr="009D3D85">
        <w:rPr>
          <w:rStyle w:val="PlaceholderText"/>
          <w:color w:val="000000"/>
        </w:rPr>
        <w:t> </w:t>
      </w:r>
    </w:p>
    <w:p w:rsidR="009D3D85" w:rsidRPr="009D3D85" w:rsidP="009D3D85">
      <w:pPr>
        <w:widowControl/>
        <w:bidi w:val="0"/>
        <w:jc w:val="both"/>
        <w:rPr>
          <w:rStyle w:val="PlaceholderText"/>
          <w:color w:val="000000"/>
        </w:rPr>
      </w:pPr>
      <w:r w:rsidRPr="009D3D85">
        <w:rPr>
          <w:rStyle w:val="PlaceholderText"/>
          <w:b/>
          <w:color w:val="000000"/>
        </w:rPr>
        <w:t xml:space="preserve">§ 39j ods. 10 </w:t>
      </w:r>
    </w:p>
    <w:p w:rsidR="009D3D85" w:rsidRPr="009D3D85" w:rsidP="009D3D85">
      <w:pPr>
        <w:widowControl/>
        <w:bidi w:val="0"/>
        <w:jc w:val="both"/>
        <w:rPr>
          <w:rStyle w:val="PlaceholderText"/>
          <w:color w:val="000000"/>
        </w:rPr>
      </w:pPr>
      <w:r w:rsidRPr="009D3D85">
        <w:rPr>
          <w:rStyle w:val="PlaceholderText"/>
          <w:color w:val="000000"/>
        </w:rPr>
        <w:t>V § 39j ods. 10 sa  upravuje povinnosť, že  prvýkrát sa do registra účtovných závierok ukladajú  výročné správy, ktoré sa zostavujú k 31. decembru 2013 a neskôr.</w:t>
      </w:r>
    </w:p>
    <w:p w:rsidR="009D3D85" w:rsidRPr="009D3D85" w:rsidP="009D3D85">
      <w:pPr>
        <w:widowControl/>
        <w:bidi w:val="0"/>
        <w:jc w:val="both"/>
        <w:rPr>
          <w:rStyle w:val="PlaceholderText"/>
          <w:color w:val="000000"/>
        </w:rPr>
      </w:pPr>
      <w:r w:rsidRPr="009D3D85">
        <w:rPr>
          <w:rStyle w:val="PlaceholderText"/>
          <w:color w:val="000000"/>
        </w:rPr>
        <w:t> </w:t>
      </w:r>
    </w:p>
    <w:p w:rsidR="009D3D85" w:rsidRPr="009D3D85" w:rsidP="009D3D85">
      <w:pPr>
        <w:widowControl/>
        <w:bidi w:val="0"/>
        <w:jc w:val="both"/>
        <w:rPr>
          <w:rStyle w:val="PlaceholderText"/>
          <w:color w:val="000000"/>
        </w:rPr>
      </w:pPr>
      <w:r w:rsidRPr="009D3D85">
        <w:rPr>
          <w:rStyle w:val="PlaceholderText"/>
          <w:b/>
          <w:color w:val="000000"/>
        </w:rPr>
        <w:t>§ 39j ods.11</w:t>
      </w:r>
    </w:p>
    <w:p w:rsidR="009D3D85" w:rsidRPr="009D3D85" w:rsidP="009D3D85">
      <w:pPr>
        <w:widowControl/>
        <w:bidi w:val="0"/>
        <w:jc w:val="both"/>
        <w:rPr>
          <w:rStyle w:val="PlaceholderText"/>
          <w:color w:val="000000"/>
        </w:rPr>
      </w:pPr>
      <w:r w:rsidRPr="009D3D85">
        <w:rPr>
          <w:rStyle w:val="PlaceholderText"/>
          <w:color w:val="000000"/>
        </w:rPr>
        <w:t>V § 39j ods. 11 sa ustanovuje, že mikro účtovná jednotka, účtovná jednotka, ktorá nie je založená alebo zriadená na účel podnikania a účtovná jednotka, ktorá účtuje v sústave jednoduchého účtovníctva, nebudú na ocenenie majetku  a záväzkov používať reálnu hodnotu alebo metódu vlastného imania pri zostavovaní účtovnej závierky za účtovné obdobie začínajúce po 1. januári 2014.</w:t>
      </w:r>
    </w:p>
    <w:p w:rsidR="009D3D85" w:rsidRPr="009D3D85" w:rsidP="009D3D85">
      <w:pPr>
        <w:widowControl/>
        <w:bidi w:val="0"/>
        <w:rPr>
          <w:rStyle w:val="PlaceholderText"/>
          <w:color w:val="000000"/>
        </w:rPr>
      </w:pPr>
      <w:r w:rsidRPr="009D3D85">
        <w:rPr>
          <w:rStyle w:val="PlaceholderText"/>
          <w:color w:val="000000"/>
        </w:rPr>
        <w:t> </w:t>
      </w:r>
    </w:p>
    <w:p w:rsidR="009D3D85" w:rsidRPr="009D3D85" w:rsidP="009D3D85">
      <w:pPr>
        <w:widowControl/>
        <w:bidi w:val="0"/>
        <w:rPr>
          <w:rStyle w:val="PlaceholderText"/>
          <w:color w:val="000000"/>
        </w:rPr>
      </w:pPr>
      <w:r w:rsidRPr="009D3D85">
        <w:rPr>
          <w:rStyle w:val="PlaceholderText"/>
          <w:b/>
          <w:color w:val="000000"/>
        </w:rPr>
        <w:t>K bodu 5</w:t>
      </w:r>
      <w:r w:rsidR="00CA2486">
        <w:rPr>
          <w:rStyle w:val="PlaceholderText"/>
          <w:b/>
          <w:color w:val="000000"/>
        </w:rPr>
        <w:t>4</w:t>
      </w:r>
    </w:p>
    <w:p w:rsidR="009D3D85" w:rsidRPr="009D3D85" w:rsidP="009D3D85">
      <w:pPr>
        <w:widowControl/>
        <w:bidi w:val="0"/>
        <w:rPr>
          <w:rStyle w:val="PlaceholderText"/>
          <w:color w:val="000000"/>
        </w:rPr>
      </w:pPr>
      <w:r w:rsidRPr="009D3D85">
        <w:rPr>
          <w:rStyle w:val="PlaceholderText"/>
          <w:color w:val="000000"/>
        </w:rPr>
        <w:t>Dopĺňa sa transpozičná príloha.</w:t>
      </w:r>
    </w:p>
    <w:p w:rsidR="009D3D85" w:rsidRPr="009D3D85" w:rsidP="009D3D85">
      <w:pPr>
        <w:widowControl/>
        <w:bidi w:val="0"/>
        <w:rPr>
          <w:rStyle w:val="PlaceholderText"/>
          <w:color w:val="000000"/>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b/>
          <w:color w:val="000000"/>
        </w:rPr>
        <w:t>K článku II</w:t>
      </w:r>
      <w:r w:rsidRPr="009D3D85">
        <w:rPr>
          <w:rStyle w:val="PlaceholderText"/>
          <w:color w:val="000000"/>
        </w:rPr>
        <w:t xml:space="preserve"> (513/1991Zb.)</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K bodom 1 až 5</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 xml:space="preserve">Predmetnými novelizačnými bodmi dochádza k zmene § 27 ods. 3 a zmene a doplneniu § 40 Obchodného zákonníka v znení zákona č. 547/2011 Z. z. pri zachovaní cieľa, ktorý bol deklarovaný už pri zákone č. 547/2011 Z. z., t.j. odstránenie duplicitnej požiadavky na predkladanie závierky správcom dane a zbierke listín obchodného registra (tým, že sa v novo navrhovanom § 40 ods. 4 uvádza, že povinnosť uložiť účtovnú závierku do zbierky listín obchodného registra si povinný subjekt splní jej uložením do registra účtovných závierok podľa osobitného zákona). Navrhnuté riešenie je zároveň súladné s požiadavkami prvej publikačnej smernice (smernica 2009/101/ES). Smernica v čl. 3 ods. 5 ustanovuje, aby sa doklady a údaje uvedené v čl. 2 zverejnili uverejnením v celoštátnom vestníku (v podmienkach Slovenskej republiky rozumej v Obchodnom vestníku), ktorý na tento účel určí členský štát, v úplnosti alebo čiastočne alebo odkazom na dokument, ktorý sa založil do súboru alebo vložil do registra (pričom slovami „vložil do registra“ je potrebné v podmienkach Slovenskej republiky rozumieť uložil do zbierky listín obchodného registra). Uvedené jednoznačne viaže účinky materiálnej publicity údajov zapísaných v obchodnom registri ako aj listín ukladaných do zbierky listín obchodného registra na kritérium ich zverejnenia v Obchodnom vestníku.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 xml:space="preserve">Predmetné novelizačné body sa navrhujú zapracovať v záujme zníženia administratívnej záťaže podnikateľov. V zmysle návrhu zákona bude účtovným jednotkám s účinnosťou od 1. januára 2014 umožnené elektronicky ukladať do registra účtovných závierok okrem účtovných závierok aj výročné správy. Špeciálna povinnosť „zverejnenia výročnej správy, zostavenia a zverejnenia konsolidovanej účtovnej závierky a konsolidovanej výročnej správy spoločnosti, ak má spoločnosť takú povinnosť“ podľa § 192 ods. 1 Obchodného zákonníka, ktorá sa aplikuje na akciové spoločnosti popri všeobecnej povinnosti uloženia riadnej individuálnej účtovnej závierky a mimoriadnej individuálnej účtovnej závierky do zbierky listín obchodného registra podľa § 40 ods. 1 Obchodného zákonníka vyplýva z čl. 38 ods. 1 siedmej smernice Rady č. 83/349/EHS z 13. júna 1983 o konsolidovaných účtovných závierkach, vychádzajúca z článku 54 ods. 3 písm. g) zmluvy a čl. 47 štvrtej smernice Rady č. 78/660/EHS z 25. júla 1978 o ročnej účtovnej závierke niektorých typov spoločností, vychádzajúca z článku 54 ods. 3 písm. g) zmluvy. Citované smernice ustanovujú povinnosť „zverejnenia“ v súlade s čl. 3 publikačnej smernice. Samotný čl. 3 publikačnej smernice (smernica 2009/101/ES) však umožňuje členskému štátu voliť medzi niekoľkými „spôsobmi“ realizácie zverejnenia, keď v odseku 5 ustanovuje, že „Doklady a údaje uvedené v odseku 3 sa zverejnia uverejnením v celoštátnom vestníku, ktorý na tento účel určí členský štát, v úplnosti alebo čiastočne alebo odkazom na dokument, ktorý sa založil do súboru alebo vložil do registra. Celoštátny vestník určený na tento účel sa môže uchovávať elektronicky.“. Vzhľadom na uvedené, ale najmä z poukazom na potrebu znižovania administratívnej záťaže, ktorá je aj hlavným motívom prebiehajúceho legislatívneho procesu došlo k zmene § 192 ods. 1 a doplneniu § 192 o nový odsek 3, ktorými sa odstraňuje duplicita v povinnosti podľa Obchodného zákonníka (zverejniť v úplnosti výročnú správu, konsolidovanú účtovnú závierku a konsolidovanú výročnú správu) a zákona č. 431/2002 Z. z. o účtovníctve v znení neskorších predpisov (uložiť do registra účtovných závierok). V súlade so zmenami navrhovanými v novelizačných bodoch 1. až 5. (§ 27 ods. 3, § 40), duplicita sa odstraňuje tým, že povinnosť uloženia uvedených dokumentov do zbierky listín obchodného registra bude splnená ich uložením do registra účtovných závierok, ktorý následne automatizovaným spôsobom zabezpečí ich export do zbierky listín obchodného registra. Zverejnenie podľa čl. 38 siedmej smernice a čl. 47 štvrtej smernice sa uskutoční formou zverejnenia oznámenia v Obchodnom vestníku o uložení listiny do zbierky listín v súlade s § 27 ods. 3 Obchodného zákonníka (teda v zmysle terminológie čl. 3 ods. 5 publikačnej smernice „odkazom na dokument, ktorý sa vložil do registra“).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b/>
          <w:color w:val="000000"/>
        </w:rPr>
        <w:t>K článku III</w:t>
      </w:r>
      <w:r w:rsidRPr="009D3D85">
        <w:rPr>
          <w:rStyle w:val="PlaceholderText"/>
          <w:color w:val="000000"/>
        </w:rPr>
        <w:t xml:space="preserve"> (118/1996 Z. z.)</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 xml:space="preserve">Na základe zmeny zákona o účtovníctve sa navrhuje úprava, aby Fond ochrany vkladov uložil svoju výročnú správu v registri účtovných závierok.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b/>
          <w:color w:val="000000"/>
        </w:rPr>
        <w:t>K článku IV</w:t>
      </w:r>
      <w:r w:rsidRPr="009D3D85">
        <w:rPr>
          <w:rStyle w:val="PlaceholderText"/>
          <w:color w:val="000000"/>
        </w:rPr>
        <w:t xml:space="preserve"> (80/1997 Z. z.)</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Z ustanovenia sa navrhuje vypustiť predkladanie výročnej správy Národnej banke Slovenska, nakoľko ju Eximbanka bude ukladať do registra účtovných závierok.</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b/>
          <w:color w:val="000000"/>
        </w:rPr>
        <w:t>K článku V</w:t>
      </w:r>
      <w:r w:rsidRPr="009D3D85">
        <w:rPr>
          <w:rStyle w:val="PlaceholderText"/>
          <w:color w:val="000000"/>
        </w:rPr>
        <w:t xml:space="preserve"> (147/1997 Z. z.)</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 xml:space="preserve">Na základe zmeny zákona o účtovníctve sa navrhuje úprava, aby neinvestičný fond uložil svoju výročnú správu v registri účtovných závierok.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b/>
          <w:color w:val="000000"/>
        </w:rPr>
        <w:t>K článku VI</w:t>
      </w:r>
      <w:r w:rsidRPr="009D3D85">
        <w:rPr>
          <w:rStyle w:val="PlaceholderText"/>
          <w:color w:val="000000"/>
        </w:rPr>
        <w:t xml:space="preserve"> (213/1997 Z. z.)</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K bodu 1</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 xml:space="preserve">Na základe zmeny zákona o účtovníctve sa navrhuje vypustiť ustanovenie, v ktorom štatút musí obsahovať spôsob zverejnenia výročnej správy, nakoľko výročné správy neziskových organizácií sa budú zverejňovať v registri účtovných závierok.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 xml:space="preserve">K bodu 2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V nadväznosti na zmenu uloženia výročnej správy do registra účtovných závierok sa upravuje aj dôvod zrušenia neziskovej organizácie.</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K bodu 3</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 xml:space="preserve">Na základe zmeny zákona o účtovníctve sa navrhuje úprava, aby nezisková organizácia uložila svoju výročnú správu v registri účtovných závierok.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b/>
          <w:color w:val="000000"/>
        </w:rPr>
        <w:t>K článku VII</w:t>
      </w:r>
      <w:r w:rsidRPr="009D3D85">
        <w:rPr>
          <w:rStyle w:val="PlaceholderText"/>
          <w:color w:val="000000"/>
        </w:rPr>
        <w:t xml:space="preserve"> (144/1998 Z. z.)</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 xml:space="preserve">K bodu 1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 xml:space="preserve">V realizačnej fáze registra účtovných závierok počas rokov 2011 a 2012 sa zistilo, že lehota piatich dní na uloženie a spracovanie účtovnej závierky uloženej najmä v listinnej podobe nie je dostatočná, preto sa aj v nadväznosti na úpravu zákona o účtovníctve predlžuje na 15 dní.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K bodu 2</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Z dôvodu právnej istoty bolo doplnené prechodné ustanovenie pre prípad predkladania dokumentov v období, kedy by termín pre ich uloženie v registri účtovných závierok nebolo možné dodržať.</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b/>
          <w:color w:val="000000"/>
        </w:rPr>
        <w:t>K článku VIII</w:t>
      </w:r>
      <w:r w:rsidRPr="009D3D85">
        <w:rPr>
          <w:rStyle w:val="PlaceholderText"/>
          <w:color w:val="000000"/>
        </w:rPr>
        <w:t xml:space="preserve"> (308/2000 Z. z.)</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 xml:space="preserve">K bodu 1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 xml:space="preserve">V realizačnej fáze registra účtovných závierok počas rokov 2011 a 2012 sa zistilo, že lehota piatich dní na uloženie a spracovanie účtovnej závierky uloženej najmä v listinnej podobe nie je dostatočná, preto sa aj v nadväznosti na úpravu zákona o účtovníctve predlžuje na 15 dní.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 xml:space="preserve">K bodu 2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Z dôvodu právnej istoty bolo doplnené prechodné ustanovenie pre prípad predkladania dokumentov v období, kedy by termín pre ich uloženie v registri účtovných závierok nebolo možné dodržať.</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b/>
          <w:color w:val="000000"/>
        </w:rPr>
        <w:t>K článku IX</w:t>
      </w:r>
      <w:r w:rsidRPr="009D3D85">
        <w:rPr>
          <w:rStyle w:val="PlaceholderText"/>
          <w:color w:val="000000"/>
        </w:rPr>
        <w:t xml:space="preserve"> (483/2001 Z. z.)</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K bodu 1</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Upravuje sa ustanovenie sa upravuje na základe vypustenia predkladania správy audítora a doplnením lehoty predkladania listu audítora Národnej banke Slovenska.</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K bodom 2 a 6</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Na základe navrhovanej zmeny zákona o účtovníctve sa upravujú ustanovenia o uložení výročnej správy v registri účtovných závierok.</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K bodom 3 a 4</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Navrhuje sa upraviť ustanovenie týkajúce sa priebežných účtovných závierok, ktoré aj naďalej budú zasielané Národnej banke Slovenska.</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K bodu 5</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V nadväznosti na zmenu zákona o účtovníctve sa do registra účtovných závierok ukladá aj správa audítora.</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b/>
          <w:color w:val="000000"/>
        </w:rPr>
        <w:t xml:space="preserve">K článku X </w:t>
      </w:r>
      <w:r w:rsidRPr="009D3D85">
        <w:rPr>
          <w:rStyle w:val="PlaceholderText"/>
          <w:color w:val="000000"/>
        </w:rPr>
        <w:t>(566/2001 Z. z.)</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Navrhuje sa legislatívna zmena na základe zmeny zákona o účtovníctve, do registra účtovných závierok sa ukladá správa audítora a výročná správa.</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b/>
          <w:color w:val="000000"/>
        </w:rPr>
        <w:t>K článku XI</w:t>
      </w:r>
      <w:r w:rsidRPr="009D3D85">
        <w:rPr>
          <w:rStyle w:val="PlaceholderText"/>
          <w:color w:val="000000"/>
        </w:rPr>
        <w:t xml:space="preserve"> (34/2002 Z. z.)</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Na základe zmeny zákona o účtovníctve sa navrhuje ukladanie výročnej správy a správy audítora do registra účtovných závierok. Z tohto dôvodu je potrebné upraviť príslušné ustanovenia.</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b/>
          <w:color w:val="000000"/>
        </w:rPr>
        <w:t xml:space="preserve">K článku XII </w:t>
      </w:r>
      <w:r w:rsidRPr="009D3D85">
        <w:rPr>
          <w:rStyle w:val="PlaceholderText"/>
          <w:color w:val="000000"/>
        </w:rPr>
        <w:t>(131/2002 Z. z.)</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Na základe zmeny zákona o účtovníctve sa navrhuje ukladanie výročnej správy do registra účtovných závierok. Z tohto dôvodu je potrebné upraviť príslušné ustanovenia.</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b/>
          <w:color w:val="000000"/>
        </w:rPr>
        <w:t>K článku XIII</w:t>
      </w:r>
      <w:r w:rsidRPr="009D3D85">
        <w:rPr>
          <w:rStyle w:val="PlaceholderText"/>
          <w:color w:val="000000"/>
        </w:rPr>
        <w:t xml:space="preserve"> (386/2002 Z. z.)</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K bodu 1</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V realizačnej fáze registra účtovných závierok počas rokov 2011 a 2012 sa zistilo, že lehota piatich dní na uloženie a spracovanie účtovnej závierky uloženej najmä v listinnej podobe nie je dostatočná, preto sa aj v nadväznosti na úpravu zákona o účtovníctve predlžuje na 15 dní.</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 xml:space="preserve">K bodu 2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Z dôvodu právnej istoty bolo doplnené prechodné ustanovenie pre prípad predkladania dokumentov v období, kedy by termín pre ich uloženie v registri účtovných závierok nebolo možné dodržať.</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b/>
          <w:color w:val="000000"/>
        </w:rPr>
        <w:t xml:space="preserve">K článku XIV </w:t>
      </w:r>
      <w:r w:rsidRPr="009D3D85">
        <w:rPr>
          <w:rStyle w:val="PlaceholderText"/>
          <w:color w:val="000000"/>
        </w:rPr>
        <w:t>(429/2002 Z. z.)</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Na základe zmeny zákona o účtovníctve sa upravuje povinnosť uložiť výročnú správu v registri účtovných závierok.</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b/>
          <w:color w:val="000000"/>
        </w:rPr>
        <w:t>K článku XV</w:t>
      </w:r>
      <w:r w:rsidRPr="009D3D85">
        <w:rPr>
          <w:rStyle w:val="PlaceholderText"/>
          <w:color w:val="000000"/>
        </w:rPr>
        <w:t xml:space="preserve"> (461/2002 Z. z.)</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Na základe zmeny zákona o účtovníctve sa upravuje povinnosť uložiť výročnú správu v registri účtovných závierok.</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b/>
          <w:color w:val="000000"/>
        </w:rPr>
        <w:t xml:space="preserve">K článku  XVI </w:t>
      </w:r>
      <w:r w:rsidRPr="009D3D85">
        <w:rPr>
          <w:rStyle w:val="PlaceholderText"/>
          <w:color w:val="000000"/>
        </w:rPr>
        <w:t>(618/2003 Z. z.)</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 xml:space="preserve">Na základe zmeny zákona o účtovníctve sa upravuje povinnosť uložiť výročnú správu v registri účtovných závierok nie na ministerstvo.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b/>
          <w:color w:val="000000"/>
        </w:rPr>
        <w:t xml:space="preserve">K článku  XVII </w:t>
      </w:r>
      <w:r w:rsidRPr="009D3D85">
        <w:rPr>
          <w:rStyle w:val="PlaceholderText"/>
          <w:color w:val="000000"/>
        </w:rPr>
        <w:t>(5/2004 Z. z.)</w:t>
      </w:r>
      <w:r w:rsidRPr="009D3D85">
        <w:rPr>
          <w:rStyle w:val="PlaceholderText"/>
          <w:b/>
          <w:color w:val="000000"/>
        </w:rPr>
        <w:t xml:space="preserve">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V súvislosti s predkladaným návrhom je potrebné novelizovať aj zákon č. 5/2004 Z. z. o službách zamestnanosti a o zmene a doplnení niektorých zákonov v znení neskorších predpisov, a to v súvislosti so zrušením povinnosti predkladania účtovných závierok k žiadostiam podľa § 29 a § 31 zákona č. 5/2004 Z. z. o službách zamestnanosti a o zmene a doplnení niektorých zákonov v znení neskorších predpisov, nakoľko tieto údaje si bude môcť Ústredie práce, sociálnych vecí a rodiny overiť priamo v registri účtovných závierok a tiež vzhľadom k potrebe zabezpečiť plnenie uznesení vlády Slovenskej republiky, ktorými je deklarované zníženie administratívnej záťaže a nevyžadovanie dokladov, ktoré je možné získať z iných orgánov verejnej správy.</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b/>
          <w:color w:val="000000"/>
        </w:rPr>
        <w:t xml:space="preserve">K článku XVIII </w:t>
      </w:r>
      <w:r w:rsidRPr="009D3D85">
        <w:rPr>
          <w:rStyle w:val="PlaceholderText"/>
          <w:color w:val="000000"/>
        </w:rPr>
        <w:t>(43/2004 Z. z.)</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K bodu 1</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Upravuje sa povinnosť dôchodkovej správcovskej spoločnosti uložiť v registri účtovných závierok správu o hospodárení s vlastným majetkom, ako aj ročné správy o hospodárení s majetkom v spravovaných dôchodkových fondoch.</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K bodu 2</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V nadväznosti na zmenu zákona o účtovníctve sa upravuje povinnosť predkladania priebežnej účtovnej závierky Národnej banke Slovenska, pričom sa vypúšťa povinnosť uložiť priebežnú účtovnú závierku a polročnú účtovnú závierku do registra účtovných závierok.</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b/>
          <w:color w:val="000000"/>
        </w:rPr>
        <w:t>K článku XIX</w:t>
      </w:r>
      <w:r w:rsidRPr="009D3D85">
        <w:rPr>
          <w:rStyle w:val="PlaceholderText"/>
          <w:color w:val="000000"/>
        </w:rPr>
        <w:t xml:space="preserve"> (523/2004 Z. z.)</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Na základe zmeny zákona o účtovníctve sa navrhuje zverejňovanie v registri účtovných závierok.</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b/>
          <w:color w:val="000000"/>
        </w:rPr>
        <w:t>K článku XX</w:t>
      </w:r>
      <w:r w:rsidRPr="009D3D85">
        <w:rPr>
          <w:rStyle w:val="PlaceholderText"/>
          <w:color w:val="000000"/>
        </w:rPr>
        <w:t xml:space="preserve"> (581/2004 Z. z.)</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K bodu 1</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Na základe zmeny zákona o účtovníctve sa navrhuje, aby aj naďalej bola priebežná účtovná závierka predkladaná Ministerstvu zdravotníctva SR, Ministerstvu financií SR a Úradu pre dohľad nad zdravotnou starostlivosťou.</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K bodom 2,  4 a 7</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Z dôvodu centralizácie miesta predkladania výročných správ účtovných jednotiek, racionalizácie a efektívnosti verejnej správy, sa výročná správy Úradu pre dohľad nad zdravotnou starostlivosťou bude ukladať do registra účtovných závierok.</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K bodu 3</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Ide o legislatívno-technickú úpravu z dôvodu  úpravy bodu 2.</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K bodom  5 a 6</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 xml:space="preserve">V rámci zníženia administratívnej záťaže Úradu pre dohľad nad zdravotnou starostlivosťou sa vypúšťa povinnosť zostavenia priebežnej účtovnej závierky a z dôvodu zmeny zákona o účtovníctve následne aj ukladania priebežnej účtovnej závierky  v registri účtovných závierok.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 xml:space="preserve">K bodu 8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Ide o legislatívno-technickú úpravu z dôvodu  úpravy bodu 4.</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b/>
          <w:color w:val="000000"/>
        </w:rPr>
        <w:t xml:space="preserve">K článku XXI </w:t>
      </w:r>
      <w:r w:rsidRPr="009D3D85">
        <w:rPr>
          <w:rStyle w:val="PlaceholderText"/>
          <w:color w:val="000000"/>
        </w:rPr>
        <w:t>(650/2004 Z. z.)</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V nadväznosti na zmeny zákona o účtovníctve sa upravuje povinnosť zverejňovania výročnej správy v registri účtovných závierok.</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b/>
          <w:color w:val="000000"/>
        </w:rPr>
        <w:t xml:space="preserve">K článku XXII </w:t>
      </w:r>
      <w:r w:rsidRPr="009D3D85">
        <w:rPr>
          <w:rStyle w:val="PlaceholderText"/>
          <w:color w:val="000000"/>
        </w:rPr>
        <w:t>(747/2004 Z. z.)</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V nadväznosti na zmeny zákona o účtovníctve sa upravuje povinnosť predkladania priebežných účtovných závierok Národnej banke Slovenska.</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b/>
          <w:color w:val="000000"/>
        </w:rPr>
        <w:t xml:space="preserve">K článku  XXIII </w:t>
      </w:r>
      <w:r w:rsidRPr="009D3D85">
        <w:rPr>
          <w:rStyle w:val="PlaceholderText"/>
          <w:color w:val="000000"/>
        </w:rPr>
        <w:t xml:space="preserve">(85/2005 Z. z.)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Na základe navrhovanej zmeny zákona o účtovníctve sa upravuje ustanovenie o uložení výročnej správy vo verejnej časti registra účtovných závierok. Ponecháva sa povinnosť politických strán predkladať výročné správy do Národnej rady SR, pričom Kancelária NR SR bude povinná zverejniť tieto výročné správy na svojom webovom sídle, ako aj v rovnakom formáte vo verejnej časti registra účtovných závierok.</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b/>
          <w:color w:val="000000"/>
        </w:rPr>
        <w:t>K článku  XXIV</w:t>
      </w:r>
      <w:r w:rsidRPr="009D3D85">
        <w:rPr>
          <w:rStyle w:val="PlaceholderText"/>
          <w:color w:val="000000"/>
        </w:rPr>
        <w:t xml:space="preserve"> (172/2005 Z. z.)</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K bodom 1 a 2</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V nadväznosti na zmeny zákona o účtovníctve sa upravuje povinnosť zverejňovania výročnej správy v registri účtovných závierok. V realizačnej fáze registra účtovných závierok počas rokov 2011 a 2012 sa zistilo, že lehota piatich dní na uloženie a spracovanie účtovnej závierky uloženej najmä v listinnej podobe nie je dostatočná, preto sa aj v nadväznosti na úpravu zákona o účtovníctve predlžuje na 15 dní.</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 xml:space="preserve">K bodu 3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Z dôvodu právnej istoty bolo doplnené prechodné ustanovenie pre prípad predkladania dokumentov v období, kedy by termín pre ich uloženie v registri účtovných závierok nebolo možné dodržať.</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b/>
          <w:color w:val="000000"/>
        </w:rPr>
        <w:t>K článku XXV</w:t>
      </w:r>
      <w:r w:rsidRPr="009D3D85">
        <w:rPr>
          <w:rStyle w:val="PlaceholderText"/>
          <w:color w:val="000000"/>
        </w:rPr>
        <w:t xml:space="preserve"> (460/2007 Z. z.)</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V nadväznosti na zmeny zákona o účtovníctve sa upravuje povinnosť zverejňovania výročnej správy v registri účtovných závierok.</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b/>
          <w:color w:val="000000"/>
        </w:rPr>
        <w:t>K článku  XXVI</w:t>
      </w:r>
      <w:r w:rsidRPr="009D3D85">
        <w:rPr>
          <w:rStyle w:val="PlaceholderText"/>
          <w:color w:val="000000"/>
        </w:rPr>
        <w:t xml:space="preserve"> (540/2007 Z. z.)</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V nadväznosti na zmeny zákona o účtovníctve sa upravuje povinnosť zverejňovania správy audítora a  výročnej správy v registri účtovných závierok.</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b/>
          <w:color w:val="000000"/>
        </w:rPr>
        <w:t xml:space="preserve">K článku XXVII </w:t>
      </w:r>
      <w:r w:rsidRPr="009D3D85">
        <w:rPr>
          <w:rStyle w:val="PlaceholderText"/>
          <w:color w:val="000000"/>
        </w:rPr>
        <w:t>(561/2007 Z. z.)</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K bodu 1</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 xml:space="preserve">V nadväznosti na povinnosť uloženia výročnej správy v registri účtovných závierok sa vypúšťa ustanovenie.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K bodom 2 a 3</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V realizačnej fáze registra účtovných závierok počas rokov 2011 a 2012 sa zistilo, že lehota piatich dní na uloženie a spracovanie účtovnej závierky uloženej najmä v listinnej podobe nie je dostatočná, preto sa aj v nadväznosti na úpravu zákona o účtovníctve predlžuje na 15 dní.</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 xml:space="preserve">K bodu 4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Z dôvodu právnej istoty bolo doplnené prechodné ustanovenie pre prípad predkladania dokumentov v období, kedy by termín pre ich uloženie v registri účtovných závierok nebolo možné dodržať.</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b/>
          <w:color w:val="000000"/>
        </w:rPr>
        <w:t xml:space="preserve">K článku  XXVIII </w:t>
      </w:r>
      <w:r w:rsidRPr="009D3D85">
        <w:rPr>
          <w:rStyle w:val="PlaceholderText"/>
          <w:color w:val="000000"/>
        </w:rPr>
        <w:t>(8/2008 Z. z.)</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K bodu 1</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Na základe zmeny zákona o účtovníctve sa upravuje povinnosť uloženia výročnej správy v registri účtovných závierok.</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K bodom 2 a 5</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Ide o legislatívno-technickú úpravu.</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K bodu 4</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V nadväznosti na zmenu zákona o účtovníctve sa správa audítora ukladá do registra účtovných závierok.</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K bodu 6</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V nadväznosti na navrhované zmeny sa navrhuje aj úprava tohto ustanovenia.</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b/>
          <w:color w:val="000000"/>
        </w:rPr>
        <w:t xml:space="preserve">K článku XXIX </w:t>
      </w:r>
      <w:r w:rsidRPr="009D3D85">
        <w:rPr>
          <w:rStyle w:val="PlaceholderText"/>
          <w:color w:val="000000"/>
        </w:rPr>
        <w:t>(90/2008 Z. z.)</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Na základe zmeny zákona o účtovníctve sa upravuje povinnosť uloženia výročnej správy v registri účtovných závierok.</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b/>
          <w:color w:val="000000"/>
        </w:rPr>
        <w:t xml:space="preserve">K článku XXX </w:t>
      </w:r>
      <w:r w:rsidRPr="009D3D85">
        <w:rPr>
          <w:rStyle w:val="PlaceholderText"/>
          <w:color w:val="000000"/>
        </w:rPr>
        <w:t>(385/2008 Z. z.)</w:t>
      </w:r>
      <w:r w:rsidRPr="009D3D85">
        <w:rPr>
          <w:rStyle w:val="PlaceholderText"/>
          <w:b/>
          <w:color w:val="000000"/>
        </w:rPr>
        <w:t xml:space="preserve">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Na základe zmeny zákona o účtovníctve sa upravuje povinnosť uloženia výročnej správy v registri účtovných závierok.</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b/>
          <w:color w:val="000000"/>
        </w:rPr>
        <w:t xml:space="preserve">K článku XXXI </w:t>
      </w:r>
      <w:r w:rsidRPr="009D3D85">
        <w:rPr>
          <w:rStyle w:val="PlaceholderText"/>
          <w:color w:val="000000"/>
        </w:rPr>
        <w:t>(516/2008 Z. z.)</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Na základe zmeny zákona o účtovníctve sa upravuje povinnosť uloženia aj výročnej správy v registri účtovných závierok.</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b/>
          <w:color w:val="000000"/>
        </w:rPr>
        <w:t xml:space="preserve">K článku XXXII </w:t>
      </w:r>
      <w:r w:rsidRPr="009D3D85">
        <w:rPr>
          <w:rStyle w:val="PlaceholderText"/>
          <w:color w:val="000000"/>
        </w:rPr>
        <w:t>(583/2008 Z. z.)</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K bodu 1</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V realizačnej fáze registra účtovných závierok počas rokov 2011 a 2012 sa zistilo, že lehota piatich dní na uloženie a spracovanie účtovnej závierky uloženej najmä v listinnej podobe nie je dostatočná, preto sa aj v nadväznosti na úpravu zákona o účtovníctve predlžuje na 15 dní.</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 xml:space="preserve">K bodu 2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Z dôvodu právnej istoty bolo doplnené prechodné ustanovenie pre prípad predkladania dokumentov v období, kedy by termín pre ich uloženie v registri účtovných závierok nebolo možné dodržať.</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b/>
          <w:color w:val="000000"/>
        </w:rPr>
        <w:t>K článku XXXIII</w:t>
      </w:r>
      <w:r w:rsidRPr="009D3D85">
        <w:rPr>
          <w:rStyle w:val="PlaceholderText"/>
          <w:color w:val="000000"/>
        </w:rPr>
        <w:t xml:space="preserve"> (185/2009 Z. z.)</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V nadväznosti na zmenu zákona o účtovníctve sa upravuje povinnosť uloženia účtovnej závierky a výročnej správy v registri účtovných závierok do 10 dní. V realizačnej fáze registra účtovných závierok počas rokov 2011 a 2012 sa zistilo, že lehota piatich dní na uloženie a spracovanie účtovnej závierky uloženej najmä v listinnej podobe nie je dostatočná, preto sa aj v nadväznosti na úpravu zákona o účtovníctve predlžuje na 15 dní.</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 xml:space="preserve">K bodu 4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Z dôvodu právnej istoty bolo doplnené prechodné ustanovenie pre prípad predkladania dokumentov v období, kedy by termín pre ich uloženie v registri účtovných závierok nebolo možné dodržať.</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b/>
          <w:color w:val="000000"/>
        </w:rPr>
        <w:t>K článku XXXIV</w:t>
      </w:r>
      <w:r w:rsidRPr="009D3D85">
        <w:rPr>
          <w:rStyle w:val="PlaceholderText"/>
          <w:color w:val="000000"/>
        </w:rPr>
        <w:t xml:space="preserve"> (492/2009 Z. z.)</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Upravuje sa ustanovenie o povinnosť uložiť správu audítora do registra účtovných závierok.</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b/>
          <w:color w:val="000000"/>
        </w:rPr>
        <w:t xml:space="preserve">K článku XXXV </w:t>
      </w:r>
      <w:r w:rsidRPr="009D3D85">
        <w:rPr>
          <w:rStyle w:val="PlaceholderText"/>
          <w:color w:val="000000"/>
        </w:rPr>
        <w:t>(505/2009 Z. z.)</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V nadväznosti na zmenu zákona o účtovníctve sa ustanovuje povinnosť výročnej správy v registri účtovných závierok.</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b/>
          <w:color w:val="000000"/>
        </w:rPr>
        <w:t xml:space="preserve">K článku  XXXVI </w:t>
      </w:r>
      <w:r w:rsidRPr="009D3D85">
        <w:rPr>
          <w:rStyle w:val="PlaceholderText"/>
          <w:color w:val="000000"/>
        </w:rPr>
        <w:t>(513/2009 Z. z.)</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K bodu 1</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V realizačnej fáze registra účtovných závierok počas rokov 2011 a 2012 sa zistilo, že lehota piatich dní na uloženie a spracovanie účtovnej závierky uloženej najmä v listinnej podobe nie je dostatočná, preto sa aj v nadväznosti na úpravu zákona o účtovníctve predlžuje na 15 dní.</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K bodu 2</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V nadväznosti na zmenu zákona o účtovníctve sa ustanovuje povinnosť výročnej správy v registri účtovných závierok.</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K bodu 3</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Z dôvodu právnej istoty bolo doplnené prechodné ustanovenie pre prípad predkladania dokumentov v období, kedy by termín pre ich uloženie v registri účtovných závierok nebolo možné dodržať.</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b/>
          <w:color w:val="000000"/>
        </w:rPr>
        <w:t xml:space="preserve">K článku XXXVII </w:t>
      </w:r>
      <w:r w:rsidRPr="009D3D85">
        <w:rPr>
          <w:rStyle w:val="PlaceholderText"/>
          <w:color w:val="000000"/>
        </w:rPr>
        <w:t>(514/2009 Z. z.)</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K bodu 1</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V realizačnej fáze registra účtovných závierok počas rokov 2011 a 2012 sa zistilo, že lehota piatich dní na uloženie a spracovanie účtovnej závierky uloženej najmä v listinnej podobe nie je dostatočná, preto sa aj v nadväznosti na úpravu zákona o účtovníctve predlžuje na 15 dní.</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 xml:space="preserve">K bodu 2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Z dôvodu právnej istoty bolo doplnené prechodné ustanovenie pre prípad predkladania dokumentov v období, kedy by termín pre ich uloženie v registri účtovných závierok nebolo možné dodržať.</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b/>
          <w:color w:val="000000"/>
        </w:rPr>
        <w:t xml:space="preserve">K článku XXXVIII </w:t>
      </w:r>
      <w:r w:rsidRPr="009D3D85">
        <w:rPr>
          <w:rStyle w:val="PlaceholderText"/>
          <w:color w:val="000000"/>
        </w:rPr>
        <w:t>(91/2010 Z. z.)</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 xml:space="preserve">Navrhuje sa povinnosť uložiť na základe zákona o účtovníctve účtovnú závierku v registri účtovných závierok.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b/>
          <w:color w:val="000000"/>
        </w:rPr>
        <w:t xml:space="preserve">K článku  XXXIX </w:t>
      </w:r>
      <w:r w:rsidRPr="009D3D85">
        <w:rPr>
          <w:rStyle w:val="PlaceholderText"/>
          <w:color w:val="000000"/>
        </w:rPr>
        <w:t>(525/2010 Z. z.)</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K bodu 1</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Navrhuje sa, aby do termínu podania žiadosti žiadateľ zabezpečil uloženie účtovnej závierky v registri účtovných závierok, nakoľko v realizačnej fáze registra účtovných závierok počas rokov 2011 a 2012 sa zistilo, že lehota piatich dní na uloženie a spracovanie účtovnej závierky uloženej najmä v listinnej podobe nie je dostatočná, preto sa aj v nadväznosti na úpravu zákona o účtovníctve predlžuje na 15 dní.</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 xml:space="preserve">K bodu 2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Z dôvodu právnej istoty bolo doplnené prechodné ustanovenie pre prípad predkladania dokumentov v období, kedy by termín pre ich uloženie v registri účtovných závierok nebolo možné dodržať.</w:t>
      </w:r>
    </w:p>
    <w:p w:rsid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b/>
          <w:color w:val="000000"/>
        </w:rPr>
        <w:t xml:space="preserve">K článku  XL </w:t>
      </w:r>
      <w:r w:rsidRPr="009D3D85">
        <w:rPr>
          <w:rStyle w:val="PlaceholderText"/>
          <w:color w:val="000000"/>
        </w:rPr>
        <w:t>(203/2011 Z. z.)</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K bodom 1 až 3, 8 a 10</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V nadväznosti na zmenu zákona o účtovníctve sa upravuje povinnosť uloženia výročnej správy v registri účtovných závierok.</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K bodom 4 až 7</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Z dôvodu zmeny zákona o účtovníctve sa priebežné účtovné závierky aj naďalej predkladajú Národnej banke Slovenska.</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K bodom 9 a 11</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Ide o legislatívno-technickú úpravu z dôvodu vypustenia niektorých ustanovení.</w:t>
      </w:r>
    </w:p>
    <w:p w:rsid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b/>
          <w:color w:val="000000"/>
        </w:rPr>
        <w:t>K článku XLI</w:t>
      </w:r>
      <w:r w:rsidRPr="009D3D85">
        <w:rPr>
          <w:rStyle w:val="PlaceholderText"/>
          <w:color w:val="000000"/>
        </w:rPr>
        <w:t xml:space="preserve"> (324/2011 Z. z.)</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Navrhuje sa úprava ustanovenia v nadväznosti na zmenu zákona o účtovníctve, na základe ktorého sa priebežné závierky nebudú ukladať do registra účtovných závierok.</w:t>
      </w:r>
    </w:p>
    <w:p w:rsid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b/>
          <w:color w:val="000000"/>
        </w:rPr>
        <w:t>K článku XLII</w:t>
      </w:r>
      <w:r w:rsidRPr="009D3D85">
        <w:rPr>
          <w:rStyle w:val="PlaceholderText"/>
          <w:color w:val="000000"/>
        </w:rPr>
        <w:t xml:space="preserve"> (351/2011 Z. z.)</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 xml:space="preserve">V nadväznosti na zmenu zákona o účtovníctve, na základe ktorého sa ukladajú výročné správy do registra účtovných závierok sa z dôvodu nadbytočnosti a duplicity vypúšťa príslušná povinnosť Telekomunikačného úradu. </w:t>
      </w:r>
    </w:p>
    <w:p w:rsid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b/>
          <w:color w:val="000000"/>
        </w:rPr>
        <w:t>K článku XLIII</w:t>
      </w:r>
      <w:r w:rsidRPr="009D3D85">
        <w:rPr>
          <w:rStyle w:val="PlaceholderText"/>
          <w:color w:val="000000"/>
        </w:rPr>
        <w:t xml:space="preserve"> (392/2011 Z. z.)</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K bodom 1 a 2</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V nadväznosti na zmenu zákona o účtovníctve sa upravuje povinnosť zverejniť účtovnú závierku v registri účtovných závierok najneskôr 10 pracovných dní pred termínom podania žiadosti.</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 xml:space="preserve">K bodu 3 </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Z dôvodu právnej istoty bolo doplnené prechodné ustanovenie pre prípad predkladania dokumentov v období, kedy by termín pre ich uloženie v registri účtovných závierok nebolo možné dodržať.</w:t>
      </w:r>
    </w:p>
    <w:p w:rsid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b/>
          <w:color w:val="000000"/>
        </w:rPr>
        <w:t>K článku XLIV</w:t>
      </w:r>
      <w:r w:rsidRPr="009D3D85">
        <w:rPr>
          <w:rStyle w:val="PlaceholderText"/>
          <w:color w:val="000000"/>
        </w:rPr>
        <w:t xml:space="preserve"> (251/2012 Z. z.)</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V nadväznosti na zmenu zákona o účtovníctve sa upravuje povinnosť ukladania výročných správ do registra účtovných závierok.</w:t>
      </w:r>
    </w:p>
    <w:p w:rsid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b/>
          <w:color w:val="000000"/>
        </w:rPr>
        <w:t>K článku XLV</w:t>
      </w:r>
      <w:r w:rsidRPr="009D3D85">
        <w:rPr>
          <w:rStyle w:val="PlaceholderText"/>
          <w:color w:val="000000"/>
        </w:rPr>
        <w:t xml:space="preserve"> (396/2012 Z. z.)</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 xml:space="preserve">Doplňuje sa povinnosť ukladania výročnej správy do registra účtovných závierok. </w:t>
      </w:r>
    </w:p>
    <w:p w:rsidR="009D3D85" w:rsidP="009D3D85">
      <w:pPr>
        <w:widowControl/>
        <w:bidi w:val="0"/>
        <w:jc w:val="both"/>
        <w:rPr>
          <w:rStyle w:val="PlaceholderText"/>
          <w:rFonts w:ascii="Arial Narrow" w:hAnsi="Arial Narrow" w:cs="Arial Narrow"/>
          <w:color w:val="000000"/>
          <w:sz w:val="22"/>
        </w:rPr>
      </w:pPr>
      <w:r w:rsidRPr="009D3D85">
        <w:rPr>
          <w:rStyle w:val="PlaceholderText"/>
          <w:rFonts w:ascii="Arial Narrow" w:hAnsi="Arial Narrow" w:cs="Arial Narrow"/>
          <w:color w:val="000000"/>
          <w:sz w:val="22"/>
        </w:rPr>
        <w:t> </w:t>
      </w:r>
    </w:p>
    <w:p w:rsidR="009D3D85" w:rsidRPr="009D3D85" w:rsidP="009D3D85">
      <w:pPr>
        <w:widowControl/>
        <w:bidi w:val="0"/>
        <w:jc w:val="both"/>
        <w:rPr>
          <w:rStyle w:val="PlaceholderText"/>
          <w:rFonts w:ascii="Arial Narrow" w:hAnsi="Arial Narrow" w:cs="Arial Narrow"/>
          <w:color w:val="000000"/>
          <w:sz w:val="22"/>
        </w:rPr>
      </w:pP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b/>
          <w:color w:val="000000"/>
        </w:rPr>
        <w:t>K článku XLVI</w:t>
      </w:r>
    </w:p>
    <w:p w:rsidR="009D3D85" w:rsidRPr="009D3D85" w:rsidP="009D3D85">
      <w:pPr>
        <w:widowControl/>
        <w:bidi w:val="0"/>
        <w:jc w:val="both"/>
        <w:rPr>
          <w:rStyle w:val="PlaceholderText"/>
          <w:rFonts w:ascii="Arial Narrow" w:hAnsi="Arial Narrow" w:cs="Arial Narrow"/>
          <w:color w:val="000000"/>
          <w:sz w:val="22"/>
        </w:rPr>
      </w:pPr>
      <w:r w:rsidRPr="009D3D85">
        <w:rPr>
          <w:rStyle w:val="PlaceholderText"/>
          <w:color w:val="000000"/>
        </w:rPr>
        <w:t xml:space="preserve">Navrhovaná  účinnosť zákona je 1. januára 2014. </w:t>
      </w:r>
    </w:p>
    <w:p w:rsidR="009D3D85" w:rsidRPr="009D3D85" w:rsidP="009D3D85">
      <w:pPr>
        <w:widowControl/>
        <w:bidi w:val="0"/>
        <w:spacing w:after="280" w:afterAutospacing="1"/>
        <w:rPr>
          <w:rStyle w:val="PlaceholderText"/>
          <w:color w:val="000000"/>
        </w:rPr>
      </w:pPr>
      <w:r w:rsidRPr="009D3D85">
        <w:rPr>
          <w:rStyle w:val="PlaceholderText"/>
          <w:color w:val="000000"/>
        </w:rPr>
        <w:t> </w:t>
      </w:r>
    </w:p>
    <w:p w:rsidR="009D3D85" w:rsidRPr="00A07569" w:rsidP="009D3D85">
      <w:pPr>
        <w:pStyle w:val="ListParagraph"/>
        <w:bidi w:val="0"/>
        <w:ind w:left="0"/>
        <w:jc w:val="both"/>
        <w:rPr>
          <w:rFonts w:ascii="Times New Roman" w:hAnsi="Times New Roman"/>
        </w:rPr>
      </w:pPr>
    </w:p>
    <w:p w:rsidR="009D3D85" w:rsidRPr="001D0648" w:rsidP="009D3D85">
      <w:pPr>
        <w:tabs>
          <w:tab w:val="left" w:pos="9072"/>
        </w:tabs>
        <w:bidi w:val="0"/>
        <w:jc w:val="both"/>
        <w:rPr>
          <w:rFonts w:ascii="Times New Roman" w:hAnsi="Times New Roman"/>
        </w:rPr>
      </w:pPr>
      <w:r w:rsidR="002F565C">
        <w:rPr>
          <w:rFonts w:ascii="Times New Roman" w:hAnsi="Times New Roman"/>
        </w:rPr>
        <w:t xml:space="preserve">Schválené uznesením vlády Slovenskej </w:t>
      </w:r>
      <w:r w:rsidRPr="00145AF2" w:rsidR="002F565C">
        <w:rPr>
          <w:rFonts w:ascii="Times New Roman" w:hAnsi="Times New Roman"/>
        </w:rPr>
        <w:t xml:space="preserve">republiky dňa </w:t>
      </w:r>
      <w:r w:rsidRPr="00145AF2">
        <w:rPr>
          <w:rFonts w:ascii="Times New Roman" w:hAnsi="Times New Roman"/>
        </w:rPr>
        <w:t xml:space="preserve"> </w:t>
      </w:r>
      <w:r w:rsidRPr="00145AF2" w:rsidR="00427A8D">
        <w:rPr>
          <w:rFonts w:ascii="Times New Roman" w:hAnsi="Times New Roman"/>
        </w:rPr>
        <w:t>14.</w:t>
      </w:r>
      <w:r w:rsidRPr="00145AF2">
        <w:rPr>
          <w:rFonts w:ascii="Times New Roman" w:hAnsi="Times New Roman"/>
        </w:rPr>
        <w:t xml:space="preserve"> </w:t>
      </w:r>
      <w:r w:rsidRPr="00145AF2" w:rsidR="00427A8D">
        <w:rPr>
          <w:rFonts w:ascii="Times New Roman" w:hAnsi="Times New Roman"/>
        </w:rPr>
        <w:t xml:space="preserve">augusta </w:t>
      </w:r>
      <w:r w:rsidRPr="00145AF2">
        <w:rPr>
          <w:rFonts w:ascii="Times New Roman" w:hAnsi="Times New Roman"/>
        </w:rPr>
        <w:t>2013</w:t>
      </w:r>
      <w:r w:rsidRPr="00145AF2" w:rsidR="002F565C">
        <w:rPr>
          <w:rFonts w:ascii="Times New Roman" w:hAnsi="Times New Roman"/>
        </w:rPr>
        <w:t>.</w:t>
      </w:r>
    </w:p>
    <w:p w:rsidR="009D3D85" w:rsidRPr="001D0648" w:rsidP="009D3D85">
      <w:pPr>
        <w:tabs>
          <w:tab w:val="left" w:pos="9072"/>
        </w:tabs>
        <w:bidi w:val="0"/>
        <w:jc w:val="both"/>
        <w:rPr>
          <w:rFonts w:ascii="Times New Roman" w:hAnsi="Times New Roman"/>
        </w:rPr>
      </w:pPr>
    </w:p>
    <w:p w:rsidR="009D3D85" w:rsidRPr="001D0648" w:rsidP="009D3D85">
      <w:pPr>
        <w:tabs>
          <w:tab w:val="left" w:pos="9072"/>
        </w:tabs>
        <w:bidi w:val="0"/>
        <w:jc w:val="both"/>
        <w:rPr>
          <w:rFonts w:ascii="Times New Roman" w:hAnsi="Times New Roman"/>
        </w:rPr>
      </w:pPr>
    </w:p>
    <w:p w:rsidR="009D3D85" w:rsidRPr="001D0648" w:rsidP="009D3D85">
      <w:pPr>
        <w:tabs>
          <w:tab w:val="left" w:pos="9072"/>
        </w:tabs>
        <w:bidi w:val="0"/>
        <w:jc w:val="both"/>
        <w:rPr>
          <w:rFonts w:ascii="Times New Roman" w:hAnsi="Times New Roman"/>
        </w:rPr>
      </w:pPr>
    </w:p>
    <w:p w:rsidR="009D3D85" w:rsidRPr="001D0648" w:rsidP="009D3D85">
      <w:pPr>
        <w:tabs>
          <w:tab w:val="left" w:pos="9072"/>
        </w:tabs>
        <w:bidi w:val="0"/>
        <w:jc w:val="both"/>
        <w:rPr>
          <w:rFonts w:ascii="Times New Roman" w:hAnsi="Times New Roman"/>
        </w:rPr>
      </w:pPr>
    </w:p>
    <w:p w:rsidR="009D3D85" w:rsidRPr="001D0648" w:rsidP="009D3D85">
      <w:pPr>
        <w:tabs>
          <w:tab w:val="left" w:pos="9072"/>
        </w:tabs>
        <w:bidi w:val="0"/>
        <w:jc w:val="both"/>
        <w:rPr>
          <w:rFonts w:ascii="Times New Roman" w:hAnsi="Times New Roman"/>
        </w:rPr>
      </w:pPr>
    </w:p>
    <w:p w:rsidR="009D3D85" w:rsidRPr="001D0648" w:rsidP="009D3D85">
      <w:pPr>
        <w:tabs>
          <w:tab w:val="left" w:pos="9072"/>
        </w:tabs>
        <w:bidi w:val="0"/>
        <w:jc w:val="both"/>
        <w:rPr>
          <w:rFonts w:ascii="Times New Roman" w:hAnsi="Times New Roman"/>
        </w:rPr>
      </w:pPr>
    </w:p>
    <w:p w:rsidR="009D3D85" w:rsidRPr="001D0648" w:rsidP="009D3D85">
      <w:pPr>
        <w:tabs>
          <w:tab w:val="left" w:pos="9072"/>
        </w:tabs>
        <w:bidi w:val="0"/>
        <w:jc w:val="both"/>
        <w:rPr>
          <w:rFonts w:ascii="Times New Roman" w:hAnsi="Times New Roman"/>
        </w:rPr>
      </w:pPr>
    </w:p>
    <w:p w:rsidR="009D3D85" w:rsidRPr="001D0648" w:rsidP="009D3D85">
      <w:pPr>
        <w:tabs>
          <w:tab w:val="left" w:pos="9072"/>
        </w:tabs>
        <w:bidi w:val="0"/>
        <w:jc w:val="both"/>
        <w:rPr>
          <w:rFonts w:ascii="Times New Roman" w:hAnsi="Times New Roman"/>
        </w:rPr>
      </w:pPr>
    </w:p>
    <w:p w:rsidR="009D3D85" w:rsidRPr="001D0648" w:rsidP="009D3D85">
      <w:pPr>
        <w:tabs>
          <w:tab w:val="left" w:pos="9072"/>
        </w:tabs>
        <w:bidi w:val="0"/>
        <w:jc w:val="both"/>
        <w:rPr>
          <w:rFonts w:ascii="Times New Roman" w:hAnsi="Times New Roman"/>
        </w:rPr>
      </w:pPr>
    </w:p>
    <w:p w:rsidR="009D3D85" w:rsidRPr="001D0648" w:rsidP="009D3D85">
      <w:pPr>
        <w:tabs>
          <w:tab w:val="left" w:pos="9072"/>
        </w:tabs>
        <w:bidi w:val="0"/>
        <w:jc w:val="both"/>
        <w:rPr>
          <w:rFonts w:ascii="Times New Roman" w:hAnsi="Times New Roman"/>
        </w:rPr>
      </w:pPr>
    </w:p>
    <w:p w:rsidR="009D3D85" w:rsidRPr="001D0648" w:rsidP="009D3D85">
      <w:pPr>
        <w:tabs>
          <w:tab w:val="left" w:pos="9072"/>
        </w:tabs>
        <w:bidi w:val="0"/>
        <w:jc w:val="center"/>
        <w:rPr>
          <w:rFonts w:ascii="Times New Roman" w:hAnsi="Times New Roman"/>
          <w:b/>
        </w:rPr>
      </w:pPr>
      <w:r w:rsidRPr="001D0648">
        <w:rPr>
          <w:rFonts w:ascii="Times New Roman" w:hAnsi="Times New Roman"/>
          <w:b/>
        </w:rPr>
        <w:t>Robert Fico</w:t>
      </w:r>
      <w:r w:rsidR="00546229">
        <w:rPr>
          <w:rFonts w:ascii="Times New Roman" w:hAnsi="Times New Roman"/>
          <w:b/>
        </w:rPr>
        <w:t xml:space="preserve">, </w:t>
      </w:r>
      <w:r w:rsidR="00546229">
        <w:rPr>
          <w:rFonts w:ascii="Times New Roman" w:hAnsi="Times New Roman"/>
        </w:rPr>
        <w:t>v. r.</w:t>
      </w:r>
      <w:r>
        <w:rPr>
          <w:rFonts w:ascii="Times New Roman" w:hAnsi="Times New Roman"/>
          <w:b/>
        </w:rPr>
        <w:t xml:space="preserve"> </w:t>
      </w:r>
    </w:p>
    <w:p w:rsidR="009D3D85" w:rsidRPr="001D0648" w:rsidP="009D3D85">
      <w:pPr>
        <w:tabs>
          <w:tab w:val="left" w:pos="9072"/>
        </w:tabs>
        <w:bidi w:val="0"/>
        <w:jc w:val="center"/>
        <w:rPr>
          <w:rFonts w:ascii="Times New Roman" w:hAnsi="Times New Roman"/>
        </w:rPr>
      </w:pPr>
      <w:r w:rsidRPr="001D0648">
        <w:rPr>
          <w:rFonts w:ascii="Times New Roman" w:hAnsi="Times New Roman"/>
        </w:rPr>
        <w:t>predseda vlády Slovenskej republiky</w:t>
      </w:r>
    </w:p>
    <w:p w:rsidR="009D3D85" w:rsidRPr="001D0648" w:rsidP="009D3D85">
      <w:pPr>
        <w:tabs>
          <w:tab w:val="left" w:pos="9072"/>
        </w:tabs>
        <w:bidi w:val="0"/>
        <w:rPr>
          <w:rFonts w:ascii="Times New Roman" w:hAnsi="Times New Roman"/>
        </w:rPr>
      </w:pPr>
    </w:p>
    <w:p w:rsidR="009D3D85" w:rsidRPr="001D0648" w:rsidP="009D3D85">
      <w:pPr>
        <w:tabs>
          <w:tab w:val="left" w:pos="9072"/>
        </w:tabs>
        <w:bidi w:val="0"/>
        <w:rPr>
          <w:rFonts w:ascii="Times New Roman" w:hAnsi="Times New Roman"/>
        </w:rPr>
      </w:pPr>
    </w:p>
    <w:p w:rsidR="009D3D85" w:rsidRPr="001D0648" w:rsidP="009D3D85">
      <w:pPr>
        <w:tabs>
          <w:tab w:val="left" w:pos="9072"/>
        </w:tabs>
        <w:bidi w:val="0"/>
        <w:rPr>
          <w:rFonts w:ascii="Times New Roman" w:hAnsi="Times New Roman"/>
        </w:rPr>
      </w:pPr>
    </w:p>
    <w:p w:rsidR="009D3D85" w:rsidRPr="001D0648" w:rsidP="009D3D85">
      <w:pPr>
        <w:tabs>
          <w:tab w:val="left" w:pos="9072"/>
        </w:tabs>
        <w:bidi w:val="0"/>
        <w:rPr>
          <w:rFonts w:ascii="Times New Roman" w:hAnsi="Times New Roman"/>
        </w:rPr>
      </w:pPr>
    </w:p>
    <w:p w:rsidR="009D3D85" w:rsidRPr="001D0648" w:rsidP="009D3D85">
      <w:pPr>
        <w:tabs>
          <w:tab w:val="left" w:pos="9072"/>
        </w:tabs>
        <w:bidi w:val="0"/>
        <w:rPr>
          <w:rFonts w:ascii="Times New Roman" w:hAnsi="Times New Roman"/>
        </w:rPr>
      </w:pPr>
    </w:p>
    <w:p w:rsidR="009D3D85" w:rsidRPr="001D0648" w:rsidP="009D3D85">
      <w:pPr>
        <w:tabs>
          <w:tab w:val="left" w:pos="9072"/>
        </w:tabs>
        <w:bidi w:val="0"/>
        <w:rPr>
          <w:rFonts w:ascii="Times New Roman" w:hAnsi="Times New Roman"/>
        </w:rPr>
      </w:pPr>
    </w:p>
    <w:p w:rsidR="009D3D85" w:rsidRPr="001D0648" w:rsidP="009D3D85">
      <w:pPr>
        <w:tabs>
          <w:tab w:val="left" w:pos="9072"/>
        </w:tabs>
        <w:bidi w:val="0"/>
        <w:rPr>
          <w:rFonts w:ascii="Times New Roman" w:hAnsi="Times New Roman"/>
        </w:rPr>
      </w:pPr>
    </w:p>
    <w:p w:rsidR="009D3D85" w:rsidRPr="001D0648" w:rsidP="009D3D85">
      <w:pPr>
        <w:tabs>
          <w:tab w:val="left" w:pos="9072"/>
        </w:tabs>
        <w:bidi w:val="0"/>
        <w:rPr>
          <w:rFonts w:ascii="Times New Roman" w:hAnsi="Times New Roman"/>
        </w:rPr>
      </w:pPr>
    </w:p>
    <w:p w:rsidR="009D3D85" w:rsidRPr="001D0648" w:rsidP="009D3D85">
      <w:pPr>
        <w:tabs>
          <w:tab w:val="left" w:pos="9072"/>
        </w:tabs>
        <w:bidi w:val="0"/>
        <w:rPr>
          <w:rFonts w:ascii="Times New Roman" w:hAnsi="Times New Roman"/>
        </w:rPr>
      </w:pPr>
    </w:p>
    <w:p w:rsidR="009D3D85" w:rsidRPr="00546229" w:rsidP="009D3D85">
      <w:pPr>
        <w:tabs>
          <w:tab w:val="left" w:pos="9072"/>
        </w:tabs>
        <w:bidi w:val="0"/>
        <w:jc w:val="center"/>
        <w:rPr>
          <w:rFonts w:ascii="Times New Roman" w:hAnsi="Times New Roman"/>
        </w:rPr>
      </w:pPr>
      <w:r>
        <w:rPr>
          <w:rFonts w:ascii="Times New Roman" w:hAnsi="Times New Roman"/>
          <w:b/>
        </w:rPr>
        <w:t>Peter Kažimír</w:t>
      </w:r>
      <w:r w:rsidR="00546229">
        <w:rPr>
          <w:rFonts w:ascii="Times New Roman" w:hAnsi="Times New Roman"/>
          <w:b/>
        </w:rPr>
        <w:t xml:space="preserve">, </w:t>
      </w:r>
      <w:r w:rsidR="00546229">
        <w:rPr>
          <w:rFonts w:ascii="Times New Roman" w:hAnsi="Times New Roman"/>
        </w:rPr>
        <w:t>v. r.</w:t>
      </w:r>
    </w:p>
    <w:p w:rsidR="009D3D85" w:rsidRPr="001D0648" w:rsidP="009D3D85">
      <w:pPr>
        <w:tabs>
          <w:tab w:val="left" w:pos="9072"/>
        </w:tabs>
        <w:bidi w:val="0"/>
        <w:jc w:val="center"/>
        <w:rPr>
          <w:rFonts w:ascii="Times New Roman" w:hAnsi="Times New Roman"/>
        </w:rPr>
      </w:pPr>
      <w:r>
        <w:rPr>
          <w:rFonts w:ascii="Times New Roman" w:hAnsi="Times New Roman"/>
        </w:rPr>
        <w:t>podpredseda vlády a minister financií</w:t>
      </w:r>
      <w:r w:rsidRPr="001D0648">
        <w:rPr>
          <w:rFonts w:ascii="Times New Roman" w:hAnsi="Times New Roman"/>
        </w:rPr>
        <w:t xml:space="preserve"> Slovenskej republiky</w:t>
      </w:r>
    </w:p>
    <w:p w:rsidR="009D3D85" w:rsidRPr="00A07569" w:rsidP="009D3D85">
      <w:pPr>
        <w:pStyle w:val="ListParagraph"/>
        <w:bidi w:val="0"/>
        <w:ind w:left="0"/>
        <w:jc w:val="both"/>
        <w:rPr>
          <w:rFonts w:ascii="Times New Roman" w:hAnsi="Times New Roman"/>
        </w:rPr>
      </w:pPr>
    </w:p>
    <w:p w:rsidR="009D3D85" w:rsidRPr="009D3D85" w:rsidP="009D3D85">
      <w:pPr>
        <w:widowControl/>
        <w:bidi w:val="0"/>
        <w:spacing w:after="280" w:afterAutospacing="1"/>
        <w:rPr>
          <w:rStyle w:val="PlaceholderText"/>
          <w:rFonts w:ascii="Arial Narrow" w:hAnsi="Arial Narrow" w:cs="Arial Narrow"/>
          <w:color w:val="000000"/>
          <w:sz w:val="22"/>
        </w:rPr>
      </w:pPr>
    </w:p>
    <w:sectPr>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Arial Narrow">
    <w:altName w:val="Century Gothic"/>
    <w:panose1 w:val="020B0606020202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MS Mincho">
    <w:panose1 w:val="02020609040205080304"/>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9A08E1"/>
    <w:rsid w:val="00145AF2"/>
    <w:rsid w:val="001D0648"/>
    <w:rsid w:val="00253192"/>
    <w:rsid w:val="002F565C"/>
    <w:rsid w:val="00427A8D"/>
    <w:rsid w:val="00546229"/>
    <w:rsid w:val="008473FF"/>
    <w:rsid w:val="008B25A6"/>
    <w:rsid w:val="009A08E1"/>
    <w:rsid w:val="009D3D85"/>
    <w:rsid w:val="00A07569"/>
    <w:rsid w:val="00A64D2D"/>
    <w:rsid w:val="00AD1E09"/>
    <w:rsid w:val="00C0489E"/>
    <w:rsid w:val="00CA2486"/>
    <w:rsid w:val="00CC30C7"/>
    <w:rsid w:val="00F20417"/>
    <w:rsid w:val="00F830B4"/>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Strong" w:semiHidden="0" w:uiPriority="2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A6"/>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8B25A6"/>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8B25A6"/>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8B25A6"/>
    <w:rPr>
      <w:rFonts w:ascii="Tahoma" w:hAnsi="Tahoma" w:cs="Tahoma"/>
      <w:sz w:val="16"/>
      <w:szCs w:val="16"/>
      <w:rtl w:val="0"/>
      <w:cs w:val="0"/>
      <w:lang w:val="sk-SK" w:eastAsia="sk-SK"/>
    </w:rPr>
  </w:style>
  <w:style w:type="paragraph" w:styleId="BodyText">
    <w:name w:val="Body Text"/>
    <w:basedOn w:val="Normal"/>
    <w:link w:val="ZkladntextChar"/>
    <w:uiPriority w:val="99"/>
    <w:unhideWhenUsed/>
    <w:rsid w:val="009D3D85"/>
    <w:pPr>
      <w:widowControl/>
      <w:adjustRightInd/>
      <w:spacing w:after="120"/>
      <w:jc w:val="left"/>
    </w:pPr>
  </w:style>
  <w:style w:type="character" w:customStyle="1" w:styleId="ZkladntextChar">
    <w:name w:val="Základný text Char"/>
    <w:basedOn w:val="DefaultParagraphFont"/>
    <w:link w:val="BodyText"/>
    <w:uiPriority w:val="99"/>
    <w:locked/>
    <w:rsid w:val="009D3D85"/>
    <w:rPr>
      <w:rFonts w:ascii="Times New Roman" w:hAnsi="Times New Roman" w:cs="Times New Roman"/>
      <w:sz w:val="24"/>
      <w:szCs w:val="24"/>
      <w:rtl w:val="0"/>
      <w:cs w:val="0"/>
    </w:rPr>
  </w:style>
  <w:style w:type="paragraph" w:styleId="ListParagraph">
    <w:name w:val="List Paragraph"/>
    <w:basedOn w:val="Normal"/>
    <w:uiPriority w:val="34"/>
    <w:qFormat/>
    <w:locked/>
    <w:rsid w:val="009D3D85"/>
    <w:pPr>
      <w:ind w:left="720"/>
      <w:contextualSpacing/>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46</TotalTime>
  <Pages>32</Pages>
  <Words>10883</Words>
  <Characters>62034</Characters>
  <Application>Microsoft Office Word</Application>
  <DocSecurity>0</DocSecurity>
  <Lines>0</Lines>
  <Paragraphs>0</Paragraphs>
  <ScaleCrop>false</ScaleCrop>
  <Company>Abyss</Company>
  <LinksUpToDate>false</LinksUpToDate>
  <CharactersWithSpaces>72772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Salkovicova Ingrid</cp:lastModifiedBy>
  <cp:revision>6</cp:revision>
  <cp:lastPrinted>2013-08-14T14:02:00Z</cp:lastPrinted>
  <dcterms:created xsi:type="dcterms:W3CDTF">2013-08-13T13:05:00Z</dcterms:created>
  <dcterms:modified xsi:type="dcterms:W3CDTF">2013-08-14T14:30:00Z</dcterms:modified>
</cp:coreProperties>
</file>