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202C9" w:rsidRPr="00DC0C93" w:rsidP="005164B5">
      <w:pPr>
        <w:bidi w:val="0"/>
        <w:jc w:val="center"/>
        <w:rPr>
          <w:rFonts w:ascii="Times New Roman" w:hAnsi="Times New Roman"/>
          <w:sz w:val="26"/>
          <w:szCs w:val="26"/>
        </w:rPr>
      </w:pPr>
      <w:r w:rsidRPr="00DC0C93">
        <w:rPr>
          <w:rFonts w:ascii="Times New Roman" w:hAnsi="Times New Roman"/>
          <w:b/>
          <w:bCs/>
          <w:sz w:val="26"/>
          <w:szCs w:val="26"/>
        </w:rPr>
        <w:t>Vplyvy na rozpočet verejnej správy,</w:t>
      </w:r>
    </w:p>
    <w:p w:rsidR="00E202C9" w:rsidRPr="00DC0C93" w:rsidP="005164B5">
      <w:pPr>
        <w:bidi w:val="0"/>
        <w:jc w:val="center"/>
        <w:rPr>
          <w:rFonts w:ascii="Times New Roman" w:hAnsi="Times New Roman"/>
          <w:sz w:val="26"/>
          <w:szCs w:val="26"/>
        </w:rPr>
      </w:pPr>
      <w:r w:rsidRPr="00DC0C93">
        <w:rPr>
          <w:rFonts w:ascii="Times New Roman" w:hAnsi="Times New Roman"/>
          <w:b/>
          <w:bCs/>
          <w:sz w:val="26"/>
          <w:szCs w:val="26"/>
        </w:rPr>
        <w:t>na zamestnanosť vo verejnej správe a financovanie návrhu</w:t>
      </w:r>
    </w:p>
    <w:p w:rsidR="00E202C9" w:rsidP="005164B5">
      <w:pPr>
        <w:bidi w:val="0"/>
        <w:rPr>
          <w:rFonts w:ascii="Times New Roman" w:hAnsi="Times New Roman"/>
        </w:rPr>
      </w:pPr>
      <w:r>
        <w:rPr>
          <w:rFonts w:ascii="Times New Roman" w:hAnsi="Times New Roman"/>
        </w:rPr>
        <w:t> </w:t>
      </w:r>
    </w:p>
    <w:p w:rsidR="00E202C9" w:rsidP="005164B5">
      <w:pPr>
        <w:bidi w:val="0"/>
        <w:rPr>
          <w:rFonts w:ascii="Times New Roman" w:hAnsi="Times New Roman"/>
        </w:rPr>
      </w:pPr>
    </w:p>
    <w:p w:rsidR="00E202C9" w:rsidP="005164B5">
      <w:pPr>
        <w:bidi w:val="0"/>
        <w:rPr>
          <w:rFonts w:ascii="Times New Roman" w:hAnsi="Times New Roman"/>
          <w:b/>
          <w:bCs/>
        </w:rPr>
      </w:pPr>
      <w:r w:rsidRPr="004161A1">
        <w:rPr>
          <w:rFonts w:ascii="Times New Roman" w:hAnsi="Times New Roman"/>
          <w:b/>
          <w:bCs/>
        </w:rPr>
        <w:t>2.1. Zhrnutie vplyvov na rozpočet verejnej správy v</w:t>
      </w:r>
      <w:r>
        <w:rPr>
          <w:rFonts w:ascii="Times New Roman" w:hAnsi="Times New Roman"/>
          <w:b/>
          <w:bCs/>
        </w:rPr>
        <w:t> </w:t>
      </w:r>
      <w:r w:rsidRPr="004161A1">
        <w:rPr>
          <w:rFonts w:ascii="Times New Roman" w:hAnsi="Times New Roman"/>
          <w:b/>
          <w:bCs/>
        </w:rPr>
        <w:t>návrhu</w:t>
      </w:r>
    </w:p>
    <w:p w:rsidR="00E202C9" w:rsidP="005164B5">
      <w:pPr>
        <w:bidi w:val="0"/>
        <w:rPr>
          <w:rFonts w:ascii="Times New Roman" w:hAnsi="Times New Roman"/>
          <w:bCs/>
          <w:highlight w:val="yellow"/>
        </w:rPr>
      </w:pPr>
    </w:p>
    <w:p w:rsidR="00E202C9" w:rsidRPr="00F0554C" w:rsidP="00F0554C">
      <w:pPr>
        <w:bidi w:val="0"/>
        <w:jc w:val="both"/>
        <w:rPr>
          <w:rFonts w:ascii="Times New Roman" w:hAnsi="Times New Roman"/>
          <w:b/>
          <w:color w:val="000000"/>
        </w:rPr>
      </w:pPr>
      <w:r w:rsidR="00B040C2">
        <w:rPr>
          <w:rFonts w:ascii="Times New Roman" w:hAnsi="Times New Roman"/>
        </w:rPr>
        <w:tab/>
      </w:r>
      <w:r w:rsidRPr="00D777FE">
        <w:rPr>
          <w:rFonts w:ascii="Times New Roman" w:hAnsi="Times New Roman"/>
        </w:rPr>
        <w:t xml:space="preserve">Vplyvy </w:t>
      </w:r>
      <w:r w:rsidR="00A523D3">
        <w:rPr>
          <w:rFonts w:ascii="Times New Roman" w:hAnsi="Times New Roman"/>
        </w:rPr>
        <w:t xml:space="preserve">vládneho </w:t>
      </w:r>
      <w:r w:rsidR="00F85B12">
        <w:rPr>
          <w:rFonts w:ascii="Times New Roman" w:hAnsi="Times New Roman"/>
        </w:rPr>
        <w:t>n</w:t>
      </w:r>
      <w:r w:rsidRPr="00C967D9">
        <w:rPr>
          <w:rFonts w:ascii="Times New Roman" w:hAnsi="Times New Roman"/>
        </w:rPr>
        <w:t>ávrh</w:t>
      </w:r>
      <w:r>
        <w:rPr>
          <w:rFonts w:ascii="Times New Roman" w:hAnsi="Times New Roman"/>
        </w:rPr>
        <w:t>u</w:t>
      </w:r>
      <w:r w:rsidRPr="00C967D9">
        <w:rPr>
          <w:rFonts w:ascii="Times New Roman" w:hAnsi="Times New Roman"/>
        </w:rPr>
        <w:t xml:space="preserve"> zákona, </w:t>
      </w:r>
      <w:r w:rsidRPr="00C967D9">
        <w:rPr>
          <w:rFonts w:ascii="Times New Roman" w:hAnsi="Times New Roman"/>
          <w:color w:val="000000"/>
        </w:rPr>
        <w:t>ktorým sa mení a dopĺňa zákon č. 461/2003 Z. z. o sociálnom poistení v znení neskorších predpisov</w:t>
      </w:r>
      <w:r>
        <w:rPr>
          <w:rFonts w:ascii="Times New Roman" w:hAnsi="Times New Roman"/>
          <w:color w:val="000000"/>
        </w:rPr>
        <w:t xml:space="preserve"> </w:t>
      </w:r>
      <w:r w:rsidRPr="00047E7B">
        <w:rPr>
          <w:rFonts w:ascii="Times New Roman" w:hAnsi="Times New Roman"/>
        </w:rPr>
        <w:t>a</w:t>
      </w:r>
      <w:r w:rsidRPr="00047E7B">
        <w:rPr>
          <w:rFonts w:ascii="Times New Roman" w:hAnsi="Times New Roman"/>
        </w:rPr>
        <w:t> </w:t>
      </w:r>
      <w:r w:rsidRPr="00047E7B">
        <w:rPr>
          <w:rFonts w:ascii="Times New Roman" w:hAnsi="Times New Roman"/>
        </w:rPr>
        <w:t> ktorým sa menia a dopĺňajú niektoré zákony</w:t>
      </w:r>
      <w:r>
        <w:rPr>
          <w:rFonts w:ascii="Times New Roman" w:hAnsi="Times New Roman"/>
          <w:color w:val="000000"/>
        </w:rPr>
        <w:t xml:space="preserve"> </w:t>
      </w:r>
      <w:r w:rsidRPr="00D777FE">
        <w:rPr>
          <w:rFonts w:ascii="Times New Roman" w:hAnsi="Times New Roman"/>
        </w:rPr>
        <w:t>sa porovnávajú s</w:t>
      </w:r>
      <w:r>
        <w:rPr>
          <w:rFonts w:ascii="Times New Roman" w:hAnsi="Times New Roman"/>
        </w:rPr>
        <w:t> návrhom</w:t>
      </w:r>
      <w:r w:rsidRPr="00D777FE">
        <w:rPr>
          <w:rFonts w:ascii="Times New Roman" w:hAnsi="Times New Roman"/>
        </w:rPr>
        <w:t xml:space="preserve"> východísk</w:t>
      </w:r>
      <w:r>
        <w:rPr>
          <w:rFonts w:ascii="Times New Roman" w:hAnsi="Times New Roman"/>
        </w:rPr>
        <w:t xml:space="preserve"> Sociálnej poisťovne na rok 2014</w:t>
      </w:r>
      <w:r w:rsidRPr="00D777FE">
        <w:rPr>
          <w:rFonts w:ascii="Times New Roman" w:hAnsi="Times New Roman"/>
        </w:rPr>
        <w:t xml:space="preserve"> a s rozpočto</w:t>
      </w:r>
      <w:r>
        <w:rPr>
          <w:rFonts w:ascii="Times New Roman" w:hAnsi="Times New Roman"/>
        </w:rPr>
        <w:t>vým výhľadom na roky 2015 a 2016 a s návrhom východísk rozpočtu verejnej správy na roky 2014 až 2016.</w:t>
      </w:r>
    </w:p>
    <w:p w:rsidR="00E202C9" w:rsidP="005164B5">
      <w:pPr>
        <w:bidi w:val="0"/>
        <w:jc w:val="both"/>
        <w:rPr>
          <w:rFonts w:ascii="Times New Roman" w:hAnsi="Times New Roman"/>
          <w:bCs/>
        </w:rPr>
      </w:pPr>
    </w:p>
    <w:p w:rsidR="00E202C9" w:rsidP="005164B5">
      <w:pPr>
        <w:bidi w:val="0"/>
        <w:jc w:val="center"/>
        <w:rPr>
          <w:rFonts w:ascii="Times New Roman" w:hAnsi="Times New Roman"/>
          <w:sz w:val="20"/>
          <w:szCs w:val="20"/>
        </w:rPr>
      </w:pPr>
      <w:bookmarkStart w:id="0" w:name="OLE_LINK1"/>
      <w:bookmarkEnd w:id="0"/>
      <w:r>
        <w:rPr>
          <w:rFonts w:ascii="Times New Roman" w:hAnsi="Times New Roman"/>
          <w:sz w:val="20"/>
          <w:szCs w:val="20"/>
        </w:rPr>
        <w:t xml:space="preserve">                                                                                                                                                             </w:t>
      </w:r>
      <w:r w:rsidRPr="004161A1">
        <w:rPr>
          <w:rFonts w:ascii="Times New Roman" w:hAnsi="Times New Roman"/>
          <w:sz w:val="20"/>
          <w:szCs w:val="20"/>
        </w:rPr>
        <w:t>Tabuľka č. 1</w:t>
      </w:r>
    </w:p>
    <w:tbl>
      <w:tblPr>
        <w:tblStyle w:val="TableNormal"/>
        <w:tblW w:w="9277" w:type="dxa"/>
        <w:tblInd w:w="55" w:type="dxa"/>
        <w:tblCellMar>
          <w:left w:w="70" w:type="dxa"/>
          <w:right w:w="70" w:type="dxa"/>
        </w:tblCellMar>
      </w:tblPr>
      <w:tblGrid>
        <w:gridCol w:w="4155"/>
        <w:gridCol w:w="900"/>
        <w:gridCol w:w="1409"/>
        <w:gridCol w:w="1471"/>
        <w:gridCol w:w="1342"/>
      </w:tblGrid>
      <w:tr>
        <w:tblPrEx>
          <w:tblW w:w="9277" w:type="dxa"/>
          <w:tblInd w:w="55" w:type="dxa"/>
          <w:tblCellMar>
            <w:left w:w="70" w:type="dxa"/>
            <w:right w:w="70" w:type="dxa"/>
          </w:tblCellMar>
        </w:tblPrEx>
        <w:trPr>
          <w:trHeight w:val="315"/>
        </w:trPr>
        <w:tc>
          <w:tcPr>
            <w:tcW w:w="4155" w:type="dxa"/>
            <w:tcBorders>
              <w:top w:val="single" w:sz="4" w:space="0" w:color="auto"/>
              <w:left w:val="single" w:sz="4" w:space="0" w:color="auto"/>
              <w:bottom w:val="single" w:sz="4" w:space="0" w:color="auto"/>
              <w:right w:val="single" w:sz="4" w:space="0" w:color="auto"/>
            </w:tcBorders>
            <w:shd w:val="clear" w:color="auto" w:fill="000000"/>
            <w:noWrap/>
            <w:textDirection w:val="lrTb"/>
            <w:vAlign w:val="bottom"/>
          </w:tcPr>
          <w:p w:rsidR="00E202C9">
            <w:pPr>
              <w:bidi w:val="0"/>
              <w:rPr>
                <w:rFonts w:ascii="Times New Roman" w:hAnsi="Times New Roman"/>
                <w:b/>
                <w:bCs/>
                <w:color w:val="FFFFFF"/>
              </w:rPr>
            </w:pPr>
            <w:bookmarkStart w:id="1" w:name="RANGE!A1:D14"/>
            <w:bookmarkEnd w:id="1"/>
            <w:r>
              <w:rPr>
                <w:rFonts w:ascii="Times New Roman" w:hAnsi="Times New Roman"/>
                <w:b/>
                <w:bCs/>
                <w:color w:val="FFFFFF"/>
              </w:rPr>
              <w:t> </w:t>
            </w:r>
          </w:p>
        </w:tc>
        <w:tc>
          <w:tcPr>
            <w:tcW w:w="5122" w:type="dxa"/>
            <w:gridSpan w:val="4"/>
            <w:tcBorders>
              <w:top w:val="single" w:sz="4" w:space="0" w:color="auto"/>
              <w:left w:val="nil"/>
              <w:bottom w:val="single" w:sz="4" w:space="0" w:color="auto"/>
              <w:right w:val="single" w:sz="4" w:space="0" w:color="auto"/>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rPr>
              <w:t>Vplyv na rozpočet verejnej správy (cash=ESA95)</w:t>
            </w:r>
          </w:p>
        </w:tc>
      </w:tr>
      <w:tr>
        <w:tblPrEx>
          <w:tblW w:w="9277" w:type="dxa"/>
          <w:tblInd w:w="55" w:type="dxa"/>
          <w:tblCellMar>
            <w:left w:w="70" w:type="dxa"/>
            <w:right w:w="70" w:type="dxa"/>
          </w:tblCellMar>
        </w:tblPrEx>
        <w:trPr>
          <w:trHeight w:val="315"/>
        </w:trPr>
        <w:tc>
          <w:tcPr>
            <w:tcW w:w="4155" w:type="dxa"/>
            <w:tcBorders>
              <w:top w:val="nil"/>
              <w:left w:val="single" w:sz="4" w:space="0" w:color="auto"/>
              <w:bottom w:val="single" w:sz="4" w:space="0" w:color="auto"/>
              <w:right w:val="single" w:sz="4" w:space="0" w:color="auto"/>
            </w:tcBorders>
            <w:shd w:val="clear" w:color="auto" w:fill="000000"/>
            <w:noWrap/>
            <w:textDirection w:val="lrTb"/>
            <w:vAlign w:val="bottom"/>
          </w:tcPr>
          <w:p w:rsidR="00E202C9">
            <w:pPr>
              <w:bidi w:val="0"/>
              <w:rPr>
                <w:rFonts w:ascii="Times New Roman" w:hAnsi="Times New Roman"/>
                <w:b/>
                <w:bCs/>
                <w:color w:val="FFFFFF"/>
                <w:u w:val="single"/>
              </w:rPr>
            </w:pPr>
            <w:r>
              <w:rPr>
                <w:rFonts w:ascii="Times New Roman" w:hAnsi="Times New Roman"/>
                <w:b/>
                <w:bCs/>
                <w:color w:val="FFFFFF"/>
                <w:u w:val="single"/>
              </w:rPr>
              <w:t>Rozpočet verejnej správy (v eur)</w:t>
            </w:r>
          </w:p>
        </w:tc>
        <w:tc>
          <w:tcPr>
            <w:tcW w:w="900" w:type="dxa"/>
            <w:tcBorders>
              <w:top w:val="nil"/>
              <w:left w:val="nil"/>
              <w:bottom w:val="single" w:sz="4" w:space="0" w:color="auto"/>
              <w:right w:val="single" w:sz="4" w:space="0" w:color="auto"/>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rPr>
              <w:t>2013</w:t>
            </w:r>
          </w:p>
        </w:tc>
        <w:tc>
          <w:tcPr>
            <w:tcW w:w="1409" w:type="dxa"/>
            <w:tcBorders>
              <w:top w:val="nil"/>
              <w:left w:val="nil"/>
              <w:bottom w:val="single" w:sz="4" w:space="0" w:color="auto"/>
              <w:right w:val="single" w:sz="4" w:space="0" w:color="auto"/>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rPr>
              <w:t>2014</w:t>
            </w:r>
          </w:p>
        </w:tc>
        <w:tc>
          <w:tcPr>
            <w:tcW w:w="1471" w:type="dxa"/>
            <w:tcBorders>
              <w:top w:val="nil"/>
              <w:left w:val="nil"/>
              <w:bottom w:val="single" w:sz="4" w:space="0" w:color="auto"/>
              <w:right w:val="single" w:sz="4" w:space="0" w:color="auto"/>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rPr>
              <w:t>2015</w:t>
            </w:r>
          </w:p>
        </w:tc>
        <w:tc>
          <w:tcPr>
            <w:tcW w:w="1342" w:type="dxa"/>
            <w:tcBorders>
              <w:top w:val="nil"/>
              <w:left w:val="nil"/>
              <w:bottom w:val="single" w:sz="4" w:space="0" w:color="auto"/>
              <w:right w:val="single" w:sz="4" w:space="0" w:color="auto"/>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rPr>
              <w:t>2016</w:t>
            </w:r>
          </w:p>
        </w:tc>
      </w:tr>
      <w:tr>
        <w:tblPrEx>
          <w:tblW w:w="9277" w:type="dxa"/>
          <w:tblInd w:w="55" w:type="dxa"/>
          <w:tblCellMar>
            <w:left w:w="70" w:type="dxa"/>
            <w:right w:w="70" w:type="dxa"/>
          </w:tblCellMar>
        </w:tblPrEx>
        <w:trPr>
          <w:trHeight w:val="315"/>
        </w:trPr>
        <w:tc>
          <w:tcPr>
            <w:tcW w:w="4155" w:type="dxa"/>
            <w:tcBorders>
              <w:top w:val="nil"/>
              <w:left w:val="single" w:sz="4" w:space="0" w:color="auto"/>
              <w:bottom w:val="single" w:sz="4" w:space="0" w:color="auto"/>
              <w:right w:val="single" w:sz="4" w:space="0" w:color="auto"/>
            </w:tcBorders>
            <w:shd w:val="clear" w:color="auto" w:fill="969696"/>
            <w:noWrap/>
            <w:textDirection w:val="lrTb"/>
            <w:vAlign w:val="bottom"/>
          </w:tcPr>
          <w:p w:rsidR="00E202C9">
            <w:pPr>
              <w:bidi w:val="0"/>
              <w:rPr>
                <w:rFonts w:ascii="Times New Roman" w:hAnsi="Times New Roman"/>
                <w:b/>
                <w:bCs/>
                <w:color w:val="000000"/>
              </w:rPr>
            </w:pPr>
            <w:r>
              <w:rPr>
                <w:rFonts w:ascii="Times New Roman" w:hAnsi="Times New Roman"/>
                <w:b/>
                <w:bCs/>
                <w:color w:val="000000"/>
              </w:rPr>
              <w:t>Príjmy verejnej správy celkom</w:t>
            </w:r>
          </w:p>
        </w:tc>
        <w:tc>
          <w:tcPr>
            <w:tcW w:w="900" w:type="dxa"/>
            <w:tcBorders>
              <w:top w:val="nil"/>
              <w:left w:val="nil"/>
              <w:bottom w:val="single" w:sz="4" w:space="0" w:color="auto"/>
              <w:right w:val="single" w:sz="4" w:space="0" w:color="auto"/>
            </w:tcBorders>
            <w:shd w:val="clear" w:color="auto" w:fill="969696"/>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09" w:type="dxa"/>
            <w:tcBorders>
              <w:top w:val="nil"/>
              <w:left w:val="nil"/>
              <w:bottom w:val="single" w:sz="4" w:space="0" w:color="auto"/>
              <w:right w:val="single" w:sz="4" w:space="0" w:color="auto"/>
            </w:tcBorders>
            <w:shd w:val="clear" w:color="auto" w:fill="969696"/>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-210 577</w:t>
            </w:r>
          </w:p>
        </w:tc>
        <w:tc>
          <w:tcPr>
            <w:tcW w:w="1471" w:type="dxa"/>
            <w:tcBorders>
              <w:top w:val="nil"/>
              <w:left w:val="nil"/>
              <w:bottom w:val="single" w:sz="4" w:space="0" w:color="auto"/>
              <w:right w:val="single" w:sz="4" w:space="0" w:color="auto"/>
            </w:tcBorders>
            <w:shd w:val="clear" w:color="auto" w:fill="969696"/>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-221 180</w:t>
            </w:r>
          </w:p>
        </w:tc>
        <w:tc>
          <w:tcPr>
            <w:tcW w:w="1342" w:type="dxa"/>
            <w:tcBorders>
              <w:top w:val="nil"/>
              <w:left w:val="nil"/>
              <w:bottom w:val="single" w:sz="4" w:space="0" w:color="auto"/>
              <w:right w:val="single" w:sz="4" w:space="0" w:color="auto"/>
            </w:tcBorders>
            <w:shd w:val="clear" w:color="auto" w:fill="969696"/>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-233 364</w:t>
            </w:r>
          </w:p>
        </w:tc>
      </w:tr>
      <w:tr>
        <w:tblPrEx>
          <w:tblW w:w="9277" w:type="dxa"/>
          <w:tblInd w:w="55" w:type="dxa"/>
          <w:tblCellMar>
            <w:left w:w="70" w:type="dxa"/>
            <w:right w:w="70" w:type="dxa"/>
          </w:tblCellMar>
        </w:tblPrEx>
        <w:trPr>
          <w:trHeight w:val="315"/>
        </w:trPr>
        <w:tc>
          <w:tcPr>
            <w:tcW w:w="4155" w:type="dxa"/>
            <w:tcBorders>
              <w:top w:val="nil"/>
              <w:left w:val="single" w:sz="4" w:space="0" w:color="auto"/>
              <w:bottom w:val="single" w:sz="4" w:space="0" w:color="auto"/>
              <w:right w:val="single" w:sz="4" w:space="0" w:color="auto"/>
            </w:tcBorders>
            <w:noWrap/>
            <w:textDirection w:val="lrTb"/>
            <w:vAlign w:val="bottom"/>
          </w:tcPr>
          <w:p w:rsidR="00E202C9">
            <w:pPr>
              <w:bidi w:val="0"/>
              <w:rPr>
                <w:rFonts w:ascii="Times New Roman" w:hAnsi="Times New Roman"/>
                <w:color w:val="000000"/>
              </w:rPr>
            </w:pPr>
            <w:r>
              <w:rPr>
                <w:rFonts w:ascii="Times New Roman" w:hAnsi="Times New Roman"/>
                <w:color w:val="000000"/>
              </w:rPr>
              <w:t xml:space="preserve">Štátny rozpočet </w:t>
            </w:r>
          </w:p>
        </w:tc>
        <w:tc>
          <w:tcPr>
            <w:tcW w:w="90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9"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71"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42"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277" w:type="dxa"/>
          <w:tblInd w:w="55" w:type="dxa"/>
          <w:tblCellMar>
            <w:left w:w="70" w:type="dxa"/>
            <w:right w:w="70" w:type="dxa"/>
          </w:tblCellMar>
        </w:tblPrEx>
        <w:trPr>
          <w:trHeight w:val="315"/>
        </w:trPr>
        <w:tc>
          <w:tcPr>
            <w:tcW w:w="4155" w:type="dxa"/>
            <w:tcBorders>
              <w:top w:val="nil"/>
              <w:left w:val="single" w:sz="4" w:space="0" w:color="auto"/>
              <w:bottom w:val="single" w:sz="4" w:space="0" w:color="auto"/>
              <w:right w:val="single" w:sz="4" w:space="0" w:color="auto"/>
            </w:tcBorders>
            <w:noWrap/>
            <w:textDirection w:val="lrTb"/>
            <w:vAlign w:val="bottom"/>
          </w:tcPr>
          <w:p w:rsidR="00E202C9">
            <w:pPr>
              <w:bidi w:val="0"/>
              <w:rPr>
                <w:rFonts w:ascii="Times New Roman" w:hAnsi="Times New Roman"/>
                <w:color w:val="000000"/>
              </w:rPr>
            </w:pPr>
            <w:r>
              <w:rPr>
                <w:rFonts w:ascii="Times New Roman" w:hAnsi="Times New Roman"/>
                <w:color w:val="000000"/>
              </w:rPr>
              <w:t>Obce</w:t>
            </w:r>
          </w:p>
        </w:tc>
        <w:tc>
          <w:tcPr>
            <w:tcW w:w="90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9"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71"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42"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277" w:type="dxa"/>
          <w:tblInd w:w="55" w:type="dxa"/>
          <w:tblCellMar>
            <w:left w:w="70" w:type="dxa"/>
            <w:right w:w="70" w:type="dxa"/>
          </w:tblCellMar>
        </w:tblPrEx>
        <w:trPr>
          <w:trHeight w:val="315"/>
        </w:trPr>
        <w:tc>
          <w:tcPr>
            <w:tcW w:w="4155" w:type="dxa"/>
            <w:tcBorders>
              <w:top w:val="nil"/>
              <w:left w:val="single" w:sz="4" w:space="0" w:color="auto"/>
              <w:bottom w:val="single" w:sz="4" w:space="0" w:color="auto"/>
              <w:right w:val="single" w:sz="4" w:space="0" w:color="auto"/>
            </w:tcBorders>
            <w:noWrap/>
            <w:textDirection w:val="lrTb"/>
            <w:vAlign w:val="bottom"/>
          </w:tcPr>
          <w:p w:rsidR="00E202C9">
            <w:pPr>
              <w:bidi w:val="0"/>
              <w:rPr>
                <w:rFonts w:ascii="Times New Roman" w:hAnsi="Times New Roman"/>
                <w:color w:val="000000"/>
              </w:rPr>
            </w:pPr>
            <w:r>
              <w:rPr>
                <w:rFonts w:ascii="Times New Roman" w:hAnsi="Times New Roman"/>
                <w:color w:val="000000"/>
              </w:rPr>
              <w:t>VÚC</w:t>
            </w:r>
          </w:p>
        </w:tc>
        <w:tc>
          <w:tcPr>
            <w:tcW w:w="90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9"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71"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42"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277" w:type="dxa"/>
          <w:tblInd w:w="55" w:type="dxa"/>
          <w:tblCellMar>
            <w:left w:w="70" w:type="dxa"/>
            <w:right w:w="70" w:type="dxa"/>
          </w:tblCellMar>
        </w:tblPrEx>
        <w:trPr>
          <w:trHeight w:val="315"/>
        </w:trPr>
        <w:tc>
          <w:tcPr>
            <w:tcW w:w="4155" w:type="dxa"/>
            <w:tcBorders>
              <w:top w:val="nil"/>
              <w:left w:val="single" w:sz="4" w:space="0" w:color="auto"/>
              <w:bottom w:val="single" w:sz="4" w:space="0" w:color="auto"/>
              <w:right w:val="single" w:sz="4" w:space="0" w:color="auto"/>
            </w:tcBorders>
            <w:noWrap/>
            <w:textDirection w:val="lrTb"/>
            <w:vAlign w:val="bottom"/>
          </w:tcPr>
          <w:p w:rsidR="00E202C9">
            <w:pPr>
              <w:bidi w:val="0"/>
              <w:rPr>
                <w:rFonts w:ascii="Times New Roman" w:hAnsi="Times New Roman"/>
                <w:color w:val="000000"/>
              </w:rPr>
            </w:pPr>
            <w:r>
              <w:rPr>
                <w:rFonts w:ascii="Times New Roman" w:hAnsi="Times New Roman"/>
                <w:color w:val="000000"/>
              </w:rPr>
              <w:t>Sociálna poisťovňa</w:t>
            </w:r>
          </w:p>
        </w:tc>
        <w:tc>
          <w:tcPr>
            <w:tcW w:w="90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9"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-210 577</w:t>
            </w:r>
          </w:p>
        </w:tc>
        <w:tc>
          <w:tcPr>
            <w:tcW w:w="1471"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-221 180</w:t>
            </w:r>
          </w:p>
        </w:tc>
        <w:tc>
          <w:tcPr>
            <w:tcW w:w="1342"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-233 364</w:t>
            </w:r>
          </w:p>
        </w:tc>
      </w:tr>
      <w:tr>
        <w:tblPrEx>
          <w:tblW w:w="9277" w:type="dxa"/>
          <w:tblInd w:w="55" w:type="dxa"/>
          <w:tblCellMar>
            <w:left w:w="70" w:type="dxa"/>
            <w:right w:w="70" w:type="dxa"/>
          </w:tblCellMar>
        </w:tblPrEx>
        <w:trPr>
          <w:trHeight w:val="315"/>
        </w:trPr>
        <w:tc>
          <w:tcPr>
            <w:tcW w:w="4155" w:type="dxa"/>
            <w:tcBorders>
              <w:top w:val="nil"/>
              <w:left w:val="single" w:sz="4" w:space="0" w:color="auto"/>
              <w:bottom w:val="single" w:sz="4" w:space="0" w:color="auto"/>
              <w:right w:val="single" w:sz="4" w:space="0" w:color="auto"/>
            </w:tcBorders>
            <w:shd w:val="clear" w:color="auto" w:fill="969696"/>
            <w:noWrap/>
            <w:textDirection w:val="lrTb"/>
            <w:vAlign w:val="bottom"/>
          </w:tcPr>
          <w:p w:rsidR="00E202C9">
            <w:pPr>
              <w:bidi w:val="0"/>
              <w:rPr>
                <w:rFonts w:ascii="Times New Roman" w:hAnsi="Times New Roman"/>
                <w:b/>
                <w:bCs/>
                <w:color w:val="000000"/>
              </w:rPr>
            </w:pPr>
            <w:r>
              <w:rPr>
                <w:rFonts w:ascii="Times New Roman" w:hAnsi="Times New Roman"/>
                <w:b/>
                <w:bCs/>
                <w:color w:val="000000"/>
              </w:rPr>
              <w:t>Výdavky verejnej správy celkom</w:t>
            </w:r>
          </w:p>
        </w:tc>
        <w:tc>
          <w:tcPr>
            <w:tcW w:w="900" w:type="dxa"/>
            <w:tcBorders>
              <w:top w:val="nil"/>
              <w:left w:val="nil"/>
              <w:bottom w:val="single" w:sz="4" w:space="0" w:color="auto"/>
              <w:right w:val="single" w:sz="4" w:space="0" w:color="auto"/>
            </w:tcBorders>
            <w:shd w:val="clear" w:color="auto" w:fill="969696"/>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09" w:type="dxa"/>
            <w:tcBorders>
              <w:top w:val="nil"/>
              <w:left w:val="nil"/>
              <w:bottom w:val="single" w:sz="4" w:space="0" w:color="auto"/>
              <w:right w:val="single" w:sz="4" w:space="0" w:color="auto"/>
            </w:tcBorders>
            <w:shd w:val="clear" w:color="auto" w:fill="969696"/>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833 208</w:t>
            </w:r>
          </w:p>
        </w:tc>
        <w:tc>
          <w:tcPr>
            <w:tcW w:w="1471" w:type="dxa"/>
            <w:tcBorders>
              <w:top w:val="nil"/>
              <w:left w:val="nil"/>
              <w:bottom w:val="single" w:sz="4" w:space="0" w:color="auto"/>
              <w:right w:val="single" w:sz="4" w:space="0" w:color="auto"/>
            </w:tcBorders>
            <w:shd w:val="clear" w:color="auto" w:fill="969696"/>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578 482</w:t>
            </w:r>
          </w:p>
        </w:tc>
        <w:tc>
          <w:tcPr>
            <w:tcW w:w="1342" w:type="dxa"/>
            <w:tcBorders>
              <w:top w:val="nil"/>
              <w:left w:val="nil"/>
              <w:bottom w:val="single" w:sz="4" w:space="0" w:color="auto"/>
              <w:right w:val="single" w:sz="4" w:space="0" w:color="auto"/>
            </w:tcBorders>
            <w:shd w:val="clear" w:color="auto" w:fill="969696"/>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345 804</w:t>
            </w:r>
          </w:p>
        </w:tc>
      </w:tr>
      <w:tr>
        <w:tblPrEx>
          <w:tblW w:w="9277" w:type="dxa"/>
          <w:tblInd w:w="55" w:type="dxa"/>
          <w:tblCellMar>
            <w:left w:w="70" w:type="dxa"/>
            <w:right w:w="70" w:type="dxa"/>
          </w:tblCellMar>
        </w:tblPrEx>
        <w:trPr>
          <w:trHeight w:val="315"/>
        </w:trPr>
        <w:tc>
          <w:tcPr>
            <w:tcW w:w="4155" w:type="dxa"/>
            <w:tcBorders>
              <w:top w:val="nil"/>
              <w:left w:val="single" w:sz="4" w:space="0" w:color="auto"/>
              <w:bottom w:val="single" w:sz="4" w:space="0" w:color="auto"/>
              <w:right w:val="single" w:sz="4" w:space="0" w:color="auto"/>
            </w:tcBorders>
            <w:textDirection w:val="lrTb"/>
            <w:vAlign w:val="bottom"/>
          </w:tcPr>
          <w:p w:rsidR="00E202C9">
            <w:pPr>
              <w:bidi w:val="0"/>
              <w:rPr>
                <w:rFonts w:ascii="Times New Roman" w:hAnsi="Times New Roman"/>
                <w:color w:val="000000"/>
              </w:rPr>
            </w:pPr>
            <w:r>
              <w:rPr>
                <w:rFonts w:ascii="Times New Roman" w:hAnsi="Times New Roman"/>
                <w:color w:val="000000"/>
              </w:rPr>
              <w:t xml:space="preserve">Štátny rozpočet </w:t>
            </w:r>
          </w:p>
        </w:tc>
        <w:tc>
          <w:tcPr>
            <w:tcW w:w="90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9"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71"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42"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277" w:type="dxa"/>
          <w:tblInd w:w="55" w:type="dxa"/>
          <w:tblCellMar>
            <w:left w:w="70" w:type="dxa"/>
            <w:right w:w="70" w:type="dxa"/>
          </w:tblCellMar>
        </w:tblPrEx>
        <w:trPr>
          <w:trHeight w:val="315"/>
        </w:trPr>
        <w:tc>
          <w:tcPr>
            <w:tcW w:w="4155" w:type="dxa"/>
            <w:tcBorders>
              <w:top w:val="nil"/>
              <w:left w:val="single" w:sz="4" w:space="0" w:color="auto"/>
              <w:bottom w:val="single" w:sz="4" w:space="0" w:color="auto"/>
              <w:right w:val="single" w:sz="4" w:space="0" w:color="auto"/>
            </w:tcBorders>
            <w:noWrap/>
            <w:textDirection w:val="lrTb"/>
            <w:vAlign w:val="bottom"/>
          </w:tcPr>
          <w:p w:rsidR="00E202C9">
            <w:pPr>
              <w:bidi w:val="0"/>
              <w:rPr>
                <w:rFonts w:ascii="Times New Roman" w:hAnsi="Times New Roman"/>
                <w:color w:val="000000"/>
              </w:rPr>
            </w:pPr>
            <w:r>
              <w:rPr>
                <w:rFonts w:ascii="Times New Roman" w:hAnsi="Times New Roman"/>
                <w:color w:val="000000"/>
              </w:rPr>
              <w:t>Obce</w:t>
            </w:r>
          </w:p>
        </w:tc>
        <w:tc>
          <w:tcPr>
            <w:tcW w:w="90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9"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71"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42"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277" w:type="dxa"/>
          <w:tblInd w:w="55" w:type="dxa"/>
          <w:tblCellMar>
            <w:left w:w="70" w:type="dxa"/>
            <w:right w:w="70" w:type="dxa"/>
          </w:tblCellMar>
        </w:tblPrEx>
        <w:trPr>
          <w:trHeight w:val="315"/>
        </w:trPr>
        <w:tc>
          <w:tcPr>
            <w:tcW w:w="4155" w:type="dxa"/>
            <w:tcBorders>
              <w:top w:val="nil"/>
              <w:left w:val="single" w:sz="4" w:space="0" w:color="auto"/>
              <w:bottom w:val="single" w:sz="4" w:space="0" w:color="auto"/>
              <w:right w:val="single" w:sz="4" w:space="0" w:color="auto"/>
            </w:tcBorders>
            <w:noWrap/>
            <w:textDirection w:val="lrTb"/>
            <w:vAlign w:val="bottom"/>
          </w:tcPr>
          <w:p w:rsidR="00E202C9">
            <w:pPr>
              <w:bidi w:val="0"/>
              <w:rPr>
                <w:rFonts w:ascii="Times New Roman" w:hAnsi="Times New Roman"/>
                <w:color w:val="000000"/>
              </w:rPr>
            </w:pPr>
            <w:r>
              <w:rPr>
                <w:rFonts w:ascii="Times New Roman" w:hAnsi="Times New Roman"/>
                <w:color w:val="000000"/>
              </w:rPr>
              <w:t>VÚC</w:t>
            </w:r>
          </w:p>
        </w:tc>
        <w:tc>
          <w:tcPr>
            <w:tcW w:w="90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9"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71"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42"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277" w:type="dxa"/>
          <w:tblInd w:w="55" w:type="dxa"/>
          <w:tblCellMar>
            <w:left w:w="70" w:type="dxa"/>
            <w:right w:w="70" w:type="dxa"/>
          </w:tblCellMar>
        </w:tblPrEx>
        <w:trPr>
          <w:trHeight w:val="315"/>
        </w:trPr>
        <w:tc>
          <w:tcPr>
            <w:tcW w:w="4155" w:type="dxa"/>
            <w:tcBorders>
              <w:top w:val="nil"/>
              <w:left w:val="single" w:sz="4" w:space="0" w:color="auto"/>
              <w:bottom w:val="single" w:sz="4" w:space="0" w:color="auto"/>
              <w:right w:val="single" w:sz="4" w:space="0" w:color="auto"/>
            </w:tcBorders>
            <w:noWrap/>
            <w:textDirection w:val="lrTb"/>
            <w:vAlign w:val="bottom"/>
          </w:tcPr>
          <w:p w:rsidR="00E202C9">
            <w:pPr>
              <w:bidi w:val="0"/>
              <w:rPr>
                <w:rFonts w:ascii="Times New Roman" w:hAnsi="Times New Roman"/>
                <w:color w:val="000000"/>
              </w:rPr>
            </w:pPr>
            <w:r>
              <w:rPr>
                <w:rFonts w:ascii="Times New Roman" w:hAnsi="Times New Roman"/>
                <w:color w:val="000000"/>
              </w:rPr>
              <w:t>Sociálna poisťovňa</w:t>
            </w:r>
          </w:p>
        </w:tc>
        <w:tc>
          <w:tcPr>
            <w:tcW w:w="90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09"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833 208</w:t>
            </w:r>
          </w:p>
        </w:tc>
        <w:tc>
          <w:tcPr>
            <w:tcW w:w="1471"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578 482</w:t>
            </w:r>
          </w:p>
        </w:tc>
        <w:tc>
          <w:tcPr>
            <w:tcW w:w="1342"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345 804</w:t>
            </w:r>
          </w:p>
        </w:tc>
      </w:tr>
    </w:tbl>
    <w:p w:rsidR="00E202C9" w:rsidP="005164B5">
      <w:pPr>
        <w:bidi w:val="0"/>
        <w:jc w:val="center"/>
        <w:rPr>
          <w:rFonts w:ascii="Times New Roman" w:hAnsi="Times New Roman"/>
          <w:sz w:val="20"/>
          <w:szCs w:val="20"/>
        </w:rPr>
      </w:pPr>
    </w:p>
    <w:p w:rsidR="00E202C9" w:rsidP="005164B5">
      <w:pPr>
        <w:bidi w:val="0"/>
        <w:rPr>
          <w:rFonts w:ascii="Times New Roman" w:hAnsi="Times New Roman"/>
          <w:sz w:val="20"/>
          <w:szCs w:val="20"/>
        </w:rPr>
      </w:pPr>
    </w:p>
    <w:p w:rsidR="00B82C9B" w:rsidP="005164B5">
      <w:pPr>
        <w:bidi w:val="0"/>
        <w:rPr>
          <w:rFonts w:ascii="Times New Roman" w:hAnsi="Times New Roman"/>
        </w:rPr>
      </w:pPr>
    </w:p>
    <w:p w:rsidR="00E202C9" w:rsidRPr="005E6957" w:rsidP="005164B5">
      <w:pPr>
        <w:bidi w:val="0"/>
        <w:rPr>
          <w:rFonts w:ascii="Times New Roman" w:hAnsi="Times New Roman"/>
          <w:b/>
          <w:bCs/>
        </w:rPr>
      </w:pPr>
      <w:r w:rsidRPr="004161A1">
        <w:rPr>
          <w:rFonts w:ascii="Times New Roman" w:hAnsi="Times New Roman"/>
          <w:b/>
          <w:bCs/>
        </w:rPr>
        <w:t>2.2. Financovanie návrhu</w:t>
      </w:r>
    </w:p>
    <w:p w:rsidR="00E202C9" w:rsidP="005164B5">
      <w:pPr>
        <w:bidi w:val="0"/>
        <w:ind w:left="7788"/>
        <w:jc w:val="center"/>
        <w:rPr>
          <w:rFonts w:ascii="Times New Roman" w:hAnsi="Times New Roman"/>
          <w:sz w:val="20"/>
          <w:szCs w:val="20"/>
        </w:rPr>
      </w:pPr>
      <w:r>
        <w:rPr>
          <w:rFonts w:ascii="Times New Roman" w:hAnsi="Times New Roman"/>
          <w:sz w:val="20"/>
          <w:szCs w:val="20"/>
        </w:rPr>
        <w:t>Tabuľka č. 2</w:t>
      </w:r>
    </w:p>
    <w:tbl>
      <w:tblPr>
        <w:tblStyle w:val="TableNormal"/>
        <w:tblW w:w="9318" w:type="dxa"/>
        <w:tblInd w:w="55" w:type="dxa"/>
        <w:tblCellMar>
          <w:left w:w="70" w:type="dxa"/>
          <w:right w:w="70" w:type="dxa"/>
        </w:tblCellMar>
      </w:tblPr>
      <w:tblGrid>
        <w:gridCol w:w="4177"/>
        <w:gridCol w:w="971"/>
        <w:gridCol w:w="1347"/>
        <w:gridCol w:w="1440"/>
        <w:gridCol w:w="1383"/>
      </w:tblGrid>
      <w:tr>
        <w:tblPrEx>
          <w:tblW w:w="9318" w:type="dxa"/>
          <w:tblInd w:w="55" w:type="dxa"/>
          <w:tblCellMar>
            <w:left w:w="70" w:type="dxa"/>
            <w:right w:w="70" w:type="dxa"/>
          </w:tblCellMar>
        </w:tblPrEx>
        <w:trPr>
          <w:trHeight w:val="315"/>
        </w:trPr>
        <w:tc>
          <w:tcPr>
            <w:tcW w:w="4177" w:type="dxa"/>
            <w:tcBorders>
              <w:top w:val="single" w:sz="4" w:space="0" w:color="auto"/>
              <w:left w:val="single" w:sz="4" w:space="0" w:color="auto"/>
              <w:bottom w:val="single" w:sz="4" w:space="0" w:color="auto"/>
              <w:right w:val="single" w:sz="4" w:space="0" w:color="auto"/>
            </w:tcBorders>
            <w:shd w:val="clear" w:color="auto" w:fill="000000"/>
            <w:noWrap/>
            <w:textDirection w:val="lrTb"/>
            <w:vAlign w:val="bottom"/>
          </w:tcPr>
          <w:p w:rsidR="00E202C9">
            <w:pPr>
              <w:bidi w:val="0"/>
              <w:rPr>
                <w:rFonts w:ascii="Times New Roman" w:hAnsi="Times New Roman"/>
                <w:b/>
                <w:bCs/>
                <w:color w:val="FFFFFF"/>
              </w:rPr>
            </w:pPr>
            <w:r>
              <w:rPr>
                <w:rFonts w:ascii="Times New Roman" w:hAnsi="Times New Roman"/>
                <w:b/>
                <w:bCs/>
                <w:color w:val="FFFFFF"/>
              </w:rPr>
              <w:t> </w:t>
            </w:r>
          </w:p>
        </w:tc>
        <w:tc>
          <w:tcPr>
            <w:tcW w:w="5141" w:type="dxa"/>
            <w:gridSpan w:val="4"/>
            <w:tcBorders>
              <w:top w:val="single" w:sz="4" w:space="0" w:color="auto"/>
              <w:left w:val="nil"/>
              <w:bottom w:val="single" w:sz="4" w:space="0" w:color="auto"/>
              <w:right w:val="single" w:sz="4" w:space="0" w:color="auto"/>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rPr>
              <w:t>Vplyv na rozpočet verejnej správy (cash=ESA95)</w:t>
            </w:r>
          </w:p>
        </w:tc>
      </w:tr>
      <w:tr>
        <w:tblPrEx>
          <w:tblW w:w="9318" w:type="dxa"/>
          <w:tblInd w:w="55" w:type="dxa"/>
          <w:tblCellMar>
            <w:left w:w="70" w:type="dxa"/>
            <w:right w:w="70" w:type="dxa"/>
          </w:tblCellMar>
        </w:tblPrEx>
        <w:trPr>
          <w:trHeight w:val="315"/>
        </w:trPr>
        <w:tc>
          <w:tcPr>
            <w:tcW w:w="4177" w:type="dxa"/>
            <w:tcBorders>
              <w:top w:val="nil"/>
              <w:left w:val="single" w:sz="4" w:space="0" w:color="auto"/>
              <w:bottom w:val="single" w:sz="4" w:space="0" w:color="auto"/>
              <w:right w:val="single" w:sz="4" w:space="0" w:color="auto"/>
            </w:tcBorders>
            <w:shd w:val="clear" w:color="auto" w:fill="000000"/>
            <w:noWrap/>
            <w:textDirection w:val="lrTb"/>
            <w:vAlign w:val="bottom"/>
          </w:tcPr>
          <w:p w:rsidR="00E202C9">
            <w:pPr>
              <w:bidi w:val="0"/>
              <w:rPr>
                <w:rFonts w:ascii="Times New Roman" w:hAnsi="Times New Roman"/>
                <w:b/>
                <w:bCs/>
                <w:color w:val="FFFFFF"/>
                <w:u w:val="single"/>
              </w:rPr>
            </w:pPr>
            <w:r>
              <w:rPr>
                <w:rFonts w:ascii="Times New Roman" w:hAnsi="Times New Roman"/>
                <w:b/>
                <w:bCs/>
                <w:color w:val="FFFFFF"/>
                <w:u w:val="single"/>
              </w:rPr>
              <w:t>Financovanie (v eur)</w:t>
            </w:r>
          </w:p>
        </w:tc>
        <w:tc>
          <w:tcPr>
            <w:tcW w:w="971" w:type="dxa"/>
            <w:tcBorders>
              <w:top w:val="nil"/>
              <w:left w:val="nil"/>
              <w:bottom w:val="single" w:sz="4" w:space="0" w:color="auto"/>
              <w:right w:val="single" w:sz="4" w:space="0" w:color="auto"/>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rPr>
              <w:t>2013</w:t>
            </w:r>
          </w:p>
        </w:tc>
        <w:tc>
          <w:tcPr>
            <w:tcW w:w="1347" w:type="dxa"/>
            <w:tcBorders>
              <w:top w:val="nil"/>
              <w:left w:val="nil"/>
              <w:bottom w:val="single" w:sz="4" w:space="0" w:color="auto"/>
              <w:right w:val="single" w:sz="4" w:space="0" w:color="auto"/>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rPr>
              <w:t>2014</w:t>
            </w:r>
          </w:p>
        </w:tc>
        <w:tc>
          <w:tcPr>
            <w:tcW w:w="1440" w:type="dxa"/>
            <w:tcBorders>
              <w:top w:val="nil"/>
              <w:left w:val="nil"/>
              <w:bottom w:val="single" w:sz="4" w:space="0" w:color="auto"/>
              <w:right w:val="single" w:sz="4" w:space="0" w:color="auto"/>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rPr>
              <w:t>2015</w:t>
            </w:r>
          </w:p>
        </w:tc>
        <w:tc>
          <w:tcPr>
            <w:tcW w:w="1383" w:type="dxa"/>
            <w:tcBorders>
              <w:top w:val="nil"/>
              <w:left w:val="nil"/>
              <w:bottom w:val="single" w:sz="4" w:space="0" w:color="auto"/>
              <w:right w:val="single" w:sz="4" w:space="0" w:color="auto"/>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rPr>
              <w:t>2016</w:t>
            </w:r>
          </w:p>
        </w:tc>
      </w:tr>
      <w:tr>
        <w:tblPrEx>
          <w:tblW w:w="9318" w:type="dxa"/>
          <w:tblInd w:w="55" w:type="dxa"/>
          <w:tblCellMar>
            <w:left w:w="70" w:type="dxa"/>
            <w:right w:w="70" w:type="dxa"/>
          </w:tblCellMar>
        </w:tblPrEx>
        <w:trPr>
          <w:trHeight w:val="630"/>
        </w:trPr>
        <w:tc>
          <w:tcPr>
            <w:tcW w:w="4177" w:type="dxa"/>
            <w:tcBorders>
              <w:top w:val="nil"/>
              <w:left w:val="single" w:sz="4" w:space="0" w:color="auto"/>
              <w:bottom w:val="single" w:sz="4" w:space="0" w:color="auto"/>
              <w:right w:val="single" w:sz="4" w:space="0" w:color="auto"/>
            </w:tcBorders>
            <w:textDirection w:val="lrTb"/>
            <w:vAlign w:val="center"/>
          </w:tcPr>
          <w:p w:rsidR="00E202C9">
            <w:pPr>
              <w:bidi w:val="0"/>
              <w:rPr>
                <w:rFonts w:ascii="Times New Roman" w:hAnsi="Times New Roman"/>
                <w:b/>
                <w:bCs/>
                <w:color w:val="000000"/>
              </w:rPr>
            </w:pPr>
            <w:r>
              <w:rPr>
                <w:rFonts w:ascii="Times New Roman" w:hAnsi="Times New Roman"/>
                <w:b/>
                <w:bCs/>
                <w:color w:val="000000"/>
              </w:rPr>
              <w:t>Celkový vplyv na rozpočet verejnej správy (- príjmy, + výdavky)</w:t>
            </w:r>
          </w:p>
        </w:tc>
        <w:tc>
          <w:tcPr>
            <w:tcW w:w="971"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347"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1 043 785</w:t>
            </w:r>
          </w:p>
        </w:tc>
        <w:tc>
          <w:tcPr>
            <w:tcW w:w="1440"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799 662</w:t>
            </w:r>
          </w:p>
        </w:tc>
        <w:tc>
          <w:tcPr>
            <w:tcW w:w="1383"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579 169</w:t>
            </w:r>
          </w:p>
        </w:tc>
      </w:tr>
      <w:tr>
        <w:tblPrEx>
          <w:tblW w:w="9318" w:type="dxa"/>
          <w:tblInd w:w="55" w:type="dxa"/>
          <w:tblCellMar>
            <w:left w:w="70" w:type="dxa"/>
            <w:right w:w="70" w:type="dxa"/>
          </w:tblCellMar>
        </w:tblPrEx>
        <w:trPr>
          <w:trHeight w:val="315"/>
        </w:trPr>
        <w:tc>
          <w:tcPr>
            <w:tcW w:w="4177" w:type="dxa"/>
            <w:tcBorders>
              <w:top w:val="nil"/>
              <w:left w:val="single" w:sz="4" w:space="0" w:color="auto"/>
              <w:bottom w:val="single" w:sz="4" w:space="0" w:color="auto"/>
              <w:right w:val="single" w:sz="4" w:space="0" w:color="auto"/>
            </w:tcBorders>
            <w:noWrap/>
            <w:textDirection w:val="lrTb"/>
            <w:vAlign w:val="bottom"/>
          </w:tcPr>
          <w:p w:rsidR="00047E7B" w:rsidP="00A618F7">
            <w:pPr>
              <w:bidi w:val="0"/>
              <w:ind w:firstLine="480" w:firstLineChars="200"/>
              <w:rPr>
                <w:rFonts w:ascii="Times New Roman" w:hAnsi="Times New Roman"/>
                <w:color w:val="000000"/>
              </w:rPr>
            </w:pPr>
            <w:r w:rsidR="00E202C9">
              <w:rPr>
                <w:rFonts w:ascii="Times New Roman" w:hAnsi="Times New Roman"/>
                <w:color w:val="000000"/>
              </w:rPr>
              <w:t>z toho vplyv na ŠR</w:t>
            </w:r>
          </w:p>
        </w:tc>
        <w:tc>
          <w:tcPr>
            <w:tcW w:w="971"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47"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40"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83"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318" w:type="dxa"/>
          <w:tblInd w:w="55" w:type="dxa"/>
          <w:tblCellMar>
            <w:left w:w="70" w:type="dxa"/>
            <w:right w:w="70" w:type="dxa"/>
          </w:tblCellMar>
        </w:tblPrEx>
        <w:trPr>
          <w:trHeight w:val="315"/>
        </w:trPr>
        <w:tc>
          <w:tcPr>
            <w:tcW w:w="4177" w:type="dxa"/>
            <w:tcBorders>
              <w:top w:val="nil"/>
              <w:left w:val="single" w:sz="4" w:space="0" w:color="auto"/>
              <w:bottom w:val="single" w:sz="4" w:space="0" w:color="auto"/>
              <w:right w:val="single" w:sz="4" w:space="0" w:color="auto"/>
            </w:tcBorders>
            <w:noWrap/>
            <w:textDirection w:val="lrTb"/>
            <w:vAlign w:val="bottom"/>
          </w:tcPr>
          <w:p w:rsidR="00E202C9">
            <w:pPr>
              <w:bidi w:val="0"/>
              <w:rPr>
                <w:rFonts w:ascii="Times New Roman" w:hAnsi="Times New Roman"/>
                <w:color w:val="000000"/>
              </w:rPr>
            </w:pPr>
            <w:r>
              <w:rPr>
                <w:rFonts w:ascii="Times New Roman" w:hAnsi="Times New Roman"/>
                <w:color w:val="000000"/>
              </w:rPr>
              <w:t>Obce</w:t>
            </w:r>
          </w:p>
        </w:tc>
        <w:tc>
          <w:tcPr>
            <w:tcW w:w="971"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47"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40"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83"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318" w:type="dxa"/>
          <w:tblInd w:w="55" w:type="dxa"/>
          <w:tblCellMar>
            <w:left w:w="70" w:type="dxa"/>
            <w:right w:w="70" w:type="dxa"/>
          </w:tblCellMar>
        </w:tblPrEx>
        <w:trPr>
          <w:trHeight w:val="315"/>
        </w:trPr>
        <w:tc>
          <w:tcPr>
            <w:tcW w:w="4177" w:type="dxa"/>
            <w:tcBorders>
              <w:top w:val="nil"/>
              <w:left w:val="single" w:sz="4" w:space="0" w:color="auto"/>
              <w:bottom w:val="single" w:sz="4" w:space="0" w:color="auto"/>
              <w:right w:val="single" w:sz="4" w:space="0" w:color="auto"/>
            </w:tcBorders>
            <w:noWrap/>
            <w:textDirection w:val="lrTb"/>
            <w:vAlign w:val="bottom"/>
          </w:tcPr>
          <w:p w:rsidR="00E202C9">
            <w:pPr>
              <w:bidi w:val="0"/>
              <w:rPr>
                <w:rFonts w:ascii="Times New Roman" w:hAnsi="Times New Roman"/>
                <w:color w:val="000000"/>
              </w:rPr>
            </w:pPr>
            <w:r>
              <w:rPr>
                <w:rFonts w:ascii="Times New Roman" w:hAnsi="Times New Roman"/>
                <w:color w:val="000000"/>
              </w:rPr>
              <w:t>VÚC</w:t>
            </w:r>
          </w:p>
        </w:tc>
        <w:tc>
          <w:tcPr>
            <w:tcW w:w="971"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47"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40"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83"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318" w:type="dxa"/>
          <w:tblInd w:w="55" w:type="dxa"/>
          <w:tblCellMar>
            <w:left w:w="70" w:type="dxa"/>
            <w:right w:w="70" w:type="dxa"/>
          </w:tblCellMar>
        </w:tblPrEx>
        <w:trPr>
          <w:trHeight w:val="315"/>
        </w:trPr>
        <w:tc>
          <w:tcPr>
            <w:tcW w:w="4177" w:type="dxa"/>
            <w:tcBorders>
              <w:top w:val="nil"/>
              <w:left w:val="single" w:sz="4" w:space="0" w:color="auto"/>
              <w:bottom w:val="single" w:sz="4" w:space="0" w:color="auto"/>
              <w:right w:val="single" w:sz="4" w:space="0" w:color="auto"/>
            </w:tcBorders>
            <w:noWrap/>
            <w:textDirection w:val="lrTb"/>
            <w:vAlign w:val="bottom"/>
          </w:tcPr>
          <w:p w:rsidR="00047E7B" w:rsidP="00A618F7">
            <w:pPr>
              <w:bidi w:val="0"/>
              <w:ind w:firstLine="480" w:firstLineChars="200"/>
              <w:rPr>
                <w:rFonts w:ascii="Times New Roman" w:hAnsi="Times New Roman"/>
                <w:color w:val="000000"/>
              </w:rPr>
            </w:pPr>
            <w:r w:rsidR="00E202C9">
              <w:rPr>
                <w:rFonts w:ascii="Times New Roman" w:hAnsi="Times New Roman"/>
                <w:color w:val="000000"/>
              </w:rPr>
              <w:t>z toho vplyv na Sociálnu poisťovňu</w:t>
            </w:r>
          </w:p>
        </w:tc>
        <w:tc>
          <w:tcPr>
            <w:tcW w:w="971"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47"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1 043 785</w:t>
            </w:r>
          </w:p>
        </w:tc>
        <w:tc>
          <w:tcPr>
            <w:tcW w:w="1440"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799 662</w:t>
            </w:r>
          </w:p>
        </w:tc>
        <w:tc>
          <w:tcPr>
            <w:tcW w:w="1383"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579 169</w:t>
            </w:r>
          </w:p>
        </w:tc>
      </w:tr>
      <w:tr>
        <w:tblPrEx>
          <w:tblW w:w="9318" w:type="dxa"/>
          <w:tblInd w:w="55" w:type="dxa"/>
          <w:tblCellMar>
            <w:left w:w="70" w:type="dxa"/>
            <w:right w:w="70" w:type="dxa"/>
          </w:tblCellMar>
        </w:tblPrEx>
        <w:trPr>
          <w:trHeight w:val="315"/>
        </w:trPr>
        <w:tc>
          <w:tcPr>
            <w:tcW w:w="4177" w:type="dxa"/>
            <w:tcBorders>
              <w:top w:val="nil"/>
              <w:left w:val="single" w:sz="4" w:space="0" w:color="auto"/>
              <w:bottom w:val="single" w:sz="4" w:space="0" w:color="auto"/>
              <w:right w:val="single" w:sz="4" w:space="0" w:color="auto"/>
            </w:tcBorders>
            <w:noWrap/>
            <w:textDirection w:val="lrTb"/>
            <w:vAlign w:val="bottom"/>
          </w:tcPr>
          <w:p w:rsidR="00E202C9">
            <w:pPr>
              <w:bidi w:val="0"/>
              <w:rPr>
                <w:rFonts w:ascii="Times New Roman" w:hAnsi="Times New Roman"/>
                <w:color w:val="000000"/>
              </w:rPr>
            </w:pPr>
            <w:r>
              <w:rPr>
                <w:rFonts w:ascii="Times New Roman" w:hAnsi="Times New Roman"/>
                <w:color w:val="000000"/>
              </w:rPr>
              <w:t>financovanie zabezpečené v rozpočte SP</w:t>
            </w:r>
          </w:p>
        </w:tc>
        <w:tc>
          <w:tcPr>
            <w:tcW w:w="971"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47"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1 043 785</w:t>
            </w:r>
          </w:p>
        </w:tc>
        <w:tc>
          <w:tcPr>
            <w:tcW w:w="1440"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799 662</w:t>
            </w:r>
          </w:p>
        </w:tc>
        <w:tc>
          <w:tcPr>
            <w:tcW w:w="1383"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579 169</w:t>
            </w:r>
          </w:p>
        </w:tc>
      </w:tr>
      <w:tr>
        <w:tblPrEx>
          <w:tblW w:w="9318" w:type="dxa"/>
          <w:tblInd w:w="55" w:type="dxa"/>
          <w:tblCellMar>
            <w:left w:w="70" w:type="dxa"/>
            <w:right w:w="70" w:type="dxa"/>
          </w:tblCellMar>
        </w:tblPrEx>
        <w:trPr>
          <w:trHeight w:val="315"/>
        </w:trPr>
        <w:tc>
          <w:tcPr>
            <w:tcW w:w="4177" w:type="dxa"/>
            <w:tcBorders>
              <w:top w:val="nil"/>
              <w:left w:val="single" w:sz="4" w:space="0" w:color="auto"/>
              <w:bottom w:val="single" w:sz="4" w:space="0" w:color="auto"/>
              <w:right w:val="single" w:sz="4" w:space="0" w:color="auto"/>
            </w:tcBorders>
            <w:noWrap/>
            <w:textDirection w:val="lrTb"/>
            <w:vAlign w:val="bottom"/>
          </w:tcPr>
          <w:p w:rsidR="00E202C9">
            <w:pPr>
              <w:bidi w:val="0"/>
              <w:rPr>
                <w:rFonts w:ascii="Times New Roman" w:hAnsi="Times New Roman"/>
                <w:color w:val="000000"/>
              </w:rPr>
            </w:pPr>
            <w:r>
              <w:rPr>
                <w:rFonts w:ascii="Times New Roman" w:hAnsi="Times New Roman"/>
                <w:color w:val="000000"/>
              </w:rPr>
              <w:t>ostatné zdroje financovania</w:t>
            </w:r>
          </w:p>
        </w:tc>
        <w:tc>
          <w:tcPr>
            <w:tcW w:w="971"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47"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440"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383"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318" w:type="dxa"/>
          <w:tblInd w:w="55" w:type="dxa"/>
          <w:tblCellMar>
            <w:left w:w="70" w:type="dxa"/>
            <w:right w:w="70" w:type="dxa"/>
          </w:tblCellMar>
        </w:tblPrEx>
        <w:trPr>
          <w:trHeight w:val="315"/>
        </w:trPr>
        <w:tc>
          <w:tcPr>
            <w:tcW w:w="4177" w:type="dxa"/>
            <w:tcBorders>
              <w:top w:val="nil"/>
              <w:left w:val="single" w:sz="4" w:space="0" w:color="auto"/>
              <w:bottom w:val="single" w:sz="4" w:space="0" w:color="auto"/>
              <w:right w:val="single" w:sz="4" w:space="0" w:color="auto"/>
            </w:tcBorders>
            <w:noWrap/>
            <w:textDirection w:val="lrTb"/>
            <w:vAlign w:val="bottom"/>
          </w:tcPr>
          <w:p w:rsidR="00E202C9">
            <w:pPr>
              <w:bidi w:val="0"/>
              <w:rPr>
                <w:rFonts w:ascii="Times New Roman" w:hAnsi="Times New Roman"/>
                <w:b/>
                <w:bCs/>
                <w:color w:val="000000"/>
              </w:rPr>
            </w:pPr>
            <w:r>
              <w:rPr>
                <w:rFonts w:ascii="Times New Roman" w:hAnsi="Times New Roman"/>
                <w:b/>
                <w:bCs/>
                <w:color w:val="000000"/>
              </w:rPr>
              <w:t>Rozpočtovo nekrytý vplyv / úspora *</w:t>
            </w:r>
          </w:p>
        </w:tc>
        <w:tc>
          <w:tcPr>
            <w:tcW w:w="971"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347"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44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38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r>
    </w:tbl>
    <w:p w:rsidR="00E202C9" w:rsidP="00CE6B86">
      <w:pPr>
        <w:bidi w:val="0"/>
        <w:rPr>
          <w:rFonts w:ascii="Times New Roman" w:hAnsi="Times New Roman"/>
          <w:sz w:val="20"/>
          <w:szCs w:val="20"/>
        </w:rPr>
      </w:pPr>
      <w:r>
        <w:rPr>
          <w:rFonts w:ascii="Times New Roman" w:hAnsi="Times New Roman"/>
          <w:color w:val="000000"/>
          <w:sz w:val="20"/>
          <w:szCs w:val="20"/>
        </w:rPr>
        <w:t>* úspora má znamienko (-)</w:t>
      </w:r>
    </w:p>
    <w:tbl>
      <w:tblPr>
        <w:tblStyle w:val="TableNormal"/>
        <w:tblW w:w="9317" w:type="dxa"/>
        <w:tblInd w:w="55" w:type="dxa"/>
        <w:tblCellMar>
          <w:left w:w="70" w:type="dxa"/>
          <w:right w:w="70" w:type="dxa"/>
        </w:tblCellMar>
      </w:tblPr>
      <w:tblGrid>
        <w:gridCol w:w="4177"/>
        <w:gridCol w:w="874"/>
        <w:gridCol w:w="1422"/>
        <w:gridCol w:w="1422"/>
        <w:gridCol w:w="1422"/>
      </w:tblGrid>
      <w:tr>
        <w:tblPrEx>
          <w:tblW w:w="9317" w:type="dxa"/>
          <w:tblInd w:w="55" w:type="dxa"/>
          <w:tblCellMar>
            <w:left w:w="70" w:type="dxa"/>
            <w:right w:w="70" w:type="dxa"/>
          </w:tblCellMar>
        </w:tblPrEx>
        <w:trPr>
          <w:trHeight w:val="315"/>
        </w:trPr>
        <w:tc>
          <w:tcPr>
            <w:tcW w:w="4177" w:type="dxa"/>
            <w:tcBorders>
              <w:top w:val="nil"/>
              <w:left w:val="nil"/>
              <w:bottom w:val="nil"/>
              <w:right w:val="nil"/>
            </w:tcBorders>
            <w:noWrap/>
            <w:textDirection w:val="lrTb"/>
            <w:vAlign w:val="bottom"/>
          </w:tcPr>
          <w:p w:rsidR="00E202C9">
            <w:pPr>
              <w:bidi w:val="0"/>
              <w:rPr>
                <w:rFonts w:ascii="Times New Roman" w:hAnsi="Times New Roman"/>
                <w:color w:val="000000"/>
                <w:sz w:val="20"/>
                <w:szCs w:val="20"/>
              </w:rPr>
            </w:pPr>
          </w:p>
        </w:tc>
        <w:tc>
          <w:tcPr>
            <w:tcW w:w="874" w:type="dxa"/>
            <w:tcBorders>
              <w:top w:val="nil"/>
              <w:left w:val="nil"/>
              <w:bottom w:val="nil"/>
              <w:right w:val="nil"/>
            </w:tcBorders>
            <w:noWrap/>
            <w:textDirection w:val="lrTb"/>
            <w:vAlign w:val="bottom"/>
          </w:tcPr>
          <w:p w:rsidR="00E202C9">
            <w:pPr>
              <w:bidi w:val="0"/>
              <w:rPr>
                <w:rFonts w:ascii="Times New Roman" w:hAnsi="Times New Roman"/>
                <w:color w:val="000000"/>
              </w:rPr>
            </w:pPr>
          </w:p>
        </w:tc>
        <w:tc>
          <w:tcPr>
            <w:tcW w:w="1422" w:type="dxa"/>
            <w:tcBorders>
              <w:top w:val="nil"/>
              <w:left w:val="nil"/>
              <w:bottom w:val="nil"/>
              <w:right w:val="nil"/>
            </w:tcBorders>
            <w:noWrap/>
            <w:textDirection w:val="lrTb"/>
            <w:vAlign w:val="bottom"/>
          </w:tcPr>
          <w:p w:rsidR="00E202C9">
            <w:pPr>
              <w:bidi w:val="0"/>
              <w:rPr>
                <w:rFonts w:ascii="Times New Roman" w:hAnsi="Times New Roman"/>
                <w:color w:val="000000"/>
              </w:rPr>
            </w:pPr>
          </w:p>
        </w:tc>
        <w:tc>
          <w:tcPr>
            <w:tcW w:w="1422" w:type="dxa"/>
            <w:tcBorders>
              <w:top w:val="nil"/>
              <w:left w:val="nil"/>
              <w:bottom w:val="nil"/>
              <w:right w:val="nil"/>
            </w:tcBorders>
            <w:noWrap/>
            <w:textDirection w:val="lrTb"/>
            <w:vAlign w:val="bottom"/>
          </w:tcPr>
          <w:p w:rsidR="00E202C9">
            <w:pPr>
              <w:bidi w:val="0"/>
              <w:rPr>
                <w:rFonts w:ascii="Times New Roman" w:hAnsi="Times New Roman"/>
                <w:color w:val="000000"/>
              </w:rPr>
            </w:pPr>
          </w:p>
        </w:tc>
        <w:tc>
          <w:tcPr>
            <w:tcW w:w="1422" w:type="dxa"/>
            <w:tcBorders>
              <w:top w:val="nil"/>
              <w:left w:val="nil"/>
              <w:bottom w:val="nil"/>
              <w:right w:val="nil"/>
            </w:tcBorders>
            <w:noWrap/>
            <w:textDirection w:val="lrTb"/>
            <w:vAlign w:val="bottom"/>
          </w:tcPr>
          <w:p w:rsidR="00E202C9">
            <w:pPr>
              <w:bidi w:val="0"/>
              <w:rPr>
                <w:rFonts w:ascii="Times New Roman" w:hAnsi="Times New Roman"/>
                <w:color w:val="000000"/>
              </w:rPr>
            </w:pPr>
          </w:p>
        </w:tc>
      </w:tr>
    </w:tbl>
    <w:p w:rsidR="00E202C9" w:rsidP="00432368">
      <w:pPr>
        <w:bidi w:val="0"/>
        <w:rPr>
          <w:rFonts w:ascii="Times New Roman" w:hAnsi="Times New Roman"/>
          <w:sz w:val="20"/>
          <w:szCs w:val="20"/>
        </w:rPr>
      </w:pPr>
    </w:p>
    <w:p w:rsidR="00B82C9B" w:rsidP="00432368">
      <w:pPr>
        <w:bidi w:val="0"/>
        <w:rPr>
          <w:rFonts w:ascii="Times New Roman" w:hAnsi="Times New Roman"/>
          <w:sz w:val="20"/>
          <w:szCs w:val="20"/>
        </w:rPr>
      </w:pPr>
    </w:p>
    <w:p w:rsidR="00E202C9" w:rsidP="006D376E">
      <w:pPr>
        <w:bidi w:val="0"/>
        <w:rPr>
          <w:rFonts w:ascii="Times New Roman" w:hAnsi="Times New Roman"/>
          <w:sz w:val="20"/>
          <w:szCs w:val="20"/>
        </w:rPr>
      </w:pPr>
    </w:p>
    <w:p w:rsidR="00E202C9" w:rsidP="00F85B12">
      <w:pPr>
        <w:bidi w:val="0"/>
        <w:jc w:val="both"/>
        <w:rPr>
          <w:rFonts w:ascii="Times New Roman" w:hAnsi="Times New Roman"/>
          <w:b/>
          <w:bCs/>
        </w:rPr>
      </w:pPr>
      <w:r w:rsidRPr="004161A1">
        <w:rPr>
          <w:rFonts w:ascii="Times New Roman" w:hAnsi="Times New Roman"/>
          <w:b/>
          <w:bCs/>
        </w:rPr>
        <w:t xml:space="preserve">Návrh na riešenie úbytku príjmov alebo zvýšených výdavkov podľa § 33 ods. 1 zákona </w:t>
      </w:r>
      <w:r w:rsidR="00F85B12">
        <w:rPr>
          <w:rFonts w:ascii="Times New Roman" w:hAnsi="Times New Roman"/>
          <w:b/>
          <w:bCs/>
        </w:rPr>
        <w:t xml:space="preserve">    </w:t>
      </w:r>
      <w:r w:rsidRPr="004161A1">
        <w:rPr>
          <w:rFonts w:ascii="Times New Roman" w:hAnsi="Times New Roman"/>
          <w:b/>
          <w:bCs/>
        </w:rPr>
        <w:t>č. 523/2004 Z. z. o rozpočtových pravidlách verejnej správy:</w:t>
      </w:r>
    </w:p>
    <w:p w:rsidR="00E202C9" w:rsidP="005164B5">
      <w:pPr>
        <w:bidi w:val="0"/>
        <w:rPr>
          <w:rFonts w:ascii="Times New Roman" w:hAnsi="Times New Roman"/>
        </w:rPr>
      </w:pPr>
    </w:p>
    <w:p w:rsidR="00E202C9" w:rsidP="005164B5">
      <w:pPr>
        <w:pBdr>
          <w:top w:val="single" w:sz="4" w:space="1" w:color="000000"/>
          <w:left w:val="single" w:sz="4" w:space="4" w:color="000000"/>
          <w:bottom w:val="single" w:sz="4" w:space="1" w:color="000000"/>
          <w:right w:val="single" w:sz="4" w:space="4" w:color="000000"/>
        </w:pBdr>
        <w:bidi w:val="0"/>
        <w:jc w:val="both"/>
        <w:rPr>
          <w:rFonts w:ascii="Times New Roman" w:hAnsi="Times New Roman"/>
        </w:rPr>
      </w:pPr>
      <w:r>
        <w:rPr>
          <w:rFonts w:ascii="Times New Roman" w:hAnsi="Times New Roman"/>
        </w:rPr>
        <w:t xml:space="preserve">Znížené príjmy a zvýšené výdavky rozpočtu Sociálnej poisťovne vyplývajúce z návrhu zákona budú finančné kryté v rámci schváleného rozpočtu Sociálnej poisťovne na jednotlivé roky. </w:t>
      </w:r>
    </w:p>
    <w:p w:rsidR="00E202C9" w:rsidP="005164B5">
      <w:pPr>
        <w:bidi w:val="0"/>
        <w:rPr>
          <w:rFonts w:ascii="Times New Roman" w:hAnsi="Times New Roman"/>
          <w:b/>
          <w:bCs/>
        </w:rPr>
      </w:pPr>
    </w:p>
    <w:p w:rsidR="00E202C9" w:rsidP="005164B5">
      <w:pPr>
        <w:bidi w:val="0"/>
        <w:rPr>
          <w:rFonts w:ascii="Times New Roman" w:hAnsi="Times New Roman"/>
          <w:b/>
          <w:bCs/>
        </w:rPr>
      </w:pPr>
    </w:p>
    <w:p w:rsidR="00E202C9" w:rsidP="005164B5">
      <w:pPr>
        <w:bidi w:val="0"/>
        <w:rPr>
          <w:rFonts w:ascii="Times New Roman" w:hAnsi="Times New Roman"/>
        </w:rPr>
      </w:pPr>
      <w:r w:rsidRPr="004161A1">
        <w:rPr>
          <w:rFonts w:ascii="Times New Roman" w:hAnsi="Times New Roman"/>
          <w:b/>
          <w:bCs/>
        </w:rPr>
        <w:t>2.3. Popis a charakteristika návrhu</w:t>
      </w:r>
    </w:p>
    <w:p w:rsidR="00E202C9" w:rsidP="005164B5">
      <w:pPr>
        <w:bidi w:val="0"/>
        <w:rPr>
          <w:rFonts w:ascii="Times New Roman" w:hAnsi="Times New Roman"/>
        </w:rPr>
      </w:pPr>
      <w:r>
        <w:rPr>
          <w:rFonts w:ascii="Times New Roman" w:hAnsi="Times New Roman"/>
        </w:rPr>
        <w:t> </w:t>
      </w:r>
    </w:p>
    <w:p w:rsidR="00E202C9" w:rsidP="005164B5">
      <w:pPr>
        <w:bidi w:val="0"/>
        <w:jc w:val="both"/>
        <w:rPr>
          <w:rFonts w:ascii="Times New Roman" w:hAnsi="Times New Roman"/>
          <w:b/>
          <w:bCs/>
        </w:rPr>
      </w:pPr>
      <w:r w:rsidRPr="004161A1">
        <w:rPr>
          <w:rFonts w:ascii="Times New Roman" w:hAnsi="Times New Roman"/>
          <w:b/>
          <w:bCs/>
        </w:rPr>
        <w:t>2.3.1. Popis návrhu:</w:t>
      </w:r>
    </w:p>
    <w:p w:rsidR="00E202C9" w:rsidP="005164B5">
      <w:pPr>
        <w:bidi w:val="0"/>
        <w:jc w:val="both"/>
        <w:rPr>
          <w:rFonts w:ascii="Times New Roman" w:hAnsi="Times New Roman"/>
          <w:b/>
          <w:bCs/>
        </w:rPr>
      </w:pPr>
    </w:p>
    <w:p w:rsidR="00E202C9" w:rsidP="00F0554C">
      <w:pPr>
        <w:bidi w:val="0"/>
        <w:jc w:val="both"/>
        <w:rPr>
          <w:rFonts w:ascii="Times New Roman" w:hAnsi="Times New Roman"/>
          <w:b/>
          <w:color w:val="000000"/>
        </w:rPr>
      </w:pPr>
      <w:r w:rsidR="00A523D3">
        <w:rPr>
          <w:rFonts w:ascii="Times New Roman" w:hAnsi="Times New Roman"/>
          <w:bCs/>
        </w:rPr>
        <w:t>Vládny n</w:t>
      </w:r>
      <w:r w:rsidRPr="00C967D9">
        <w:rPr>
          <w:rFonts w:ascii="Times New Roman" w:hAnsi="Times New Roman"/>
          <w:bCs/>
        </w:rPr>
        <w:t xml:space="preserve">ávrh zákona, </w:t>
      </w:r>
      <w:r w:rsidRPr="00C967D9">
        <w:rPr>
          <w:rFonts w:ascii="Times New Roman" w:hAnsi="Times New Roman"/>
          <w:color w:val="000000"/>
        </w:rPr>
        <w:t>ktorým sa mení a dopĺňa zákon č. 461/2003 Z. z. o sociálnom poistení v znení neskorších predpisov</w:t>
      </w:r>
      <w:r>
        <w:rPr>
          <w:rFonts w:ascii="Times New Roman" w:hAnsi="Times New Roman"/>
          <w:color w:val="000000"/>
        </w:rPr>
        <w:t xml:space="preserve"> </w:t>
      </w:r>
      <w:r w:rsidRPr="0041726B" w:rsidR="0041726B">
        <w:rPr>
          <w:rFonts w:ascii="Times New Roman" w:hAnsi="Times New Roman"/>
          <w:bCs/>
        </w:rPr>
        <w:t>a  ktorým sa menia a dopĺňajú niektoré zákony</w:t>
      </w:r>
      <w:r w:rsidRPr="0041726B" w:rsidR="0041726B">
        <w:rPr>
          <w:rFonts w:ascii="Times New Roman" w:hAnsi="Times New Roman"/>
          <w:color w:val="000000"/>
        </w:rPr>
        <w:t>.</w:t>
      </w:r>
    </w:p>
    <w:p w:rsidR="00E202C9" w:rsidP="005164B5">
      <w:pPr>
        <w:bidi w:val="0"/>
        <w:jc w:val="both"/>
        <w:rPr>
          <w:rFonts w:ascii="Times New Roman" w:hAnsi="Times New Roman"/>
          <w:color w:val="000000"/>
        </w:rPr>
      </w:pPr>
    </w:p>
    <w:p w:rsidR="00E202C9" w:rsidP="005164B5">
      <w:pPr>
        <w:bidi w:val="0"/>
        <w:jc w:val="both"/>
        <w:rPr>
          <w:rFonts w:ascii="Times New Roman" w:hAnsi="Times New Roman"/>
          <w:color w:val="000000"/>
        </w:rPr>
      </w:pPr>
      <w:r>
        <w:rPr>
          <w:rFonts w:ascii="Times New Roman" w:hAnsi="Times New Roman"/>
          <w:color w:val="000000"/>
        </w:rPr>
        <w:t xml:space="preserve">Hlavným cieľom návrhu je najmä úprava podmienok výpočtu dávok pre niektorých poistencov v špecifických situáciách a riešenie ďalších nedostatkov vyplývajúcich z aplikačnej praxe.  </w:t>
      </w:r>
    </w:p>
    <w:p w:rsidR="00E202C9" w:rsidP="005164B5">
      <w:pPr>
        <w:bidi w:val="0"/>
        <w:jc w:val="both"/>
        <w:rPr>
          <w:rFonts w:ascii="Times New Roman" w:hAnsi="Times New Roman"/>
          <w:color w:val="000000"/>
        </w:rPr>
      </w:pPr>
    </w:p>
    <w:p w:rsidR="00E202C9" w:rsidRPr="00530F5C" w:rsidP="005164B5">
      <w:pPr>
        <w:numPr>
          <w:numId w:val="18"/>
        </w:numPr>
        <w:bidi w:val="0"/>
        <w:jc w:val="both"/>
        <w:rPr>
          <w:rFonts w:ascii="Times New Roman" w:hAnsi="Times New Roman"/>
          <w:b/>
          <w:color w:val="000000"/>
        </w:rPr>
      </w:pPr>
      <w:r>
        <w:rPr>
          <w:rFonts w:ascii="Times New Roman" w:hAnsi="Times New Roman"/>
          <w:b/>
          <w:bCs/>
          <w:color w:val="000000"/>
        </w:rPr>
        <w:t>Rozšírenie použitia osobného mzdového bodu v hodnote 0,67 pri určovaní invalidného dôchodku na vybraných poistencov vo veku do 20 rokov</w:t>
      </w:r>
      <w:r>
        <w:rPr>
          <w:rFonts w:ascii="Times New Roman" w:hAnsi="Times New Roman"/>
          <w:color w:val="000000"/>
        </w:rPr>
        <w:t>, ktorí</w:t>
      </w:r>
      <w:r w:rsidRPr="004B2597">
        <w:rPr>
          <w:rFonts w:ascii="Times New Roman" w:hAnsi="Times New Roman"/>
          <w:color w:val="000000"/>
        </w:rPr>
        <w:t xml:space="preserve"> získali </w:t>
      </w:r>
      <w:r>
        <w:rPr>
          <w:rFonts w:ascii="Times New Roman" w:hAnsi="Times New Roman"/>
          <w:color w:val="000000"/>
        </w:rPr>
        <w:t xml:space="preserve">krátke </w:t>
      </w:r>
      <w:r w:rsidRPr="004B2597">
        <w:rPr>
          <w:rFonts w:ascii="Times New Roman" w:hAnsi="Times New Roman"/>
          <w:color w:val="000000"/>
        </w:rPr>
        <w:t>obdobie dôchodkového poistenia</w:t>
      </w:r>
      <w:r>
        <w:rPr>
          <w:rFonts w:ascii="Times New Roman" w:hAnsi="Times New Roman"/>
          <w:color w:val="000000"/>
        </w:rPr>
        <w:t xml:space="preserve"> (menej ako 1 rok)</w:t>
      </w:r>
      <w:r w:rsidRPr="004B2597">
        <w:rPr>
          <w:rFonts w:ascii="Times New Roman" w:hAnsi="Times New Roman"/>
          <w:color w:val="000000"/>
        </w:rPr>
        <w:t xml:space="preserve"> len formou dobrovoľného dôchodkového poistenia alebo dodatočným doplatením</w:t>
      </w:r>
      <w:r>
        <w:rPr>
          <w:rFonts w:ascii="Times New Roman" w:hAnsi="Times New Roman"/>
          <w:color w:val="000000"/>
        </w:rPr>
        <w:t xml:space="preserve"> poistného</w:t>
      </w:r>
      <w:r w:rsidRPr="004B2597">
        <w:rPr>
          <w:rFonts w:ascii="Times New Roman" w:hAnsi="Times New Roman"/>
          <w:color w:val="000000"/>
        </w:rPr>
        <w:t>.</w:t>
      </w:r>
    </w:p>
    <w:p w:rsidR="00E202C9" w:rsidRPr="00530F5C" w:rsidP="005164B5">
      <w:pPr>
        <w:bidi w:val="0"/>
        <w:ind w:left="360"/>
        <w:jc w:val="both"/>
        <w:rPr>
          <w:rFonts w:ascii="Times New Roman" w:hAnsi="Times New Roman"/>
          <w:b/>
          <w:color w:val="000000"/>
        </w:rPr>
      </w:pPr>
    </w:p>
    <w:p w:rsidR="00E202C9" w:rsidRPr="00530F5C" w:rsidP="005164B5">
      <w:pPr>
        <w:numPr>
          <w:numId w:val="18"/>
        </w:numPr>
        <w:bidi w:val="0"/>
        <w:jc w:val="both"/>
        <w:rPr>
          <w:rFonts w:ascii="Times New Roman" w:hAnsi="Times New Roman"/>
          <w:b/>
          <w:color w:val="000000"/>
        </w:rPr>
      </w:pPr>
      <w:r w:rsidRPr="006F19D8">
        <w:rPr>
          <w:rFonts w:ascii="Times New Roman" w:hAnsi="Times New Roman"/>
          <w:b/>
          <w:bCs/>
        </w:rPr>
        <w:t>Skrátenie obdobia</w:t>
      </w:r>
      <w:r>
        <w:rPr>
          <w:rFonts w:ascii="Times New Roman" w:hAnsi="Times New Roman"/>
          <w:b/>
          <w:bCs/>
        </w:rPr>
        <w:t>,</w:t>
      </w:r>
      <w:r w:rsidRPr="006F19D8">
        <w:rPr>
          <w:rFonts w:ascii="Times New Roman" w:hAnsi="Times New Roman"/>
          <w:b/>
          <w:bCs/>
        </w:rPr>
        <w:t xml:space="preserve"> za ktoré sa skúma nezaplatenie poistného na sociálne poistenie ako jednej z podmienok nároku na nemocenské dávky pre samostatne zárobkovo činné osoby a dobrovoľne poistené osoby</w:t>
      </w:r>
      <w:r>
        <w:rPr>
          <w:rFonts w:ascii="Times New Roman" w:hAnsi="Times New Roman"/>
          <w:b/>
          <w:color w:val="000000"/>
        </w:rPr>
        <w:t xml:space="preserve"> </w:t>
      </w:r>
      <w:r>
        <w:rPr>
          <w:rFonts w:ascii="Times New Roman" w:hAnsi="Times New Roman"/>
          <w:color w:val="000000"/>
        </w:rPr>
        <w:t xml:space="preserve">– </w:t>
      </w:r>
      <w:r w:rsidRPr="00227F0F">
        <w:rPr>
          <w:rFonts w:ascii="Times New Roman" w:hAnsi="Times New Roman"/>
          <w:color w:val="000000"/>
        </w:rPr>
        <w:t>zaplatené poistné sa navrhuje sledovať v období posledných piatich rokov namiesto doterajších desiatich rokov pred vznikom dôvodu na poskytnutie nemocenskej dávky.</w:t>
      </w:r>
    </w:p>
    <w:p w:rsidR="00E202C9" w:rsidRPr="002B76C2" w:rsidP="005164B5">
      <w:pPr>
        <w:bidi w:val="0"/>
        <w:jc w:val="both"/>
        <w:rPr>
          <w:rFonts w:ascii="Times New Roman" w:hAnsi="Times New Roman"/>
          <w:b/>
          <w:color w:val="000000"/>
        </w:rPr>
      </w:pPr>
    </w:p>
    <w:p w:rsidR="00E202C9" w:rsidRPr="006708DF" w:rsidP="006F19D8">
      <w:pPr>
        <w:numPr>
          <w:numId w:val="18"/>
        </w:numPr>
        <w:bidi w:val="0"/>
        <w:jc w:val="both"/>
        <w:rPr>
          <w:rFonts w:ascii="Times New Roman" w:hAnsi="Times New Roman"/>
          <w:b/>
          <w:color w:val="000000"/>
        </w:rPr>
      </w:pPr>
      <w:r w:rsidRPr="00FD1C04">
        <w:rPr>
          <w:rFonts w:ascii="Times New Roman" w:hAnsi="Times New Roman"/>
        </w:rPr>
        <w:t>Navrhuje sa</w:t>
      </w:r>
      <w:r>
        <w:rPr>
          <w:rFonts w:ascii="Times New Roman" w:hAnsi="Times New Roman"/>
        </w:rPr>
        <w:t xml:space="preserve">, aby </w:t>
      </w:r>
      <w:r w:rsidRPr="00FD1C04">
        <w:rPr>
          <w:rFonts w:ascii="Times New Roman" w:hAnsi="Times New Roman"/>
        </w:rPr>
        <w:t>zamestnávateľ</w:t>
      </w:r>
      <w:r>
        <w:rPr>
          <w:rFonts w:ascii="Times New Roman" w:hAnsi="Times New Roman"/>
        </w:rPr>
        <w:t>ovi nevznikla povinnosť odvádzať</w:t>
      </w:r>
      <w:r w:rsidRPr="00FD1C04">
        <w:rPr>
          <w:rFonts w:ascii="Times New Roman" w:hAnsi="Times New Roman"/>
        </w:rPr>
        <w:t xml:space="preserve">  poistné</w:t>
      </w:r>
      <w:r>
        <w:rPr>
          <w:rFonts w:ascii="Times New Roman" w:hAnsi="Times New Roman"/>
        </w:rPr>
        <w:t xml:space="preserve"> na garančné poistenie za zamestnanca, ktorý je </w:t>
      </w:r>
      <w:r w:rsidRPr="006F19D8">
        <w:rPr>
          <w:rFonts w:ascii="Times New Roman" w:hAnsi="Times New Roman"/>
          <w:b/>
        </w:rPr>
        <w:t>štatutárnym orgánom</w:t>
      </w:r>
      <w:r w:rsidR="00974B60">
        <w:rPr>
          <w:rFonts w:ascii="Times New Roman" w:hAnsi="Times New Roman"/>
          <w:b/>
        </w:rPr>
        <w:t>, ktorý má najmenej 50</w:t>
      </w:r>
      <w:r w:rsidR="00F85B12">
        <w:rPr>
          <w:rFonts w:ascii="Times New Roman" w:hAnsi="Times New Roman"/>
          <w:b/>
        </w:rPr>
        <w:t xml:space="preserve"> </w:t>
      </w:r>
      <w:r w:rsidR="00974B60">
        <w:rPr>
          <w:rFonts w:ascii="Times New Roman" w:hAnsi="Times New Roman"/>
          <w:b/>
        </w:rPr>
        <w:t>% účasť na majetku zamestnávateľa,</w:t>
      </w:r>
      <w:r w:rsidRPr="006F19D8">
        <w:rPr>
          <w:rFonts w:ascii="Times New Roman" w:hAnsi="Times New Roman"/>
          <w:b/>
        </w:rPr>
        <w:t xml:space="preserve"> alebo členom štatutárneho orgánu</w:t>
      </w:r>
      <w:r w:rsidR="00974B60">
        <w:rPr>
          <w:rFonts w:ascii="Times New Roman" w:hAnsi="Times New Roman"/>
          <w:b/>
        </w:rPr>
        <w:t>, ktorý</w:t>
      </w:r>
      <w:r w:rsidRPr="006F19D8">
        <w:rPr>
          <w:rFonts w:ascii="Times New Roman" w:hAnsi="Times New Roman"/>
          <w:b/>
        </w:rPr>
        <w:t xml:space="preserve"> </w:t>
      </w:r>
      <w:r>
        <w:rPr>
          <w:rFonts w:ascii="Times New Roman" w:hAnsi="Times New Roman"/>
          <w:b/>
        </w:rPr>
        <w:t>má najmenej 50</w:t>
      </w:r>
      <w:r w:rsidR="00F85B12">
        <w:rPr>
          <w:rFonts w:ascii="Times New Roman" w:hAnsi="Times New Roman"/>
          <w:b/>
        </w:rPr>
        <w:t xml:space="preserve"> </w:t>
      </w:r>
      <w:r>
        <w:rPr>
          <w:rFonts w:ascii="Times New Roman" w:hAnsi="Times New Roman"/>
          <w:b/>
        </w:rPr>
        <w:t>% účasť na majetku zamestnávateľa</w:t>
      </w:r>
      <w:r w:rsidRPr="00FD1C04">
        <w:rPr>
          <w:rFonts w:ascii="Times New Roman" w:hAnsi="Times New Roman"/>
          <w:b/>
        </w:rPr>
        <w:t>.</w:t>
      </w:r>
      <w:r w:rsidRPr="008F6601">
        <w:rPr>
          <w:rFonts w:ascii="Times New Roman" w:hAnsi="Times New Roman"/>
        </w:rPr>
        <w:t xml:space="preserve"> Zároveň uvedeným zamestnancom </w:t>
      </w:r>
      <w:r w:rsidRPr="008F6601">
        <w:rPr>
          <w:rFonts w:ascii="Times New Roman" w:hAnsi="Times New Roman"/>
          <w:b/>
        </w:rPr>
        <w:t>nebude zohľadnené obdobie dôchodkového poistenia</w:t>
      </w:r>
      <w:r w:rsidRPr="008F6601">
        <w:rPr>
          <w:rFonts w:ascii="Times New Roman" w:hAnsi="Times New Roman"/>
        </w:rPr>
        <w:t>, za ktoré jeho zamestnávateľ neodviedol poistné.</w:t>
      </w:r>
      <w:r>
        <w:rPr>
          <w:rFonts w:ascii="Times New Roman" w:hAnsi="Times New Roman"/>
          <w:b/>
        </w:rPr>
        <w:t xml:space="preserve"> </w:t>
      </w:r>
    </w:p>
    <w:p w:rsidR="008A2FE1" w:rsidRPr="00A74A98" w:rsidP="00AE7BB6">
      <w:pPr>
        <w:bidi w:val="0"/>
        <w:jc w:val="both"/>
        <w:rPr>
          <w:rFonts w:ascii="Times New Roman" w:hAnsi="Times New Roman"/>
          <w:b/>
          <w:color w:val="000000"/>
        </w:rPr>
      </w:pPr>
    </w:p>
    <w:p w:rsidR="00E202C9" w:rsidP="005164B5">
      <w:pPr>
        <w:numPr>
          <w:numId w:val="18"/>
        </w:numPr>
        <w:bidi w:val="0"/>
        <w:jc w:val="both"/>
        <w:rPr>
          <w:rFonts w:ascii="Times New Roman" w:hAnsi="Times New Roman"/>
          <w:b/>
          <w:color w:val="000000"/>
        </w:rPr>
      </w:pPr>
      <w:r>
        <w:rPr>
          <w:rFonts w:ascii="Times New Roman" w:hAnsi="Times New Roman"/>
          <w:b/>
          <w:color w:val="000000"/>
        </w:rPr>
        <w:t>Zánik dobrovoľného poistenia sa navrhuje naviazať na nezaplatenie poistného počas dvoch kalendárnych mesiacov nasledujúcich po sebe.</w:t>
      </w:r>
    </w:p>
    <w:p w:rsidR="00E202C9" w:rsidP="005164B5">
      <w:pPr>
        <w:bidi w:val="0"/>
        <w:ind w:left="360"/>
        <w:jc w:val="both"/>
        <w:rPr>
          <w:rFonts w:ascii="Times New Roman" w:hAnsi="Times New Roman"/>
          <w:b/>
          <w:color w:val="000000"/>
        </w:rPr>
      </w:pPr>
      <w:r>
        <w:rPr>
          <w:rFonts w:ascii="Times New Roman" w:hAnsi="Times New Roman"/>
          <w:b/>
          <w:color w:val="000000"/>
        </w:rPr>
        <w:t xml:space="preserve"> </w:t>
      </w:r>
    </w:p>
    <w:p w:rsidR="00E202C9" w:rsidRPr="00E509FF" w:rsidP="005164B5">
      <w:pPr>
        <w:numPr>
          <w:numId w:val="18"/>
        </w:numPr>
        <w:bidi w:val="0"/>
        <w:jc w:val="both"/>
        <w:rPr>
          <w:rFonts w:ascii="Times New Roman" w:hAnsi="Times New Roman"/>
          <w:b/>
          <w:color w:val="000000"/>
        </w:rPr>
      </w:pPr>
      <w:r w:rsidRPr="0005312B">
        <w:rPr>
          <w:rFonts w:ascii="Times New Roman" w:hAnsi="Times New Roman"/>
        </w:rPr>
        <w:t>N</w:t>
      </w:r>
      <w:r>
        <w:rPr>
          <w:rFonts w:ascii="Times New Roman" w:hAnsi="Times New Roman"/>
        </w:rPr>
        <w:t>eprihliadanie na príjem zo zárobkovej činnosti</w:t>
      </w:r>
      <w:r w:rsidRPr="00E509FF">
        <w:rPr>
          <w:rFonts w:ascii="Times New Roman" w:hAnsi="Times New Roman"/>
          <w:b/>
        </w:rPr>
        <w:t xml:space="preserve"> </w:t>
      </w:r>
      <w:r w:rsidRPr="0005312B">
        <w:rPr>
          <w:rFonts w:ascii="Times New Roman" w:hAnsi="Times New Roman"/>
          <w:b/>
        </w:rPr>
        <w:t xml:space="preserve">pri určovaní denného vymeriavacieho základu na </w:t>
      </w:r>
      <w:r>
        <w:rPr>
          <w:rFonts w:ascii="Times New Roman" w:hAnsi="Times New Roman"/>
          <w:b/>
          <w:bCs/>
        </w:rPr>
        <w:t xml:space="preserve">výpočet sumy </w:t>
      </w:r>
      <w:r w:rsidRPr="0005312B">
        <w:rPr>
          <w:rFonts w:ascii="Times New Roman" w:hAnsi="Times New Roman"/>
          <w:b/>
          <w:bCs/>
        </w:rPr>
        <w:t>dávky v nezamestnanosti</w:t>
      </w:r>
      <w:r w:rsidRPr="0005312B">
        <w:rPr>
          <w:rFonts w:ascii="Times New Roman" w:hAnsi="Times New Roman"/>
        </w:rPr>
        <w:t>, ktorý osoba dosiahla v období čerpania materskej dovole</w:t>
      </w:r>
      <w:r>
        <w:rPr>
          <w:rFonts w:ascii="Times New Roman" w:hAnsi="Times New Roman"/>
        </w:rPr>
        <w:t>nky alebo rodičovskej dovolenky.</w:t>
      </w:r>
    </w:p>
    <w:p w:rsidR="00E202C9" w:rsidRPr="00D77A3F" w:rsidP="00AC2900">
      <w:pPr>
        <w:bidi w:val="0"/>
        <w:ind w:left="360"/>
        <w:jc w:val="both"/>
        <w:rPr>
          <w:rFonts w:ascii="Times New Roman" w:hAnsi="Times New Roman"/>
          <w:b/>
          <w:color w:val="000000"/>
        </w:rPr>
      </w:pPr>
      <w:r w:rsidRPr="0005312B">
        <w:rPr>
          <w:rFonts w:ascii="Times New Roman" w:hAnsi="Times New Roman"/>
        </w:rPr>
        <w:t xml:space="preserve"> </w:t>
      </w:r>
    </w:p>
    <w:p w:rsidR="00E202C9" w:rsidRPr="00BF78E2" w:rsidP="005164B5">
      <w:pPr>
        <w:numPr>
          <w:numId w:val="18"/>
        </w:numPr>
        <w:bidi w:val="0"/>
        <w:jc w:val="both"/>
        <w:rPr>
          <w:rFonts w:ascii="Times New Roman" w:hAnsi="Times New Roman"/>
          <w:b/>
          <w:color w:val="000000"/>
        </w:rPr>
      </w:pPr>
      <w:r>
        <w:rPr>
          <w:rFonts w:ascii="Times New Roman" w:hAnsi="Times New Roman"/>
          <w:b/>
          <w:bCs/>
        </w:rPr>
        <w:t xml:space="preserve">Zvýšenie diskontnej úrokovej sadzby využívanej pri povolení splátok dlžných súm. </w:t>
      </w:r>
    </w:p>
    <w:p w:rsidR="00E202C9" w:rsidP="00BF78E2">
      <w:pPr>
        <w:pStyle w:val="ListParagraph"/>
        <w:bidi w:val="0"/>
        <w:rPr>
          <w:rFonts w:ascii="Times New Roman" w:hAnsi="Times New Roman"/>
          <w:b/>
          <w:color w:val="000000"/>
        </w:rPr>
      </w:pPr>
    </w:p>
    <w:p w:rsidR="008A2FE1" w:rsidP="00BF78E2">
      <w:pPr>
        <w:pStyle w:val="ListParagraph"/>
        <w:bidi w:val="0"/>
        <w:rPr>
          <w:rFonts w:ascii="Times New Roman" w:hAnsi="Times New Roman"/>
          <w:b/>
          <w:color w:val="000000"/>
        </w:rPr>
      </w:pPr>
    </w:p>
    <w:p w:rsidR="008A2FE1" w:rsidP="00BF78E2">
      <w:pPr>
        <w:pStyle w:val="ListParagraph"/>
        <w:bidi w:val="0"/>
        <w:rPr>
          <w:rFonts w:ascii="Times New Roman" w:hAnsi="Times New Roman"/>
          <w:b/>
          <w:color w:val="000000"/>
        </w:rPr>
      </w:pPr>
    </w:p>
    <w:p w:rsidR="008A2FE1" w:rsidP="00BF78E2">
      <w:pPr>
        <w:pStyle w:val="ListParagraph"/>
        <w:bidi w:val="0"/>
        <w:rPr>
          <w:rFonts w:ascii="Times New Roman" w:hAnsi="Times New Roman"/>
          <w:b/>
          <w:color w:val="000000"/>
        </w:rPr>
      </w:pPr>
    </w:p>
    <w:p w:rsidR="008A2FE1" w:rsidP="00BF78E2">
      <w:pPr>
        <w:pStyle w:val="ListParagraph"/>
        <w:bidi w:val="0"/>
        <w:rPr>
          <w:rFonts w:ascii="Times New Roman" w:hAnsi="Times New Roman"/>
          <w:b/>
          <w:color w:val="000000"/>
        </w:rPr>
      </w:pPr>
    </w:p>
    <w:p w:rsidR="008A2FE1" w:rsidP="00BF78E2">
      <w:pPr>
        <w:pStyle w:val="ListParagraph"/>
        <w:bidi w:val="0"/>
        <w:rPr>
          <w:rFonts w:ascii="Times New Roman" w:hAnsi="Times New Roman"/>
          <w:b/>
          <w:color w:val="000000"/>
        </w:rPr>
      </w:pPr>
    </w:p>
    <w:p w:rsidR="008A2FE1" w:rsidP="00BF78E2">
      <w:pPr>
        <w:pStyle w:val="ListParagraph"/>
        <w:bidi w:val="0"/>
        <w:rPr>
          <w:rFonts w:ascii="Times New Roman" w:hAnsi="Times New Roman"/>
          <w:b/>
          <w:color w:val="000000"/>
        </w:rPr>
      </w:pPr>
    </w:p>
    <w:p w:rsidR="00E202C9" w:rsidP="005164B5">
      <w:pPr>
        <w:pStyle w:val="ListParagraph1"/>
        <w:suppressAutoHyphens/>
        <w:bidi w:val="0"/>
        <w:ind w:left="0"/>
        <w:contextualSpacing/>
        <w:jc w:val="both"/>
        <w:rPr>
          <w:rFonts w:ascii="Times New Roman" w:hAnsi="Times New Roman"/>
        </w:rPr>
      </w:pPr>
    </w:p>
    <w:p w:rsidR="00E202C9" w:rsidP="005164B5">
      <w:pPr>
        <w:bidi w:val="0"/>
        <w:rPr>
          <w:rFonts w:ascii="Times New Roman" w:hAnsi="Times New Roman"/>
          <w:b/>
          <w:bCs/>
        </w:rPr>
      </w:pPr>
      <w:r w:rsidRPr="004161A1">
        <w:rPr>
          <w:rFonts w:ascii="Times New Roman" w:hAnsi="Times New Roman"/>
          <w:b/>
          <w:bCs/>
        </w:rPr>
        <w:t>2.3.2. Ch</w:t>
      </w:r>
      <w:r>
        <w:rPr>
          <w:rFonts w:ascii="Times New Roman" w:hAnsi="Times New Roman"/>
          <w:b/>
          <w:bCs/>
        </w:rPr>
        <w:t>arakteristika návrhu podľa bodu</w:t>
      </w:r>
      <w:r w:rsidRPr="004161A1">
        <w:rPr>
          <w:rFonts w:ascii="Times New Roman" w:hAnsi="Times New Roman"/>
          <w:b/>
          <w:bCs/>
        </w:rPr>
        <w:t xml:space="preserve"> 2.3.2. Metodiky:</w:t>
      </w:r>
    </w:p>
    <w:p w:rsidR="00E202C9" w:rsidP="005164B5">
      <w:pPr>
        <w:bidi w:val="0"/>
        <w:rPr>
          <w:rFonts w:ascii="Times New Roman" w:hAnsi="Times New Roman"/>
        </w:rPr>
      </w:pPr>
    </w:p>
    <w:tbl>
      <w:tblPr>
        <w:tblStyle w:val="TableNormal"/>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2"/>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E202C9" w:rsidP="00C720BD">
            <w:pPr>
              <w:bidi w:val="0"/>
              <w:suppressOverlap/>
              <w:rPr>
                <w:rFonts w:ascii="Times New Roman" w:hAnsi="Times New Roman"/>
              </w:rPr>
            </w:pPr>
            <w:r>
              <w:rPr>
                <w:rFonts w:ascii="Times New Roman" w:hAnsi="Times New Roman"/>
              </w:rPr>
              <w:t>X</w:t>
            </w:r>
          </w:p>
        </w:tc>
      </w:tr>
      <w:tr>
        <w:tblPrEx>
          <w:tblW w:w="0" w:type="auto"/>
          <w:tblLook w:val="00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E202C9" w:rsidP="00C720BD">
            <w:pPr>
              <w:bidi w:val="0"/>
              <w:suppressOverlap/>
              <w:rPr>
                <w:rFonts w:ascii="Times New Roman" w:hAnsi="Times New Roman"/>
              </w:rPr>
            </w:pPr>
            <w:r>
              <w:rPr>
                <w:rFonts w:ascii="Times New Roman" w:hAnsi="Times New Roman"/>
              </w:rPr>
              <w:t>X</w:t>
            </w:r>
          </w:p>
        </w:tc>
      </w:tr>
      <w:tr>
        <w:tblPrEx>
          <w:tblW w:w="0" w:type="auto"/>
          <w:tblLook w:val="00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E202C9" w:rsidP="00C720BD">
            <w:pPr>
              <w:bidi w:val="0"/>
              <w:suppressOverlap/>
              <w:rPr>
                <w:rFonts w:ascii="Times New Roman" w:hAnsi="Times New Roman"/>
              </w:rPr>
            </w:pPr>
          </w:p>
        </w:tc>
      </w:tr>
      <w:tr>
        <w:tblPrEx>
          <w:tblW w:w="0" w:type="auto"/>
          <w:tblLook w:val="00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E202C9" w:rsidP="00C720BD">
            <w:pPr>
              <w:bidi w:val="0"/>
              <w:suppressOverlap/>
              <w:rPr>
                <w:rFonts w:ascii="Times New Roman" w:hAnsi="Times New Roman"/>
              </w:rPr>
            </w:pPr>
          </w:p>
        </w:tc>
      </w:tr>
      <w:tr>
        <w:tblPrEx>
          <w:tblW w:w="0" w:type="auto"/>
          <w:tblLook w:val="00A0"/>
        </w:tblPrEx>
        <w:tc>
          <w:tcPr>
            <w:tcW w:w="392" w:type="dxa"/>
            <w:tcBorders>
              <w:top w:val="single" w:sz="4" w:space="0" w:color="000000"/>
              <w:left w:val="single" w:sz="4" w:space="0" w:color="000000"/>
              <w:bottom w:val="single" w:sz="4" w:space="0" w:color="000000"/>
              <w:right w:val="single" w:sz="4" w:space="0" w:color="000000"/>
            </w:tcBorders>
            <w:textDirection w:val="lrTb"/>
            <w:vAlign w:val="top"/>
          </w:tcPr>
          <w:p w:rsidR="00E202C9" w:rsidP="00C720BD">
            <w:pPr>
              <w:bidi w:val="0"/>
              <w:suppressOverlap/>
              <w:rPr>
                <w:rFonts w:ascii="Times New Roman" w:hAnsi="Times New Roman"/>
              </w:rPr>
            </w:pPr>
          </w:p>
        </w:tc>
      </w:tr>
    </w:tbl>
    <w:p w:rsidR="00E202C9" w:rsidRPr="00DD4F96" w:rsidP="005164B5">
      <w:pPr>
        <w:bidi w:val="0"/>
        <w:rPr>
          <w:rFonts w:ascii="Times New Roman" w:hAnsi="Times New Roman"/>
        </w:rPr>
      </w:pPr>
      <w:r>
        <w:rPr>
          <w:rFonts w:ascii="Times New Roman" w:hAnsi="Times New Roman"/>
          <w:b/>
          <w:bCs/>
        </w:rPr>
        <w:t xml:space="preserve"> </w:t>
      </w:r>
      <w:r w:rsidRPr="00DD4F96">
        <w:rPr>
          <w:rFonts w:ascii="Times New Roman" w:hAnsi="Times New Roman"/>
        </w:rPr>
        <w:t>zmena sadzby</w:t>
      </w:r>
    </w:p>
    <w:p w:rsidR="00E202C9" w:rsidP="005164B5">
      <w:pPr>
        <w:bidi w:val="0"/>
        <w:rPr>
          <w:rFonts w:ascii="Times New Roman" w:hAnsi="Times New Roman"/>
        </w:rPr>
      </w:pPr>
      <w:r w:rsidRPr="00DD4F96">
        <w:rPr>
          <w:rFonts w:ascii="Times New Roman" w:hAnsi="Times New Roman"/>
        </w:rPr>
        <w:t xml:space="preserve"> zmena v nároku</w:t>
      </w:r>
    </w:p>
    <w:p w:rsidR="00E202C9" w:rsidP="005164B5">
      <w:pPr>
        <w:bidi w:val="0"/>
        <w:rPr>
          <w:rFonts w:ascii="Times New Roman" w:hAnsi="Times New Roman"/>
        </w:rPr>
      </w:pPr>
      <w:r>
        <w:rPr>
          <w:rFonts w:ascii="Times New Roman" w:hAnsi="Times New Roman"/>
        </w:rPr>
        <w:t xml:space="preserve"> nová služba alebo nariadenie (alebo ich zrušenie)</w:t>
      </w:r>
    </w:p>
    <w:p w:rsidR="00E202C9" w:rsidP="005164B5">
      <w:pPr>
        <w:bidi w:val="0"/>
        <w:rPr>
          <w:rFonts w:ascii="Times New Roman" w:hAnsi="Times New Roman"/>
        </w:rPr>
      </w:pPr>
      <w:r>
        <w:rPr>
          <w:rFonts w:ascii="Times New Roman" w:hAnsi="Times New Roman"/>
        </w:rPr>
        <w:t xml:space="preserve"> kombinovaný návrh (zmena sadzieb, zmena vymeriavacích základov a zmena nároku)</w:t>
      </w:r>
    </w:p>
    <w:p w:rsidR="00E202C9" w:rsidP="005164B5">
      <w:pPr>
        <w:bidi w:val="0"/>
        <w:rPr>
          <w:rFonts w:ascii="Times New Roman" w:hAnsi="Times New Roman"/>
        </w:rPr>
      </w:pPr>
      <w:r>
        <w:rPr>
          <w:rFonts w:ascii="Times New Roman" w:hAnsi="Times New Roman"/>
        </w:rPr>
        <w:t xml:space="preserve"> iné </w:t>
      </w:r>
    </w:p>
    <w:p w:rsidR="00E202C9" w:rsidP="005164B5">
      <w:pPr>
        <w:bidi w:val="0"/>
        <w:rPr>
          <w:rFonts w:ascii="Times New Roman" w:hAnsi="Times New Roman"/>
        </w:rPr>
      </w:pPr>
    </w:p>
    <w:p w:rsidR="00E202C9" w:rsidP="005164B5">
      <w:pPr>
        <w:bidi w:val="0"/>
        <w:rPr>
          <w:rFonts w:ascii="Times New Roman" w:hAnsi="Times New Roman"/>
        </w:rPr>
      </w:pPr>
    </w:p>
    <w:p w:rsidR="00E202C9" w:rsidP="005164B5">
      <w:pPr>
        <w:bidi w:val="0"/>
        <w:rPr>
          <w:rFonts w:ascii="Times New Roman" w:hAnsi="Times New Roman"/>
          <w:b/>
          <w:bCs/>
        </w:rPr>
      </w:pPr>
      <w:r w:rsidRPr="004161A1">
        <w:rPr>
          <w:rFonts w:ascii="Times New Roman" w:hAnsi="Times New Roman"/>
          <w:b/>
          <w:bCs/>
        </w:rPr>
        <w:t>2.3.3. Predpoklady vývoja objemu aktivít:</w:t>
      </w:r>
    </w:p>
    <w:p w:rsidR="00E202C9" w:rsidP="005164B5">
      <w:pPr>
        <w:bidi w:val="0"/>
        <w:rPr>
          <w:rFonts w:ascii="Times New Roman" w:hAnsi="Times New Roman"/>
          <w:b/>
          <w:bCs/>
        </w:rPr>
      </w:pPr>
    </w:p>
    <w:p w:rsidR="00E202C9" w:rsidP="005164B5">
      <w:pPr>
        <w:bidi w:val="0"/>
        <w:jc w:val="both"/>
        <w:rPr>
          <w:rFonts w:ascii="Times New Roman" w:hAnsi="Times New Roman"/>
        </w:rPr>
      </w:pPr>
      <w:r>
        <w:rPr>
          <w:rFonts w:ascii="Times New Roman" w:hAnsi="Times New Roman"/>
        </w:rPr>
        <w:t>V</w:t>
      </w:r>
      <w:r w:rsidRPr="00951637">
        <w:rPr>
          <w:rFonts w:ascii="Times New Roman" w:hAnsi="Times New Roman"/>
        </w:rPr>
        <w:t>ýdavk</w:t>
      </w:r>
      <w:r>
        <w:rPr>
          <w:rFonts w:ascii="Times New Roman" w:hAnsi="Times New Roman"/>
        </w:rPr>
        <w:t>y</w:t>
      </w:r>
      <w:r w:rsidRPr="00951637">
        <w:rPr>
          <w:rFonts w:ascii="Times New Roman" w:hAnsi="Times New Roman"/>
        </w:rPr>
        <w:t xml:space="preserve"> súvisiace s implementáciou navrhovaných zmien </w:t>
      </w:r>
      <w:r>
        <w:rPr>
          <w:rFonts w:ascii="Times New Roman" w:hAnsi="Times New Roman"/>
        </w:rPr>
        <w:t xml:space="preserve">budú finančne kryté </w:t>
      </w:r>
      <w:r w:rsidRPr="00951637">
        <w:rPr>
          <w:rFonts w:ascii="Times New Roman" w:hAnsi="Times New Roman"/>
        </w:rPr>
        <w:t>v rámci správneho fondu Sociálnej poisťovne</w:t>
      </w:r>
      <w:r>
        <w:rPr>
          <w:rFonts w:ascii="Times New Roman" w:hAnsi="Times New Roman"/>
        </w:rPr>
        <w:t xml:space="preserve"> bez potreby jeho navýšenia</w:t>
      </w:r>
      <w:r w:rsidRPr="00951637">
        <w:rPr>
          <w:rFonts w:ascii="Times New Roman" w:hAnsi="Times New Roman"/>
        </w:rPr>
        <w:t>.</w:t>
      </w:r>
    </w:p>
    <w:p w:rsidR="00E202C9" w:rsidP="005164B5">
      <w:pPr>
        <w:bidi w:val="0"/>
        <w:rPr>
          <w:rFonts w:ascii="Times New Roman" w:hAnsi="Times New Roman"/>
          <w:b/>
          <w:bCs/>
        </w:rPr>
      </w:pPr>
    </w:p>
    <w:p w:rsidR="00E202C9" w:rsidP="005164B5">
      <w:pPr>
        <w:bidi w:val="0"/>
        <w:rPr>
          <w:rFonts w:ascii="Times New Roman" w:hAnsi="Times New Roman"/>
          <w:b/>
          <w:bCs/>
        </w:rPr>
      </w:pPr>
      <w:r w:rsidRPr="004161A1">
        <w:rPr>
          <w:rFonts w:ascii="Times New Roman" w:hAnsi="Times New Roman"/>
          <w:b/>
          <w:bCs/>
        </w:rPr>
        <w:t>2.3.4. Výpočty vplyvov na verejné financie</w:t>
      </w:r>
    </w:p>
    <w:p w:rsidR="00E202C9" w:rsidP="005164B5">
      <w:pPr>
        <w:autoSpaceDE w:val="0"/>
        <w:autoSpaceDN w:val="0"/>
        <w:bidi w:val="0"/>
        <w:adjustRightInd w:val="0"/>
        <w:jc w:val="both"/>
        <w:rPr>
          <w:rFonts w:ascii="Times New Roman" w:hAnsi="Times New Roman"/>
          <w:szCs w:val="22"/>
        </w:rPr>
      </w:pPr>
    </w:p>
    <w:p w:rsidR="00E202C9" w:rsidP="005164B5">
      <w:pPr>
        <w:autoSpaceDE w:val="0"/>
        <w:autoSpaceDN w:val="0"/>
        <w:bidi w:val="0"/>
        <w:adjustRightInd w:val="0"/>
        <w:jc w:val="both"/>
        <w:rPr>
          <w:rFonts w:ascii="Times New Roman" w:hAnsi="Times New Roman"/>
          <w:szCs w:val="22"/>
        </w:rPr>
      </w:pPr>
      <w:r w:rsidRPr="00AE57C4">
        <w:rPr>
          <w:rFonts w:ascii="Times New Roman" w:hAnsi="Times New Roman"/>
        </w:rPr>
        <w:t xml:space="preserve">Kvantifikácia predpokladá </w:t>
      </w:r>
      <w:r>
        <w:rPr>
          <w:rFonts w:ascii="Times New Roman" w:hAnsi="Times New Roman"/>
        </w:rPr>
        <w:t>negatívny</w:t>
      </w:r>
      <w:r w:rsidRPr="00AE57C4">
        <w:rPr>
          <w:rFonts w:ascii="Times New Roman" w:hAnsi="Times New Roman"/>
        </w:rPr>
        <w:t xml:space="preserve"> vplyv na rozpo</w:t>
      </w:r>
      <w:r>
        <w:rPr>
          <w:rFonts w:ascii="Times New Roman" w:hAnsi="Times New Roman"/>
        </w:rPr>
        <w:t>čet verejnej správy na úrovni   1 044 tis. eur v roku 2014</w:t>
      </w:r>
      <w:r w:rsidRPr="00AE57C4">
        <w:rPr>
          <w:rFonts w:ascii="Times New Roman" w:hAnsi="Times New Roman"/>
        </w:rPr>
        <w:t xml:space="preserve">, </w:t>
      </w:r>
      <w:r>
        <w:rPr>
          <w:rFonts w:ascii="Times New Roman" w:hAnsi="Times New Roman"/>
        </w:rPr>
        <w:t>  800 tis. eur v roku 2015 a   579 tis. eur v roku 2016</w:t>
      </w:r>
      <w:r w:rsidRPr="00AE57C4">
        <w:rPr>
          <w:rFonts w:ascii="Times New Roman" w:hAnsi="Times New Roman"/>
        </w:rPr>
        <w:t xml:space="preserve">. </w:t>
      </w:r>
    </w:p>
    <w:p w:rsidR="00E202C9" w:rsidP="005164B5">
      <w:pPr>
        <w:autoSpaceDE w:val="0"/>
        <w:autoSpaceDN w:val="0"/>
        <w:bidi w:val="0"/>
        <w:adjustRightInd w:val="0"/>
        <w:jc w:val="both"/>
        <w:rPr>
          <w:rFonts w:ascii="Times New Roman" w:hAnsi="Times New Roman"/>
          <w:b/>
          <w:szCs w:val="22"/>
        </w:rPr>
      </w:pPr>
    </w:p>
    <w:p w:rsidR="00E202C9" w:rsidRPr="00904741" w:rsidP="005164B5">
      <w:pPr>
        <w:autoSpaceDE w:val="0"/>
        <w:autoSpaceDN w:val="0"/>
        <w:bidi w:val="0"/>
        <w:adjustRightInd w:val="0"/>
        <w:jc w:val="both"/>
        <w:rPr>
          <w:rFonts w:ascii="Times New Roman" w:hAnsi="Times New Roman"/>
          <w:b/>
          <w:szCs w:val="22"/>
        </w:rPr>
      </w:pPr>
      <w:r w:rsidRPr="00904741">
        <w:rPr>
          <w:rFonts w:ascii="Times New Roman" w:hAnsi="Times New Roman"/>
          <w:b/>
          <w:szCs w:val="22"/>
        </w:rPr>
        <w:t>Kvantifikácia príjmov</w:t>
      </w:r>
    </w:p>
    <w:p w:rsidR="00E202C9" w:rsidP="005164B5">
      <w:pPr>
        <w:bidi w:val="0"/>
        <w:jc w:val="both"/>
        <w:rPr>
          <w:rFonts w:ascii="Times New Roman" w:hAnsi="Times New Roman"/>
          <w:b/>
          <w:color w:val="000000"/>
        </w:rPr>
      </w:pPr>
    </w:p>
    <w:p w:rsidR="00E202C9" w:rsidP="005164B5">
      <w:pPr>
        <w:bidi w:val="0"/>
        <w:jc w:val="both"/>
        <w:rPr>
          <w:rFonts w:ascii="Times New Roman" w:hAnsi="Times New Roman"/>
          <w:b/>
        </w:rPr>
      </w:pPr>
      <w:r w:rsidRPr="00205AF7">
        <w:rPr>
          <w:rFonts w:ascii="Times New Roman" w:hAnsi="Times New Roman"/>
          <w:b/>
        </w:rPr>
        <w:t>C.</w:t>
      </w:r>
      <w:r>
        <w:rPr>
          <w:rFonts w:ascii="Times New Roman" w:hAnsi="Times New Roman"/>
        </w:rPr>
        <w:t xml:space="preserve"> </w:t>
      </w:r>
      <w:r w:rsidRPr="00FD1C04">
        <w:rPr>
          <w:rFonts w:ascii="Times New Roman" w:hAnsi="Times New Roman"/>
        </w:rPr>
        <w:t>Navrhuje sa</w:t>
      </w:r>
      <w:r>
        <w:rPr>
          <w:rFonts w:ascii="Times New Roman" w:hAnsi="Times New Roman"/>
        </w:rPr>
        <w:t xml:space="preserve">, aby </w:t>
      </w:r>
      <w:r w:rsidRPr="00FD1C04">
        <w:rPr>
          <w:rFonts w:ascii="Times New Roman" w:hAnsi="Times New Roman"/>
        </w:rPr>
        <w:t>zamestnávateľ</w:t>
      </w:r>
      <w:r>
        <w:rPr>
          <w:rFonts w:ascii="Times New Roman" w:hAnsi="Times New Roman"/>
        </w:rPr>
        <w:t>ovi nevznikla povinnosť odvádzať</w:t>
      </w:r>
      <w:r w:rsidRPr="00FD1C04">
        <w:rPr>
          <w:rFonts w:ascii="Times New Roman" w:hAnsi="Times New Roman"/>
        </w:rPr>
        <w:t xml:space="preserve">  poistné</w:t>
      </w:r>
      <w:r>
        <w:rPr>
          <w:rFonts w:ascii="Times New Roman" w:hAnsi="Times New Roman"/>
        </w:rPr>
        <w:t xml:space="preserve"> na garančné poistenie za zamestnanca, ktorý je </w:t>
      </w:r>
      <w:r w:rsidRPr="006F19D8">
        <w:rPr>
          <w:rFonts w:ascii="Times New Roman" w:hAnsi="Times New Roman"/>
          <w:b/>
        </w:rPr>
        <w:t>štatutárnym orgánom</w:t>
      </w:r>
      <w:r w:rsidR="00974B60">
        <w:rPr>
          <w:rFonts w:ascii="Times New Roman" w:hAnsi="Times New Roman"/>
          <w:b/>
        </w:rPr>
        <w:t>, ktorý má najmenej 50</w:t>
      </w:r>
      <w:r w:rsidR="00F85B12">
        <w:rPr>
          <w:rFonts w:ascii="Times New Roman" w:hAnsi="Times New Roman"/>
          <w:b/>
        </w:rPr>
        <w:t xml:space="preserve"> </w:t>
      </w:r>
      <w:r w:rsidR="00974B60">
        <w:rPr>
          <w:rFonts w:ascii="Times New Roman" w:hAnsi="Times New Roman"/>
          <w:b/>
        </w:rPr>
        <w:t>% účasť na majetku zamestnávateľa,</w:t>
      </w:r>
      <w:r w:rsidRPr="006F19D8">
        <w:rPr>
          <w:rFonts w:ascii="Times New Roman" w:hAnsi="Times New Roman"/>
          <w:b/>
        </w:rPr>
        <w:t xml:space="preserve"> alebo členom štatutárneho orgánu</w:t>
      </w:r>
      <w:r w:rsidR="00974B60">
        <w:rPr>
          <w:rFonts w:ascii="Times New Roman" w:hAnsi="Times New Roman"/>
          <w:b/>
        </w:rPr>
        <w:t xml:space="preserve">, ktorý </w:t>
      </w:r>
      <w:r>
        <w:rPr>
          <w:rFonts w:ascii="Times New Roman" w:hAnsi="Times New Roman"/>
          <w:b/>
        </w:rPr>
        <w:t>má najmenej 50</w:t>
      </w:r>
      <w:r w:rsidR="00F85B12">
        <w:rPr>
          <w:rFonts w:ascii="Times New Roman" w:hAnsi="Times New Roman"/>
          <w:b/>
        </w:rPr>
        <w:t xml:space="preserve"> </w:t>
      </w:r>
      <w:r>
        <w:rPr>
          <w:rFonts w:ascii="Times New Roman" w:hAnsi="Times New Roman"/>
          <w:b/>
        </w:rPr>
        <w:t>% účasť na majetku zamestnávateľa</w:t>
      </w:r>
      <w:r w:rsidRPr="00FD1C04">
        <w:rPr>
          <w:rFonts w:ascii="Times New Roman" w:hAnsi="Times New Roman"/>
          <w:b/>
        </w:rPr>
        <w:t>.</w:t>
      </w:r>
    </w:p>
    <w:p w:rsidR="00E202C9" w:rsidP="005164B5">
      <w:pPr>
        <w:bidi w:val="0"/>
        <w:jc w:val="both"/>
        <w:rPr>
          <w:rFonts w:ascii="Times New Roman" w:hAnsi="Times New Roman"/>
          <w:b/>
          <w:color w:val="000000"/>
        </w:rPr>
      </w:pPr>
    </w:p>
    <w:p w:rsidR="00E202C9" w:rsidRPr="00817A73" w:rsidP="008F6601">
      <w:pPr>
        <w:autoSpaceDE w:val="0"/>
        <w:autoSpaceDN w:val="0"/>
        <w:bidi w:val="0"/>
        <w:adjustRightInd w:val="0"/>
        <w:jc w:val="both"/>
        <w:rPr>
          <w:rFonts w:ascii="Times New Roman" w:hAnsi="Times New Roman"/>
          <w:szCs w:val="22"/>
        </w:rPr>
      </w:pPr>
      <w:r w:rsidRPr="00817A73">
        <w:rPr>
          <w:rFonts w:ascii="Times New Roman" w:hAnsi="Times New Roman"/>
          <w:szCs w:val="22"/>
        </w:rPr>
        <w:t>V roku</w:t>
      </w:r>
      <w:r>
        <w:rPr>
          <w:rFonts w:ascii="Times New Roman" w:hAnsi="Times New Roman"/>
          <w:szCs w:val="22"/>
        </w:rPr>
        <w:t xml:space="preserve"> 2012 bolo identifikovaných 18 244</w:t>
      </w:r>
      <w:r w:rsidRPr="00817A73">
        <w:rPr>
          <w:rFonts w:ascii="Times New Roman" w:hAnsi="Times New Roman"/>
          <w:szCs w:val="22"/>
        </w:rPr>
        <w:t xml:space="preserve"> takýchto za</w:t>
      </w:r>
      <w:r>
        <w:rPr>
          <w:rFonts w:ascii="Times New Roman" w:hAnsi="Times New Roman"/>
          <w:szCs w:val="22"/>
        </w:rPr>
        <w:t>mestnávateľov (vychádza sa z tzv. jednoosobových s.r.o.), ktorí boli zároveň v pozícii zamestnanca</w:t>
      </w:r>
      <w:r w:rsidRPr="00817A73">
        <w:rPr>
          <w:rFonts w:ascii="Times New Roman" w:hAnsi="Times New Roman"/>
          <w:szCs w:val="22"/>
        </w:rPr>
        <w:t xml:space="preserve">. </w:t>
      </w:r>
      <w:r>
        <w:rPr>
          <w:rFonts w:ascii="Times New Roman" w:hAnsi="Times New Roman"/>
          <w:color w:val="000000"/>
        </w:rPr>
        <w:t>Vymeriavací základ dotknutých osôb bol určený na úrovni 80 % priemerného vymeriavacieho základu na garančné poistenie, t. j.,  v sume 483 eur</w:t>
      </w:r>
      <w:r w:rsidRPr="00205EB2">
        <w:rPr>
          <w:rFonts w:ascii="Times New Roman" w:hAnsi="Times New Roman"/>
          <w:color w:val="000000"/>
        </w:rPr>
        <w:t xml:space="preserve"> </w:t>
      </w:r>
      <w:r>
        <w:rPr>
          <w:rFonts w:ascii="Times New Roman" w:hAnsi="Times New Roman"/>
          <w:color w:val="000000"/>
        </w:rPr>
        <w:t xml:space="preserve">v roku 2014, 494 eur v roku 2015 a 511 eur v roku 2016. Bola použitá sadzba poistného na garančné poistenie vo výške 0,25%. </w:t>
      </w:r>
    </w:p>
    <w:p w:rsidR="00E202C9" w:rsidRPr="008775C6" w:rsidP="005164B5">
      <w:pPr>
        <w:bidi w:val="0"/>
        <w:jc w:val="both"/>
        <w:rPr>
          <w:rFonts w:ascii="Times New Roman" w:hAnsi="Times New Roman"/>
          <w:b/>
          <w:color w:val="000000"/>
        </w:rPr>
      </w:pPr>
    </w:p>
    <w:p w:rsidR="00E202C9" w:rsidRPr="00873BE6" w:rsidP="005164B5">
      <w:pPr>
        <w:bidi w:val="0"/>
        <w:jc w:val="both"/>
        <w:rPr>
          <w:rFonts w:ascii="Times New Roman" w:hAnsi="Times New Roman"/>
          <w:b/>
        </w:rPr>
      </w:pPr>
      <w:r>
        <w:rPr>
          <w:rFonts w:ascii="Times New Roman" w:hAnsi="Times New Roman"/>
          <w:b/>
        </w:rPr>
        <w:t>D</w:t>
      </w:r>
      <w:r w:rsidRPr="00873BE6">
        <w:rPr>
          <w:rFonts w:ascii="Times New Roman" w:hAnsi="Times New Roman"/>
          <w:b/>
        </w:rPr>
        <w:t>. Zánik dobrovoľného poistenia sa navrhuje naviazať na nezaplatenie poistného</w:t>
      </w:r>
      <w:r>
        <w:rPr>
          <w:rFonts w:ascii="Times New Roman" w:hAnsi="Times New Roman"/>
          <w:b/>
        </w:rPr>
        <w:t xml:space="preserve"> </w:t>
      </w:r>
      <w:r>
        <w:rPr>
          <w:rFonts w:ascii="Times New Roman" w:hAnsi="Times New Roman"/>
          <w:b/>
          <w:color w:val="000000"/>
        </w:rPr>
        <w:t>počas dvoch kalendárnych mesiacov nasledujúcich po sebe</w:t>
      </w:r>
      <w:r w:rsidRPr="00873BE6">
        <w:rPr>
          <w:rFonts w:ascii="Times New Roman" w:hAnsi="Times New Roman"/>
          <w:b/>
        </w:rPr>
        <w:t xml:space="preserve">. </w:t>
      </w:r>
    </w:p>
    <w:p w:rsidR="00E202C9" w:rsidP="005164B5">
      <w:pPr>
        <w:autoSpaceDE w:val="0"/>
        <w:autoSpaceDN w:val="0"/>
        <w:bidi w:val="0"/>
        <w:adjustRightInd w:val="0"/>
        <w:jc w:val="both"/>
        <w:rPr>
          <w:rFonts w:ascii="Times New Roman" w:hAnsi="Times New Roman"/>
        </w:rPr>
      </w:pPr>
    </w:p>
    <w:p w:rsidR="00E202C9" w:rsidP="005164B5">
      <w:pPr>
        <w:autoSpaceDE w:val="0"/>
        <w:autoSpaceDN w:val="0"/>
        <w:bidi w:val="0"/>
        <w:adjustRightInd w:val="0"/>
        <w:jc w:val="both"/>
        <w:rPr>
          <w:rFonts w:ascii="Times New Roman" w:hAnsi="Times New Roman"/>
        </w:rPr>
      </w:pPr>
      <w:r>
        <w:rPr>
          <w:rFonts w:ascii="Times New Roman" w:hAnsi="Times New Roman"/>
        </w:rPr>
        <w:t>V roku 2012 bolo celkovo 665 dobrovoľne poistených osôb, ktoré aspoň 1 krát nezaplatili poistné po sebe dva kalendárne mesiace. Uvedené opatrenie nebude mať vplyv na príjmy Sociálnej poisťovne, len na výšku pohľadávok voči dobrovoľne poisteným osobám, to znamená, že sa dosiahne zníženie sumy pohľadávok Sociálnej poisťovne.</w:t>
      </w:r>
    </w:p>
    <w:p w:rsidR="00E202C9" w:rsidP="005164B5">
      <w:pPr>
        <w:bidi w:val="0"/>
        <w:jc w:val="both"/>
        <w:rPr>
          <w:rFonts w:ascii="Times New Roman" w:hAnsi="Times New Roman"/>
          <w:color w:val="000000"/>
        </w:rPr>
      </w:pPr>
    </w:p>
    <w:p w:rsidR="00E202C9" w:rsidRPr="0005312B" w:rsidP="005164B5">
      <w:pPr>
        <w:bidi w:val="0"/>
        <w:jc w:val="both"/>
        <w:rPr>
          <w:rFonts w:ascii="Times New Roman" w:hAnsi="Times New Roman"/>
          <w:b/>
          <w:color w:val="000000"/>
        </w:rPr>
      </w:pPr>
      <w:r>
        <w:rPr>
          <w:rFonts w:ascii="Times New Roman" w:hAnsi="Times New Roman"/>
          <w:b/>
          <w:bCs/>
        </w:rPr>
        <w:t xml:space="preserve">F. Zvýšenie diskontnej úrokovej sadzby využívanej pri povolení splátok dlžných súm. </w:t>
      </w:r>
    </w:p>
    <w:p w:rsidR="00E202C9" w:rsidP="005164B5">
      <w:pPr>
        <w:bidi w:val="0"/>
        <w:jc w:val="both"/>
        <w:rPr>
          <w:rFonts w:ascii="Times New Roman" w:hAnsi="Times New Roman"/>
        </w:rPr>
      </w:pPr>
    </w:p>
    <w:p w:rsidR="00E202C9" w:rsidRPr="00D77A3F" w:rsidP="005164B5">
      <w:pPr>
        <w:bidi w:val="0"/>
        <w:jc w:val="both"/>
        <w:rPr>
          <w:rFonts w:ascii="Times New Roman" w:hAnsi="Times New Roman"/>
        </w:rPr>
      </w:pPr>
      <w:r w:rsidRPr="00D77A3F">
        <w:rPr>
          <w:rFonts w:ascii="Times New Roman" w:hAnsi="Times New Roman"/>
        </w:rPr>
        <w:t>Na základe</w:t>
      </w:r>
      <w:r>
        <w:rPr>
          <w:rFonts w:ascii="Times New Roman" w:hAnsi="Times New Roman"/>
        </w:rPr>
        <w:t xml:space="preserve"> skutočne zaplatených </w:t>
      </w:r>
      <w:r w:rsidRPr="00D77A3F">
        <w:rPr>
          <w:rFonts w:ascii="Times New Roman" w:hAnsi="Times New Roman"/>
        </w:rPr>
        <w:t xml:space="preserve"> </w:t>
      </w:r>
      <w:r>
        <w:rPr>
          <w:rFonts w:ascii="Times New Roman" w:hAnsi="Times New Roman"/>
        </w:rPr>
        <w:t xml:space="preserve">úrokov </w:t>
      </w:r>
      <w:r w:rsidRPr="00D77A3F">
        <w:rPr>
          <w:rFonts w:ascii="Times New Roman" w:hAnsi="Times New Roman"/>
        </w:rPr>
        <w:t xml:space="preserve">vo výške diskontnej úrokovej sadzby platnej ku dňu povolenia splátok za rok 2011 a 2012 sa počíta so zvýšenými príjmami Sociálnej poisťovne na úrovni 76 tis. eur ročne. </w:t>
      </w:r>
    </w:p>
    <w:p w:rsidR="00E202C9" w:rsidP="005164B5">
      <w:pPr>
        <w:autoSpaceDE w:val="0"/>
        <w:autoSpaceDN w:val="0"/>
        <w:bidi w:val="0"/>
        <w:adjustRightInd w:val="0"/>
        <w:jc w:val="both"/>
        <w:rPr>
          <w:rFonts w:ascii="Times New Roman" w:hAnsi="Times New Roman"/>
          <w:b/>
          <w:szCs w:val="22"/>
        </w:rPr>
      </w:pPr>
    </w:p>
    <w:p w:rsidR="00E202C9" w:rsidP="005164B5">
      <w:pPr>
        <w:autoSpaceDE w:val="0"/>
        <w:autoSpaceDN w:val="0"/>
        <w:bidi w:val="0"/>
        <w:adjustRightInd w:val="0"/>
        <w:jc w:val="both"/>
        <w:rPr>
          <w:rFonts w:ascii="Times New Roman" w:hAnsi="Times New Roman"/>
          <w:b/>
          <w:szCs w:val="22"/>
        </w:rPr>
      </w:pPr>
      <w:r w:rsidRPr="00472DEB">
        <w:rPr>
          <w:rFonts w:ascii="Times New Roman" w:hAnsi="Times New Roman"/>
          <w:b/>
          <w:szCs w:val="22"/>
        </w:rPr>
        <w:t>Kvantifikácia výdavkov</w:t>
      </w:r>
    </w:p>
    <w:p w:rsidR="00E202C9" w:rsidP="005164B5">
      <w:pPr>
        <w:autoSpaceDE w:val="0"/>
        <w:autoSpaceDN w:val="0"/>
        <w:bidi w:val="0"/>
        <w:adjustRightInd w:val="0"/>
        <w:jc w:val="both"/>
        <w:rPr>
          <w:rFonts w:ascii="Times New Roman" w:hAnsi="Times New Roman"/>
          <w:b/>
          <w:szCs w:val="22"/>
        </w:rPr>
      </w:pPr>
    </w:p>
    <w:p w:rsidR="00E202C9" w:rsidP="005164B5">
      <w:pPr>
        <w:autoSpaceDE w:val="0"/>
        <w:autoSpaceDN w:val="0"/>
        <w:bidi w:val="0"/>
        <w:adjustRightInd w:val="0"/>
        <w:jc w:val="both"/>
        <w:rPr>
          <w:rFonts w:ascii="Times New Roman" w:hAnsi="Times New Roman"/>
          <w:b/>
          <w:bCs/>
          <w:color w:val="000000"/>
        </w:rPr>
      </w:pPr>
      <w:r>
        <w:rPr>
          <w:rFonts w:ascii="Times New Roman" w:hAnsi="Times New Roman"/>
          <w:b/>
          <w:bCs/>
          <w:color w:val="000000"/>
        </w:rPr>
        <w:t>A. Rozšírenie použitia osobného mzdového bodu v hodnote 0,67 pri určovaní invalidného dôchodku na vybraných poistencov vo veku do 20 rokov.</w:t>
      </w:r>
    </w:p>
    <w:p w:rsidR="00E202C9" w:rsidP="005164B5">
      <w:pPr>
        <w:autoSpaceDE w:val="0"/>
        <w:autoSpaceDN w:val="0"/>
        <w:bidi w:val="0"/>
        <w:adjustRightInd w:val="0"/>
        <w:jc w:val="both"/>
        <w:rPr>
          <w:rFonts w:ascii="Times New Roman" w:hAnsi="Times New Roman"/>
          <w:color w:val="000000"/>
        </w:rPr>
      </w:pPr>
    </w:p>
    <w:p w:rsidR="00E202C9" w:rsidRPr="00BC33D1" w:rsidP="005164B5">
      <w:pPr>
        <w:autoSpaceDE w:val="0"/>
        <w:autoSpaceDN w:val="0"/>
        <w:bidi w:val="0"/>
        <w:adjustRightInd w:val="0"/>
        <w:jc w:val="both"/>
        <w:rPr>
          <w:rFonts w:ascii="Times New Roman" w:hAnsi="Times New Roman"/>
          <w:color w:val="000000"/>
        </w:rPr>
      </w:pPr>
      <w:r w:rsidRPr="004B2597">
        <w:rPr>
          <w:rFonts w:ascii="Times New Roman" w:hAnsi="Times New Roman"/>
          <w:color w:val="000000"/>
        </w:rPr>
        <w:t>Kvantifikácia vychádza z predpokladu, že ročne v</w:t>
      </w:r>
      <w:r>
        <w:rPr>
          <w:rFonts w:ascii="Times New Roman" w:hAnsi="Times New Roman"/>
          <w:color w:val="000000"/>
        </w:rPr>
        <w:t xml:space="preserve"> </w:t>
      </w:r>
      <w:r w:rsidRPr="004B2597">
        <w:rPr>
          <w:rFonts w:ascii="Times New Roman" w:hAnsi="Times New Roman"/>
          <w:color w:val="000000"/>
        </w:rPr>
        <w:t>kategórii poistenc</w:t>
      </w:r>
      <w:r>
        <w:rPr>
          <w:rFonts w:ascii="Times New Roman" w:hAnsi="Times New Roman"/>
          <w:color w:val="000000"/>
        </w:rPr>
        <w:t xml:space="preserve">ov do 20 rokov bude priznaných </w:t>
      </w:r>
      <w:r w:rsidRPr="004B2597">
        <w:rPr>
          <w:rFonts w:ascii="Times New Roman" w:hAnsi="Times New Roman"/>
          <w:color w:val="000000"/>
        </w:rPr>
        <w:t>60 invalidných dôchodkov,</w:t>
      </w:r>
      <w:r>
        <w:rPr>
          <w:rFonts w:ascii="Times New Roman" w:hAnsi="Times New Roman"/>
          <w:color w:val="000000"/>
        </w:rPr>
        <w:t xml:space="preserve"> ktorí získali krátke </w:t>
      </w:r>
      <w:r w:rsidRPr="004B2597">
        <w:rPr>
          <w:rFonts w:ascii="Times New Roman" w:hAnsi="Times New Roman"/>
          <w:color w:val="000000"/>
        </w:rPr>
        <w:t>obdobie dôchodkového poistenia</w:t>
      </w:r>
      <w:r>
        <w:rPr>
          <w:rFonts w:ascii="Times New Roman" w:hAnsi="Times New Roman"/>
          <w:color w:val="000000"/>
        </w:rPr>
        <w:t xml:space="preserve"> (menej ako 1 rok)</w:t>
      </w:r>
      <w:r w:rsidRPr="004B2597">
        <w:rPr>
          <w:rFonts w:ascii="Times New Roman" w:hAnsi="Times New Roman"/>
          <w:color w:val="000000"/>
        </w:rPr>
        <w:t xml:space="preserve"> len formou dobrovoľného dôchodkového poistenia alebo dodatočným doplatením</w:t>
      </w:r>
      <w:r>
        <w:rPr>
          <w:rFonts w:ascii="Times New Roman" w:hAnsi="Times New Roman"/>
          <w:color w:val="000000"/>
        </w:rPr>
        <w:t xml:space="preserve"> poistného. V</w:t>
      </w:r>
      <w:r w:rsidRPr="004B2597">
        <w:rPr>
          <w:rFonts w:ascii="Times New Roman" w:hAnsi="Times New Roman"/>
          <w:color w:val="000000"/>
        </w:rPr>
        <w:t>plyvom novej zmeny dôjde k</w:t>
      </w:r>
      <w:r>
        <w:rPr>
          <w:rFonts w:ascii="Times New Roman" w:hAnsi="Times New Roman"/>
          <w:color w:val="000000"/>
        </w:rPr>
        <w:t> </w:t>
      </w:r>
      <w:r w:rsidRPr="004B2597">
        <w:rPr>
          <w:rFonts w:ascii="Times New Roman" w:hAnsi="Times New Roman"/>
          <w:color w:val="000000"/>
        </w:rPr>
        <w:t>zn</w:t>
      </w:r>
      <w:r>
        <w:rPr>
          <w:rFonts w:ascii="Times New Roman" w:hAnsi="Times New Roman"/>
          <w:color w:val="000000"/>
        </w:rPr>
        <w:t>íženiu výšky novopriznaného invalidného dôchodku v dotknutej kategórii mesačne o 415</w:t>
      </w:r>
      <w:r w:rsidRPr="004B2597">
        <w:rPr>
          <w:rFonts w:ascii="Times New Roman" w:hAnsi="Times New Roman"/>
          <w:color w:val="000000"/>
        </w:rPr>
        <w:t xml:space="preserve">,8 eura. </w:t>
      </w:r>
      <w:r>
        <w:rPr>
          <w:rFonts w:ascii="Times New Roman" w:hAnsi="Times New Roman"/>
          <w:color w:val="000000"/>
        </w:rPr>
        <w:t xml:space="preserve">Valorizácia nie je zohľadnená v zmene výdavkov na nasledujúce roky - vzhľadom na skutočnosť, že sa má v rokoch 2014 - 2017 realizovať prostredníctvom pevnej sumy. </w:t>
      </w:r>
    </w:p>
    <w:p w:rsidR="00E202C9" w:rsidP="005164B5">
      <w:pPr>
        <w:autoSpaceDE w:val="0"/>
        <w:autoSpaceDN w:val="0"/>
        <w:bidi w:val="0"/>
        <w:adjustRightInd w:val="0"/>
        <w:jc w:val="both"/>
        <w:rPr>
          <w:rFonts w:ascii="Times New Roman" w:hAnsi="Times New Roman"/>
          <w:b/>
          <w:szCs w:val="22"/>
        </w:rPr>
      </w:pPr>
    </w:p>
    <w:p w:rsidR="00E202C9" w:rsidRPr="00BF78E2" w:rsidP="005164B5">
      <w:pPr>
        <w:bidi w:val="0"/>
        <w:jc w:val="both"/>
        <w:rPr>
          <w:rFonts w:ascii="Times New Roman" w:hAnsi="Times New Roman"/>
          <w:b/>
          <w:color w:val="000000"/>
        </w:rPr>
      </w:pPr>
      <w:r>
        <w:rPr>
          <w:rFonts w:ascii="Times New Roman" w:hAnsi="Times New Roman"/>
          <w:b/>
          <w:color w:val="000000"/>
        </w:rPr>
        <w:t xml:space="preserve">B. </w:t>
      </w:r>
      <w:r w:rsidRPr="00BF78E2">
        <w:rPr>
          <w:rFonts w:ascii="Times New Roman" w:hAnsi="Times New Roman"/>
          <w:b/>
          <w:bCs/>
        </w:rPr>
        <w:t>Skráteni</w:t>
      </w:r>
      <w:r>
        <w:rPr>
          <w:rFonts w:ascii="Times New Roman" w:hAnsi="Times New Roman"/>
          <w:b/>
          <w:bCs/>
        </w:rPr>
        <w:t>e</w:t>
      </w:r>
      <w:r w:rsidRPr="00BF78E2">
        <w:rPr>
          <w:rFonts w:ascii="Times New Roman" w:hAnsi="Times New Roman"/>
          <w:b/>
          <w:bCs/>
        </w:rPr>
        <w:t xml:space="preserve"> obdobia za ktoré sa skúma nezaplatenie poistného na sociálne poistenie ako jednej z podmienok nároku na </w:t>
      </w:r>
      <w:r>
        <w:rPr>
          <w:rFonts w:ascii="Times New Roman" w:hAnsi="Times New Roman"/>
          <w:b/>
          <w:bCs/>
        </w:rPr>
        <w:t xml:space="preserve">nemocenské </w:t>
      </w:r>
      <w:r w:rsidRPr="00BF78E2">
        <w:rPr>
          <w:rFonts w:ascii="Times New Roman" w:hAnsi="Times New Roman"/>
          <w:b/>
          <w:bCs/>
        </w:rPr>
        <w:t>dávky</w:t>
      </w:r>
      <w:r>
        <w:rPr>
          <w:rFonts w:ascii="Times New Roman" w:hAnsi="Times New Roman"/>
          <w:b/>
          <w:bCs/>
        </w:rPr>
        <w:t xml:space="preserve"> pre samostatne zárobkovo činné osoby a dobrovoľne poistné osoby</w:t>
      </w:r>
      <w:r w:rsidRPr="00BF78E2">
        <w:rPr>
          <w:rFonts w:ascii="Times New Roman" w:hAnsi="Times New Roman"/>
          <w:b/>
          <w:color w:val="000000"/>
        </w:rPr>
        <w:t>.</w:t>
      </w:r>
    </w:p>
    <w:p w:rsidR="00E202C9" w:rsidP="005164B5">
      <w:pPr>
        <w:bidi w:val="0"/>
        <w:jc w:val="both"/>
        <w:rPr>
          <w:rFonts w:ascii="Times New Roman" w:hAnsi="Times New Roman"/>
          <w:color w:val="000000"/>
        </w:rPr>
      </w:pPr>
    </w:p>
    <w:p w:rsidR="00E202C9" w:rsidP="005164B5">
      <w:pPr>
        <w:bidi w:val="0"/>
        <w:jc w:val="both"/>
        <w:rPr>
          <w:rFonts w:ascii="Times New Roman" w:hAnsi="Times New Roman"/>
          <w:color w:val="000000"/>
        </w:rPr>
      </w:pPr>
      <w:r>
        <w:rPr>
          <w:rFonts w:ascii="Times New Roman" w:hAnsi="Times New Roman"/>
          <w:color w:val="000000"/>
        </w:rPr>
        <w:t>Na základe kvalifikovaného odhadu z celkového počtu 24 662 zamietnutých rozhodnutí na nemocenské dávky v roku 2012, sa vychádza z predpokladu, že dôjde k nárastu počtu prípadov nemocenských dávok u samostatne zárobkovo činných osôb a dobrovoľne poistených osôb o 592 ročne s priemernou mesačnou výškou nemocenskej dávky 245,5 eura.</w:t>
      </w:r>
    </w:p>
    <w:p w:rsidR="00E202C9" w:rsidP="005164B5">
      <w:pPr>
        <w:bidi w:val="0"/>
        <w:jc w:val="both"/>
        <w:rPr>
          <w:rFonts w:ascii="Times New Roman" w:hAnsi="Times New Roman"/>
          <w:color w:val="000000"/>
        </w:rPr>
      </w:pPr>
    </w:p>
    <w:p w:rsidR="00E202C9" w:rsidP="00890D11">
      <w:pPr>
        <w:bidi w:val="0"/>
        <w:jc w:val="both"/>
        <w:rPr>
          <w:rFonts w:ascii="Times New Roman" w:hAnsi="Times New Roman"/>
          <w:b/>
        </w:rPr>
      </w:pPr>
      <w:r w:rsidRPr="00205AF7">
        <w:rPr>
          <w:rFonts w:ascii="Times New Roman" w:hAnsi="Times New Roman"/>
          <w:b/>
        </w:rPr>
        <w:t>C.</w:t>
      </w:r>
      <w:r>
        <w:rPr>
          <w:rFonts w:ascii="Times New Roman" w:hAnsi="Times New Roman"/>
        </w:rPr>
        <w:t xml:space="preserve"> </w:t>
      </w:r>
      <w:r w:rsidRPr="00FD1C04">
        <w:rPr>
          <w:rFonts w:ascii="Times New Roman" w:hAnsi="Times New Roman"/>
        </w:rPr>
        <w:t>Navrhuje sa</w:t>
      </w:r>
      <w:r>
        <w:rPr>
          <w:rFonts w:ascii="Times New Roman" w:hAnsi="Times New Roman"/>
        </w:rPr>
        <w:t xml:space="preserve">, aby </w:t>
      </w:r>
      <w:r w:rsidRPr="00FD1C04">
        <w:rPr>
          <w:rFonts w:ascii="Times New Roman" w:hAnsi="Times New Roman"/>
        </w:rPr>
        <w:t>zamestnávateľ</w:t>
      </w:r>
      <w:r>
        <w:rPr>
          <w:rFonts w:ascii="Times New Roman" w:hAnsi="Times New Roman"/>
        </w:rPr>
        <w:t>ovi nevznikla povinnosť odvádzať</w:t>
      </w:r>
      <w:r w:rsidRPr="00FD1C04">
        <w:rPr>
          <w:rFonts w:ascii="Times New Roman" w:hAnsi="Times New Roman"/>
        </w:rPr>
        <w:t xml:space="preserve">  poistné</w:t>
      </w:r>
      <w:r>
        <w:rPr>
          <w:rFonts w:ascii="Times New Roman" w:hAnsi="Times New Roman"/>
        </w:rPr>
        <w:t xml:space="preserve"> na garančné poistenie za zamestnanca, ktorý je </w:t>
      </w:r>
      <w:r w:rsidRPr="006F19D8">
        <w:rPr>
          <w:rFonts w:ascii="Times New Roman" w:hAnsi="Times New Roman"/>
          <w:b/>
        </w:rPr>
        <w:t>štatutárnym orgánom</w:t>
      </w:r>
      <w:r w:rsidR="00974B60">
        <w:rPr>
          <w:rFonts w:ascii="Times New Roman" w:hAnsi="Times New Roman"/>
          <w:b/>
        </w:rPr>
        <w:t>, ktorý má najmenej 50% účasť na majetku zamestnávateľa,</w:t>
      </w:r>
      <w:r w:rsidRPr="006F19D8">
        <w:rPr>
          <w:rFonts w:ascii="Times New Roman" w:hAnsi="Times New Roman"/>
          <w:b/>
        </w:rPr>
        <w:t xml:space="preserve"> alebo členom štatutárneho orgánu</w:t>
      </w:r>
      <w:r w:rsidR="00974B60">
        <w:rPr>
          <w:rFonts w:ascii="Times New Roman" w:hAnsi="Times New Roman"/>
          <w:b/>
        </w:rPr>
        <w:t>, ktorý</w:t>
      </w:r>
      <w:r w:rsidRPr="006F19D8">
        <w:rPr>
          <w:rFonts w:ascii="Times New Roman" w:hAnsi="Times New Roman"/>
          <w:b/>
        </w:rPr>
        <w:t xml:space="preserve"> </w:t>
      </w:r>
      <w:r>
        <w:rPr>
          <w:rFonts w:ascii="Times New Roman" w:hAnsi="Times New Roman"/>
          <w:b/>
        </w:rPr>
        <w:t>má najmenej 50% účasť na majetku zamestnávateľa</w:t>
      </w:r>
      <w:r w:rsidRPr="00FD1C04">
        <w:rPr>
          <w:rFonts w:ascii="Times New Roman" w:hAnsi="Times New Roman"/>
          <w:b/>
        </w:rPr>
        <w:t>.</w:t>
      </w:r>
      <w:r w:rsidRPr="008F6601">
        <w:rPr>
          <w:rFonts w:ascii="Times New Roman" w:hAnsi="Times New Roman"/>
        </w:rPr>
        <w:t xml:space="preserve"> Zároveň uvedeným zamestnancom </w:t>
      </w:r>
      <w:r w:rsidRPr="008F6601">
        <w:rPr>
          <w:rFonts w:ascii="Times New Roman" w:hAnsi="Times New Roman"/>
          <w:b/>
        </w:rPr>
        <w:t>nebude zohľadnené obdobie dôchodkového poistenia</w:t>
      </w:r>
      <w:r w:rsidRPr="008F6601">
        <w:rPr>
          <w:rFonts w:ascii="Times New Roman" w:hAnsi="Times New Roman"/>
        </w:rPr>
        <w:t>, za ktoré jeho zamestnávateľ neodviedol poistné.</w:t>
      </w:r>
      <w:r>
        <w:rPr>
          <w:rFonts w:ascii="Times New Roman" w:hAnsi="Times New Roman"/>
          <w:b/>
        </w:rPr>
        <w:t xml:space="preserve"> </w:t>
      </w:r>
    </w:p>
    <w:p w:rsidR="00E202C9" w:rsidRPr="006708DF" w:rsidP="00890D11">
      <w:pPr>
        <w:bidi w:val="0"/>
        <w:jc w:val="both"/>
        <w:rPr>
          <w:rFonts w:ascii="Times New Roman" w:hAnsi="Times New Roman"/>
          <w:b/>
          <w:color w:val="000000"/>
        </w:rPr>
      </w:pPr>
    </w:p>
    <w:p w:rsidR="00E202C9" w:rsidP="005164B5">
      <w:pPr>
        <w:bidi w:val="0"/>
        <w:jc w:val="both"/>
        <w:rPr>
          <w:rFonts w:ascii="Times New Roman" w:hAnsi="Times New Roman"/>
          <w:szCs w:val="22"/>
        </w:rPr>
      </w:pPr>
      <w:r>
        <w:rPr>
          <w:rFonts w:ascii="Times New Roman" w:hAnsi="Times New Roman"/>
          <w:szCs w:val="22"/>
        </w:rPr>
        <w:t xml:space="preserve">Na základe </w:t>
      </w:r>
      <w:r w:rsidRPr="00817A73">
        <w:rPr>
          <w:rFonts w:ascii="Times New Roman" w:hAnsi="Times New Roman"/>
          <w:szCs w:val="22"/>
        </w:rPr>
        <w:t>štatistík</w:t>
      </w:r>
      <w:r>
        <w:rPr>
          <w:rFonts w:ascii="Times New Roman" w:hAnsi="Times New Roman"/>
          <w:szCs w:val="22"/>
        </w:rPr>
        <w:t xml:space="preserve"> o počte novopriznaných </w:t>
      </w:r>
      <w:r w:rsidRPr="00817A73">
        <w:rPr>
          <w:rFonts w:ascii="Times New Roman" w:hAnsi="Times New Roman"/>
          <w:szCs w:val="22"/>
        </w:rPr>
        <w:t>dávok</w:t>
      </w:r>
      <w:r>
        <w:rPr>
          <w:rFonts w:ascii="Times New Roman" w:hAnsi="Times New Roman"/>
          <w:szCs w:val="22"/>
        </w:rPr>
        <w:t xml:space="preserve"> garančného poistenia</w:t>
      </w:r>
      <w:r w:rsidRPr="00817A73">
        <w:rPr>
          <w:rFonts w:ascii="Times New Roman" w:hAnsi="Times New Roman"/>
          <w:szCs w:val="22"/>
        </w:rPr>
        <w:t xml:space="preserve"> bola urč</w:t>
      </w:r>
      <w:r>
        <w:rPr>
          <w:rFonts w:ascii="Times New Roman" w:hAnsi="Times New Roman"/>
          <w:szCs w:val="22"/>
        </w:rPr>
        <w:t>ená váha pre dotknuté osoby 1,1 %, čo by znamenalo približne 4 nevyplatené  prípady mesačne</w:t>
      </w:r>
      <w:r w:rsidRPr="00817A73">
        <w:rPr>
          <w:rFonts w:ascii="Times New Roman" w:hAnsi="Times New Roman"/>
          <w:szCs w:val="22"/>
        </w:rPr>
        <w:t>.</w:t>
      </w:r>
      <w:r>
        <w:rPr>
          <w:rFonts w:ascii="Times New Roman" w:hAnsi="Times New Roman"/>
          <w:szCs w:val="22"/>
        </w:rPr>
        <w:t xml:space="preserve"> Ďalej sa vychádza z východísk rozpočtu Sociálnej poisťovne, pričom sa predpokladá priemerný mesačný počet vyplatených dávok garančného poistenia 390 s priemernou sumou 1 323 eur v roku 2014, počet 367 prípadov s priemernou sumou 1 361 eur v roku 2015 a 346 prípadov s priemernou sumou 1 415 eur v roku 2016.</w:t>
      </w:r>
    </w:p>
    <w:p w:rsidR="00E202C9" w:rsidP="005164B5">
      <w:pPr>
        <w:bidi w:val="0"/>
        <w:jc w:val="both"/>
        <w:rPr>
          <w:rFonts w:ascii="Times New Roman" w:hAnsi="Times New Roman"/>
          <w:b/>
          <w:color w:val="000000"/>
        </w:rPr>
      </w:pPr>
      <w:r>
        <w:rPr>
          <w:rFonts w:ascii="Times New Roman" w:hAnsi="Times New Roman"/>
          <w:szCs w:val="22"/>
        </w:rPr>
        <w:t xml:space="preserve">Pri dôchodkových dávkach sa počíta s postupným vplyvom, ktorý bude v krátkodobom horizonte zanedbateľný. </w:t>
      </w:r>
      <w:r>
        <w:rPr>
          <w:rFonts w:ascii="Times New Roman" w:hAnsi="Times New Roman"/>
          <w:color w:val="000000"/>
        </w:rPr>
        <w:t xml:space="preserve"> </w:t>
      </w:r>
    </w:p>
    <w:p w:rsidR="00E202C9" w:rsidP="005164B5">
      <w:pPr>
        <w:autoSpaceDE w:val="0"/>
        <w:autoSpaceDN w:val="0"/>
        <w:bidi w:val="0"/>
        <w:adjustRightInd w:val="0"/>
        <w:jc w:val="both"/>
        <w:rPr>
          <w:rFonts w:ascii="Times New Roman" w:hAnsi="Times New Roman"/>
          <w:b/>
          <w:szCs w:val="22"/>
        </w:rPr>
      </w:pPr>
    </w:p>
    <w:p w:rsidR="00E202C9" w:rsidP="005164B5">
      <w:pPr>
        <w:bidi w:val="0"/>
        <w:jc w:val="both"/>
        <w:rPr>
          <w:rFonts w:ascii="Times New Roman" w:hAnsi="Times New Roman"/>
          <w:color w:val="000000"/>
        </w:rPr>
      </w:pPr>
    </w:p>
    <w:p w:rsidR="00E202C9" w:rsidP="005164B5">
      <w:pPr>
        <w:bidi w:val="0"/>
        <w:jc w:val="both"/>
        <w:rPr>
          <w:rFonts w:ascii="Times New Roman" w:hAnsi="Times New Roman"/>
        </w:rPr>
      </w:pPr>
      <w:r>
        <w:rPr>
          <w:rFonts w:ascii="Times New Roman" w:hAnsi="Times New Roman"/>
          <w:b/>
        </w:rPr>
        <w:t>E</w:t>
      </w:r>
      <w:r w:rsidRPr="0005312B">
        <w:rPr>
          <w:rFonts w:ascii="Times New Roman" w:hAnsi="Times New Roman"/>
          <w:b/>
        </w:rPr>
        <w:t>.</w:t>
      </w:r>
      <w:r>
        <w:rPr>
          <w:rFonts w:ascii="Times New Roman" w:hAnsi="Times New Roman"/>
        </w:rPr>
        <w:t xml:space="preserve"> </w:t>
      </w:r>
      <w:r w:rsidRPr="0005312B">
        <w:rPr>
          <w:rFonts w:ascii="Times New Roman" w:hAnsi="Times New Roman"/>
        </w:rPr>
        <w:t>N</w:t>
      </w:r>
      <w:r>
        <w:rPr>
          <w:rFonts w:ascii="Times New Roman" w:hAnsi="Times New Roman"/>
        </w:rPr>
        <w:t xml:space="preserve">eprihliadanie na príjem zo zárobkovej činnosti </w:t>
      </w:r>
      <w:r w:rsidRPr="0005312B">
        <w:rPr>
          <w:rFonts w:ascii="Times New Roman" w:hAnsi="Times New Roman"/>
          <w:b/>
        </w:rPr>
        <w:t xml:space="preserve">pri určovaní denného vymeriavacieho základu na </w:t>
      </w:r>
      <w:r>
        <w:rPr>
          <w:rFonts w:ascii="Times New Roman" w:hAnsi="Times New Roman"/>
          <w:b/>
          <w:bCs/>
        </w:rPr>
        <w:t xml:space="preserve">výpočet sumy </w:t>
      </w:r>
      <w:r w:rsidRPr="0005312B">
        <w:rPr>
          <w:rFonts w:ascii="Times New Roman" w:hAnsi="Times New Roman"/>
          <w:b/>
          <w:bCs/>
        </w:rPr>
        <w:t>dávky v</w:t>
      </w:r>
      <w:r>
        <w:rPr>
          <w:rFonts w:ascii="Times New Roman" w:hAnsi="Times New Roman"/>
          <w:b/>
          <w:bCs/>
        </w:rPr>
        <w:t> </w:t>
      </w:r>
      <w:r w:rsidRPr="0005312B">
        <w:rPr>
          <w:rFonts w:ascii="Times New Roman" w:hAnsi="Times New Roman"/>
          <w:b/>
          <w:bCs/>
        </w:rPr>
        <w:t>nezamestnanosti</w:t>
      </w:r>
      <w:r>
        <w:rPr>
          <w:rFonts w:ascii="Times New Roman" w:hAnsi="Times New Roman"/>
          <w:b/>
          <w:bCs/>
        </w:rPr>
        <w:t xml:space="preserve"> </w:t>
      </w:r>
      <w:r w:rsidRPr="0005312B">
        <w:rPr>
          <w:rFonts w:ascii="Times New Roman" w:hAnsi="Times New Roman"/>
          <w:bCs/>
        </w:rPr>
        <w:t>u </w:t>
      </w:r>
      <w:r w:rsidRPr="0005312B">
        <w:rPr>
          <w:rFonts w:ascii="Times New Roman" w:hAnsi="Times New Roman"/>
        </w:rPr>
        <w:t>osôb</w:t>
      </w:r>
      <w:r>
        <w:rPr>
          <w:rFonts w:ascii="Times New Roman" w:hAnsi="Times New Roman"/>
        </w:rPr>
        <w:t>, ktoré ho dosiahli</w:t>
      </w:r>
      <w:r w:rsidRPr="0005312B">
        <w:rPr>
          <w:rFonts w:ascii="Times New Roman" w:hAnsi="Times New Roman"/>
        </w:rPr>
        <w:t xml:space="preserve"> v období čerpania materskej dovolenky alebo rodičovskej dovolenky</w:t>
      </w:r>
      <w:r>
        <w:rPr>
          <w:rFonts w:ascii="Times New Roman" w:hAnsi="Times New Roman"/>
        </w:rPr>
        <w:t>.</w:t>
      </w:r>
    </w:p>
    <w:p w:rsidR="00E202C9" w:rsidP="005164B5">
      <w:pPr>
        <w:bidi w:val="0"/>
        <w:jc w:val="both"/>
        <w:rPr>
          <w:rFonts w:ascii="Times New Roman" w:hAnsi="Times New Roman"/>
        </w:rPr>
      </w:pPr>
    </w:p>
    <w:p w:rsidR="00E202C9" w:rsidP="00D6716E">
      <w:pPr>
        <w:bidi w:val="0"/>
        <w:jc w:val="both"/>
        <w:rPr>
          <w:rFonts w:ascii="Times New Roman" w:hAnsi="Times New Roman"/>
        </w:rPr>
      </w:pPr>
      <w:r>
        <w:rPr>
          <w:rFonts w:ascii="Times New Roman" w:hAnsi="Times New Roman"/>
        </w:rPr>
        <w:t>Predpokladá sa, že zmena sa dotkne   844 prípadov dávky v nezamestnanosti v roku 2014,   851 prípadov v roku 2015 a   859 prípadov v roku 2016  s priemerným obdobím poberania 5,5 mesiaca. Očakáva sa pozitívny rozdiel na priemernom mesačnom vymeriavacom základe vo výške 394 eur v roku 2014, 407 eur v roku 2015 a 424 eur v roku 2016 v súlade s</w:t>
      </w:r>
      <w:r w:rsidRPr="00A443F2">
        <w:rPr>
          <w:rFonts w:ascii="Times New Roman" w:hAnsi="Times New Roman"/>
          <w:color w:val="000000"/>
        </w:rPr>
        <w:t xml:space="preserve"> </w:t>
      </w:r>
      <w:r w:rsidRPr="00205EB2">
        <w:rPr>
          <w:rFonts w:ascii="Times New Roman" w:hAnsi="Times New Roman"/>
          <w:color w:val="000000"/>
        </w:rPr>
        <w:t>makro</w:t>
      </w:r>
      <w:r>
        <w:rPr>
          <w:rFonts w:ascii="Times New Roman" w:hAnsi="Times New Roman"/>
          <w:color w:val="000000"/>
        </w:rPr>
        <w:t>ekonomickou prognózou</w:t>
      </w:r>
      <w:r w:rsidRPr="00205EB2">
        <w:rPr>
          <w:rFonts w:ascii="Times New Roman" w:hAnsi="Times New Roman"/>
          <w:color w:val="000000"/>
        </w:rPr>
        <w:t xml:space="preserve"> IFP</w:t>
      </w:r>
      <w:r>
        <w:rPr>
          <w:rFonts w:ascii="Times New Roman" w:hAnsi="Times New Roman"/>
          <w:color w:val="000000"/>
        </w:rPr>
        <w:t xml:space="preserve"> (jún 2013)</w:t>
      </w:r>
      <w:r>
        <w:rPr>
          <w:rFonts w:ascii="Times New Roman" w:hAnsi="Times New Roman"/>
        </w:rPr>
        <w:t xml:space="preserve">. </w:t>
      </w:r>
    </w:p>
    <w:p w:rsidR="00E202C9" w:rsidP="005164B5">
      <w:pPr>
        <w:autoSpaceDE w:val="0"/>
        <w:autoSpaceDN w:val="0"/>
        <w:bidi w:val="0"/>
        <w:adjustRightInd w:val="0"/>
        <w:spacing w:after="120"/>
        <w:jc w:val="both"/>
        <w:rPr>
          <w:rFonts w:ascii="Times New Roman" w:hAnsi="Times New Roman"/>
          <w:b/>
        </w:rPr>
      </w:pPr>
    </w:p>
    <w:p w:rsidR="00E202C9" w:rsidRPr="00CF55EC" w:rsidP="005164B5">
      <w:pPr>
        <w:autoSpaceDE w:val="0"/>
        <w:autoSpaceDN w:val="0"/>
        <w:bidi w:val="0"/>
        <w:adjustRightInd w:val="0"/>
        <w:jc w:val="both"/>
        <w:rPr>
          <w:rFonts w:ascii="Times New Roman" w:hAnsi="Times New Roman"/>
          <w:b/>
          <w:szCs w:val="22"/>
        </w:rPr>
      </w:pPr>
      <w:r w:rsidRPr="00CF55EC">
        <w:rPr>
          <w:rFonts w:ascii="Times New Roman" w:hAnsi="Times New Roman"/>
          <w:b/>
          <w:szCs w:val="22"/>
        </w:rPr>
        <w:t>Vplyv na jednotlivé kategórie príjmov a výdavkov rozpočtu verejnej správy</w:t>
      </w:r>
    </w:p>
    <w:p w:rsidR="00E202C9" w:rsidP="005164B5">
      <w:pPr>
        <w:autoSpaceDE w:val="0"/>
        <w:autoSpaceDN w:val="0"/>
        <w:bidi w:val="0"/>
        <w:adjustRightInd w:val="0"/>
        <w:jc w:val="both"/>
        <w:rPr>
          <w:rFonts w:ascii="Times New Roman" w:hAnsi="Times New Roman"/>
          <w:b/>
          <w:szCs w:val="22"/>
          <w:highlight w:val="yellow"/>
        </w:rPr>
      </w:pPr>
    </w:p>
    <w:p w:rsidR="00E202C9" w:rsidP="005164B5">
      <w:pPr>
        <w:autoSpaceDE w:val="0"/>
        <w:autoSpaceDN w:val="0"/>
        <w:bidi w:val="0"/>
        <w:adjustRightInd w:val="0"/>
        <w:jc w:val="both"/>
        <w:rPr>
          <w:rFonts w:ascii="Times New Roman" w:hAnsi="Times New Roman"/>
          <w:szCs w:val="22"/>
        </w:rPr>
      </w:pPr>
      <w:r>
        <w:rPr>
          <w:rFonts w:ascii="Times New Roman" w:hAnsi="Times New Roman"/>
          <w:i/>
          <w:szCs w:val="22"/>
        </w:rPr>
        <w:t>Príjmy</w:t>
      </w:r>
      <w:r w:rsidRPr="00CF55EC">
        <w:rPr>
          <w:rFonts w:ascii="Times New Roman" w:hAnsi="Times New Roman"/>
          <w:i/>
          <w:szCs w:val="22"/>
        </w:rPr>
        <w:t xml:space="preserve"> Sociálnej poisťovne</w:t>
      </w:r>
      <w:r w:rsidRPr="00CF55EC">
        <w:rPr>
          <w:rFonts w:ascii="Times New Roman" w:hAnsi="Times New Roman"/>
          <w:szCs w:val="22"/>
        </w:rPr>
        <w:t xml:space="preserve"> – </w:t>
      </w:r>
      <w:r w:rsidRPr="00707B09">
        <w:rPr>
          <w:rFonts w:ascii="Times New Roman" w:hAnsi="Times New Roman"/>
          <w:szCs w:val="22"/>
        </w:rPr>
        <w:t xml:space="preserve">celkovo sa predpokladá </w:t>
      </w:r>
      <w:r>
        <w:rPr>
          <w:rFonts w:ascii="Times New Roman" w:hAnsi="Times New Roman"/>
          <w:szCs w:val="22"/>
        </w:rPr>
        <w:t>pokles</w:t>
      </w:r>
      <w:r w:rsidRPr="00707B09">
        <w:rPr>
          <w:rFonts w:ascii="Times New Roman" w:hAnsi="Times New Roman"/>
          <w:szCs w:val="22"/>
        </w:rPr>
        <w:t xml:space="preserve"> príjmov Sociálnej poisťovne z</w:t>
      </w:r>
      <w:r>
        <w:rPr>
          <w:rFonts w:ascii="Times New Roman" w:hAnsi="Times New Roman"/>
          <w:szCs w:val="22"/>
        </w:rPr>
        <w:t> </w:t>
      </w:r>
      <w:r w:rsidRPr="00707B09">
        <w:rPr>
          <w:rFonts w:ascii="Times New Roman" w:hAnsi="Times New Roman"/>
          <w:szCs w:val="22"/>
        </w:rPr>
        <w:t>dôvodu</w:t>
      </w:r>
      <w:r>
        <w:rPr>
          <w:rFonts w:ascii="Times New Roman" w:hAnsi="Times New Roman"/>
          <w:szCs w:val="22"/>
        </w:rPr>
        <w:t xml:space="preserve"> zníženia odvodovej povinnosti u zamestnávateľa za zamestnanca, ktorý je v pozícií štatutárneho orgánu</w:t>
      </w:r>
      <w:r w:rsidR="00974B60">
        <w:rPr>
          <w:rFonts w:ascii="Times New Roman" w:hAnsi="Times New Roman"/>
          <w:szCs w:val="22"/>
        </w:rPr>
        <w:t>, ktorý má najmenej 50 % účasť na majetku zamestnávateľa,</w:t>
      </w:r>
      <w:r>
        <w:rPr>
          <w:rFonts w:ascii="Times New Roman" w:hAnsi="Times New Roman"/>
          <w:szCs w:val="22"/>
        </w:rPr>
        <w:t xml:space="preserve"> al</w:t>
      </w:r>
      <w:r w:rsidR="00974B60">
        <w:rPr>
          <w:rFonts w:ascii="Times New Roman" w:hAnsi="Times New Roman"/>
          <w:szCs w:val="22"/>
        </w:rPr>
        <w:t xml:space="preserve">ebo člena štatutárneho orgánu, ktorý </w:t>
      </w:r>
      <w:r>
        <w:rPr>
          <w:rFonts w:ascii="Times New Roman" w:hAnsi="Times New Roman"/>
          <w:szCs w:val="22"/>
        </w:rPr>
        <w:t xml:space="preserve">má najmenej 50 % účasť na majetku zamestnávateľa. </w:t>
      </w:r>
    </w:p>
    <w:p w:rsidR="00B82C9B" w:rsidP="005164B5">
      <w:pPr>
        <w:autoSpaceDE w:val="0"/>
        <w:autoSpaceDN w:val="0"/>
        <w:bidi w:val="0"/>
        <w:adjustRightInd w:val="0"/>
        <w:jc w:val="both"/>
        <w:rPr>
          <w:rFonts w:ascii="Times New Roman" w:hAnsi="Times New Roman"/>
          <w:szCs w:val="22"/>
        </w:rPr>
      </w:pPr>
    </w:p>
    <w:p w:rsidR="00E202C9" w:rsidP="005164B5">
      <w:pPr>
        <w:bidi w:val="0"/>
        <w:jc w:val="right"/>
        <w:rPr>
          <w:rFonts w:ascii="Times New Roman" w:hAnsi="Times New Roman"/>
          <w:sz w:val="20"/>
          <w:szCs w:val="20"/>
        </w:rPr>
      </w:pPr>
      <w:r>
        <w:rPr>
          <w:rFonts w:ascii="Times New Roman" w:hAnsi="Times New Roman"/>
          <w:sz w:val="20"/>
          <w:szCs w:val="20"/>
        </w:rPr>
        <w:t>Tabuľka č. 3</w:t>
      </w:r>
    </w:p>
    <w:tbl>
      <w:tblPr>
        <w:tblStyle w:val="TableNormal"/>
        <w:tblW w:w="9375" w:type="dxa"/>
        <w:tblInd w:w="55" w:type="dxa"/>
        <w:tblCellMar>
          <w:left w:w="70" w:type="dxa"/>
          <w:right w:w="70" w:type="dxa"/>
        </w:tblCellMar>
      </w:tblPr>
      <w:tblGrid>
        <w:gridCol w:w="960"/>
        <w:gridCol w:w="3500"/>
        <w:gridCol w:w="946"/>
        <w:gridCol w:w="1358"/>
        <w:gridCol w:w="1351"/>
        <w:gridCol w:w="1260"/>
      </w:tblGrid>
      <w:tr>
        <w:tblPrEx>
          <w:tblW w:w="9375" w:type="dxa"/>
          <w:tblInd w:w="55" w:type="dxa"/>
          <w:tblCellMar>
            <w:left w:w="70" w:type="dxa"/>
            <w:right w:w="70" w:type="dxa"/>
          </w:tblCellMar>
        </w:tblPrEx>
        <w:trPr>
          <w:trHeight w:val="315"/>
        </w:trPr>
        <w:tc>
          <w:tcPr>
            <w:tcW w:w="960" w:type="dxa"/>
            <w:tcBorders>
              <w:top w:val="single" w:sz="4" w:space="0" w:color="auto"/>
              <w:left w:val="single" w:sz="4" w:space="0" w:color="auto"/>
              <w:bottom w:val="nil"/>
              <w:right w:val="nil"/>
            </w:tcBorders>
            <w:shd w:val="clear" w:color="auto" w:fill="000000"/>
            <w:noWrap/>
            <w:textDirection w:val="lrTb"/>
            <w:vAlign w:val="bottom"/>
          </w:tcPr>
          <w:p w:rsidR="00E202C9">
            <w:pPr>
              <w:bidi w:val="0"/>
              <w:rPr>
                <w:rFonts w:ascii="Times New Roman" w:hAnsi="Times New Roman"/>
                <w:b/>
                <w:bCs/>
                <w:color w:val="FFFFFF"/>
              </w:rPr>
            </w:pPr>
            <w:r>
              <w:rPr>
                <w:rFonts w:ascii="Times New Roman" w:hAnsi="Times New Roman"/>
                <w:b/>
                <w:bCs/>
                <w:color w:val="FFFFFF"/>
              </w:rPr>
              <w:t> </w:t>
            </w:r>
          </w:p>
        </w:tc>
        <w:tc>
          <w:tcPr>
            <w:tcW w:w="3500" w:type="dxa"/>
            <w:vMerge w:val="restart"/>
            <w:tcBorders>
              <w:top w:val="single" w:sz="4" w:space="0" w:color="auto"/>
              <w:left w:val="nil"/>
              <w:bottom w:val="single" w:sz="4" w:space="0" w:color="000000"/>
              <w:right w:val="nil"/>
            </w:tcBorders>
            <w:shd w:val="clear" w:color="auto" w:fill="000000"/>
            <w:textDirection w:val="lrTb"/>
            <w:vAlign w:val="bottom"/>
          </w:tcPr>
          <w:p w:rsidR="00E202C9">
            <w:pPr>
              <w:bidi w:val="0"/>
              <w:rPr>
                <w:rFonts w:ascii="Times New Roman" w:hAnsi="Times New Roman"/>
                <w:b/>
                <w:bCs/>
                <w:color w:val="FFFFFF"/>
                <w:u w:val="single"/>
              </w:rPr>
            </w:pPr>
            <w:r>
              <w:rPr>
                <w:rFonts w:ascii="Times New Roman" w:hAnsi="Times New Roman"/>
                <w:b/>
                <w:bCs/>
                <w:color w:val="FFFFFF"/>
                <w:sz w:val="22"/>
                <w:szCs w:val="22"/>
                <w:u w:val="single"/>
              </w:rPr>
              <w:t>Rozpočet Sociálnej poisťovne - príjmy (v eur)</w:t>
            </w:r>
          </w:p>
        </w:tc>
        <w:tc>
          <w:tcPr>
            <w:tcW w:w="4915" w:type="dxa"/>
            <w:gridSpan w:val="4"/>
            <w:tcBorders>
              <w:top w:val="single" w:sz="4" w:space="0" w:color="auto"/>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rPr>
              <w:t>Vplyv na rozpočet Sociálnej poisťovne (cash=ESA95)</w:t>
            </w:r>
          </w:p>
        </w:tc>
      </w:tr>
      <w:tr>
        <w:tblPrEx>
          <w:tblW w:w="9375" w:type="dxa"/>
          <w:tblInd w:w="55" w:type="dxa"/>
          <w:tblCellMar>
            <w:left w:w="70" w:type="dxa"/>
            <w:right w:w="70" w:type="dxa"/>
          </w:tblCellMar>
        </w:tblPrEx>
        <w:trPr>
          <w:trHeight w:val="315"/>
        </w:trPr>
        <w:tc>
          <w:tcPr>
            <w:tcW w:w="960" w:type="dxa"/>
            <w:tcBorders>
              <w:top w:val="nil"/>
              <w:left w:val="single" w:sz="4" w:space="0" w:color="auto"/>
              <w:bottom w:val="nil"/>
              <w:right w:val="nil"/>
            </w:tcBorders>
            <w:shd w:val="clear" w:color="auto" w:fill="000000"/>
            <w:noWrap/>
            <w:textDirection w:val="lrTb"/>
            <w:vAlign w:val="bottom"/>
          </w:tcPr>
          <w:p w:rsidR="00E202C9">
            <w:pPr>
              <w:bidi w:val="0"/>
              <w:rPr>
                <w:rFonts w:ascii="Times New Roman" w:hAnsi="Times New Roman"/>
                <w:b/>
                <w:bCs/>
                <w:color w:val="FFFFFF"/>
              </w:rPr>
            </w:pPr>
            <w:r>
              <w:rPr>
                <w:rFonts w:ascii="Times New Roman" w:hAnsi="Times New Roman"/>
                <w:b/>
                <w:bCs/>
                <w:color w:val="FFFFFF"/>
              </w:rPr>
              <w:t> </w:t>
            </w:r>
          </w:p>
        </w:tc>
        <w:tc>
          <w:tcPr>
            <w:tcW w:w="3500" w:type="dxa"/>
            <w:vMerge/>
            <w:tcBorders>
              <w:top w:val="single" w:sz="4" w:space="0" w:color="auto"/>
              <w:left w:val="nil"/>
              <w:bottom w:val="single" w:sz="4" w:space="0" w:color="000000"/>
              <w:right w:val="nil"/>
            </w:tcBorders>
            <w:textDirection w:val="lrTb"/>
            <w:vAlign w:val="center"/>
          </w:tcPr>
          <w:p w:rsidR="00E202C9">
            <w:pPr>
              <w:bidi w:val="0"/>
              <w:rPr>
                <w:rFonts w:ascii="Times New Roman" w:hAnsi="Times New Roman"/>
                <w:b/>
                <w:bCs/>
                <w:color w:val="FFFFFF"/>
                <w:u w:val="single"/>
              </w:rPr>
            </w:pPr>
          </w:p>
        </w:tc>
        <w:tc>
          <w:tcPr>
            <w:tcW w:w="946"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2013</w:t>
            </w:r>
          </w:p>
        </w:tc>
        <w:tc>
          <w:tcPr>
            <w:tcW w:w="1358"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2014</w:t>
            </w:r>
          </w:p>
        </w:tc>
        <w:tc>
          <w:tcPr>
            <w:tcW w:w="1351"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2015</w:t>
            </w:r>
          </w:p>
        </w:tc>
        <w:tc>
          <w:tcPr>
            <w:tcW w:w="1260"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2016</w:t>
            </w:r>
          </w:p>
        </w:tc>
      </w:tr>
      <w:tr>
        <w:tblPrEx>
          <w:tblW w:w="9375" w:type="dxa"/>
          <w:tblInd w:w="55" w:type="dxa"/>
          <w:tblCellMar>
            <w:left w:w="70" w:type="dxa"/>
            <w:right w:w="70" w:type="dxa"/>
          </w:tblCellMar>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E202C9">
            <w:pPr>
              <w:bidi w:val="0"/>
              <w:rPr>
                <w:rFonts w:ascii="Times New Roman" w:hAnsi="Times New Roman"/>
                <w:b/>
                <w:bCs/>
                <w:color w:val="000000"/>
                <w:sz w:val="20"/>
                <w:szCs w:val="20"/>
              </w:rPr>
            </w:pPr>
            <w:r>
              <w:rPr>
                <w:rFonts w:ascii="Times New Roman" w:hAnsi="Times New Roman"/>
                <w:b/>
                <w:bCs/>
                <w:color w:val="000000"/>
                <w:sz w:val="20"/>
                <w:szCs w:val="20"/>
              </w:rPr>
              <w:t>Daňové príjmy</w:t>
            </w:r>
          </w:p>
        </w:tc>
        <w:tc>
          <w:tcPr>
            <w:tcW w:w="946"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1358"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18"/>
                <w:szCs w:val="18"/>
              </w:rPr>
            </w:pPr>
            <w:r>
              <w:rPr>
                <w:rFonts w:ascii="Times New Roman" w:hAnsi="Times New Roman"/>
                <w:b/>
                <w:bCs/>
                <w:color w:val="000000"/>
                <w:sz w:val="18"/>
                <w:szCs w:val="18"/>
              </w:rPr>
              <w:t>-210 577</w:t>
            </w:r>
          </w:p>
        </w:tc>
        <w:tc>
          <w:tcPr>
            <w:tcW w:w="1351"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18"/>
                <w:szCs w:val="18"/>
              </w:rPr>
            </w:pPr>
            <w:r>
              <w:rPr>
                <w:rFonts w:ascii="Times New Roman" w:hAnsi="Times New Roman"/>
                <w:b/>
                <w:bCs/>
                <w:color w:val="000000"/>
                <w:sz w:val="18"/>
                <w:szCs w:val="18"/>
              </w:rPr>
              <w:t>-221 180</w:t>
            </w:r>
          </w:p>
        </w:tc>
        <w:tc>
          <w:tcPr>
            <w:tcW w:w="1260"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18"/>
                <w:szCs w:val="18"/>
              </w:rPr>
            </w:pPr>
            <w:r>
              <w:rPr>
                <w:rFonts w:ascii="Times New Roman" w:hAnsi="Times New Roman"/>
                <w:b/>
                <w:bCs/>
                <w:color w:val="000000"/>
                <w:sz w:val="18"/>
                <w:szCs w:val="18"/>
              </w:rPr>
              <w:t>-233 364</w:t>
            </w:r>
          </w:p>
        </w:tc>
      </w:tr>
      <w:tr>
        <w:tblPrEx>
          <w:tblW w:w="9375" w:type="dxa"/>
          <w:tblInd w:w="55" w:type="dxa"/>
          <w:tblCellMar>
            <w:left w:w="70" w:type="dxa"/>
            <w:right w:w="70" w:type="dxa"/>
          </w:tblCellMar>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150</w:t>
            </w:r>
          </w:p>
        </w:tc>
        <w:tc>
          <w:tcPr>
            <w:tcW w:w="3500" w:type="dxa"/>
            <w:tcBorders>
              <w:top w:val="nil"/>
              <w:left w:val="nil"/>
              <w:bottom w:val="single" w:sz="4" w:space="0" w:color="auto"/>
              <w:right w:val="single" w:sz="4" w:space="0" w:color="auto"/>
            </w:tcBorders>
            <w:noWrap/>
            <w:textDirection w:val="lrTb"/>
            <w:vAlign w:val="bottom"/>
          </w:tcPr>
          <w:p w:rsidR="00E202C9">
            <w:pPr>
              <w:bidi w:val="0"/>
              <w:rPr>
                <w:rFonts w:ascii="Times New Roman" w:hAnsi="Times New Roman"/>
                <w:i/>
                <w:iCs/>
                <w:color w:val="000000"/>
                <w:sz w:val="20"/>
                <w:szCs w:val="20"/>
              </w:rPr>
            </w:pPr>
            <w:r>
              <w:rPr>
                <w:rFonts w:ascii="Times New Roman" w:hAnsi="Times New Roman"/>
                <w:i/>
                <w:iCs/>
                <w:color w:val="000000"/>
                <w:sz w:val="20"/>
                <w:szCs w:val="20"/>
              </w:rPr>
              <w:t>Poistné</w:t>
            </w:r>
          </w:p>
        </w:tc>
        <w:tc>
          <w:tcPr>
            <w:tcW w:w="946"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358"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18"/>
                <w:szCs w:val="18"/>
              </w:rPr>
            </w:pPr>
            <w:r>
              <w:rPr>
                <w:rFonts w:ascii="Times New Roman" w:hAnsi="Times New Roman"/>
                <w:i/>
                <w:iCs/>
                <w:color w:val="000000"/>
                <w:sz w:val="18"/>
                <w:szCs w:val="18"/>
              </w:rPr>
              <w:t>-210 577</w:t>
            </w:r>
          </w:p>
        </w:tc>
        <w:tc>
          <w:tcPr>
            <w:tcW w:w="1351"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18"/>
                <w:szCs w:val="18"/>
              </w:rPr>
            </w:pPr>
            <w:r>
              <w:rPr>
                <w:rFonts w:ascii="Times New Roman" w:hAnsi="Times New Roman"/>
                <w:i/>
                <w:iCs/>
                <w:color w:val="000000"/>
                <w:sz w:val="18"/>
                <w:szCs w:val="18"/>
              </w:rPr>
              <w:t>-221 180</w:t>
            </w:r>
          </w:p>
        </w:tc>
        <w:tc>
          <w:tcPr>
            <w:tcW w:w="126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18"/>
                <w:szCs w:val="18"/>
              </w:rPr>
            </w:pPr>
            <w:r>
              <w:rPr>
                <w:rFonts w:ascii="Times New Roman" w:hAnsi="Times New Roman"/>
                <w:i/>
                <w:iCs/>
                <w:color w:val="000000"/>
                <w:sz w:val="18"/>
                <w:szCs w:val="18"/>
              </w:rPr>
              <w:t>-233 364</w:t>
            </w:r>
          </w:p>
        </w:tc>
      </w:tr>
      <w:tr>
        <w:tblPrEx>
          <w:tblW w:w="9375" w:type="dxa"/>
          <w:tblInd w:w="55" w:type="dxa"/>
          <w:tblCellMar>
            <w:left w:w="70" w:type="dxa"/>
            <w:right w:w="70" w:type="dxa"/>
          </w:tblCellMar>
        </w:tblPrEx>
        <w:trPr>
          <w:trHeight w:val="510"/>
        </w:trPr>
        <w:tc>
          <w:tcPr>
            <w:tcW w:w="960" w:type="dxa"/>
            <w:tcBorders>
              <w:top w:val="nil"/>
              <w:left w:val="single" w:sz="4" w:space="0" w:color="auto"/>
              <w:bottom w:val="single" w:sz="4" w:space="0" w:color="auto"/>
              <w:right w:val="single" w:sz="4" w:space="0" w:color="auto"/>
            </w:tcBorders>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151-153, 155-158</w:t>
            </w:r>
          </w:p>
        </w:tc>
        <w:tc>
          <w:tcPr>
            <w:tcW w:w="3500" w:type="dxa"/>
            <w:tcBorders>
              <w:top w:val="nil"/>
              <w:left w:val="nil"/>
              <w:bottom w:val="single" w:sz="4" w:space="0" w:color="auto"/>
              <w:right w:val="single" w:sz="4" w:space="0" w:color="auto"/>
            </w:tcBorders>
            <w:noWrap/>
            <w:textDirection w:val="lrTb"/>
            <w:vAlign w:val="center"/>
          </w:tcPr>
          <w:p w:rsidR="00E202C9">
            <w:pPr>
              <w:bidi w:val="0"/>
              <w:rPr>
                <w:rFonts w:ascii="Times New Roman" w:hAnsi="Times New Roman"/>
                <w:color w:val="000000"/>
                <w:sz w:val="20"/>
                <w:szCs w:val="20"/>
              </w:rPr>
            </w:pPr>
            <w:r>
              <w:rPr>
                <w:rFonts w:ascii="Times New Roman" w:hAnsi="Times New Roman"/>
                <w:color w:val="000000"/>
                <w:sz w:val="20"/>
                <w:szCs w:val="20"/>
              </w:rPr>
              <w:t>Sociálne poistenie</w:t>
            </w:r>
          </w:p>
        </w:tc>
        <w:tc>
          <w:tcPr>
            <w:tcW w:w="946"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358"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18"/>
                <w:szCs w:val="18"/>
              </w:rPr>
            </w:pPr>
            <w:r>
              <w:rPr>
                <w:rFonts w:ascii="Times New Roman" w:hAnsi="Times New Roman"/>
                <w:color w:val="000000"/>
                <w:sz w:val="18"/>
                <w:szCs w:val="18"/>
              </w:rPr>
              <w:t>-210 577</w:t>
            </w:r>
          </w:p>
        </w:tc>
        <w:tc>
          <w:tcPr>
            <w:tcW w:w="1351"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18"/>
                <w:szCs w:val="18"/>
              </w:rPr>
            </w:pPr>
            <w:r>
              <w:rPr>
                <w:rFonts w:ascii="Times New Roman" w:hAnsi="Times New Roman"/>
                <w:color w:val="000000"/>
                <w:sz w:val="18"/>
                <w:szCs w:val="18"/>
              </w:rPr>
              <w:t>-221 180</w:t>
            </w:r>
          </w:p>
        </w:tc>
        <w:tc>
          <w:tcPr>
            <w:tcW w:w="1260" w:type="dxa"/>
            <w:tcBorders>
              <w:top w:val="nil"/>
              <w:left w:val="nil"/>
              <w:bottom w:val="single" w:sz="4" w:space="0" w:color="auto"/>
              <w:right w:val="single" w:sz="4" w:space="0" w:color="auto"/>
            </w:tcBorders>
            <w:noWrap/>
            <w:textDirection w:val="lrTb"/>
            <w:vAlign w:val="center"/>
          </w:tcPr>
          <w:p w:rsidR="00E202C9">
            <w:pPr>
              <w:bidi w:val="0"/>
              <w:jc w:val="right"/>
              <w:rPr>
                <w:rFonts w:ascii="Times New Roman" w:hAnsi="Times New Roman"/>
                <w:color w:val="000000"/>
                <w:sz w:val="18"/>
                <w:szCs w:val="18"/>
              </w:rPr>
            </w:pPr>
            <w:r>
              <w:rPr>
                <w:rFonts w:ascii="Times New Roman" w:hAnsi="Times New Roman"/>
                <w:color w:val="000000"/>
                <w:sz w:val="18"/>
                <w:szCs w:val="18"/>
              </w:rPr>
              <w:t>-233 364</w:t>
            </w:r>
          </w:p>
        </w:tc>
      </w:tr>
    </w:tbl>
    <w:p w:rsidR="00E202C9" w:rsidP="00432368">
      <w:pPr>
        <w:bidi w:val="0"/>
        <w:rPr>
          <w:rFonts w:ascii="Times New Roman" w:hAnsi="Times New Roman"/>
          <w:sz w:val="20"/>
          <w:szCs w:val="20"/>
        </w:rPr>
      </w:pPr>
    </w:p>
    <w:p w:rsidR="00E202C9" w:rsidP="005164B5">
      <w:pPr>
        <w:bidi w:val="0"/>
        <w:rPr>
          <w:rFonts w:ascii="Times New Roman" w:hAnsi="Times New Roman"/>
          <w:sz w:val="20"/>
          <w:szCs w:val="20"/>
        </w:rPr>
      </w:pPr>
    </w:p>
    <w:p w:rsidR="00E202C9" w:rsidP="005164B5">
      <w:pPr>
        <w:bidi w:val="0"/>
        <w:jc w:val="right"/>
        <w:rPr>
          <w:rFonts w:ascii="Times New Roman" w:hAnsi="Times New Roman"/>
          <w:sz w:val="20"/>
          <w:szCs w:val="20"/>
        </w:rPr>
      </w:pPr>
      <w:r>
        <w:rPr>
          <w:rFonts w:ascii="Times New Roman" w:hAnsi="Times New Roman"/>
          <w:sz w:val="20"/>
          <w:szCs w:val="20"/>
        </w:rPr>
        <w:t>Tabuľka č. 4</w:t>
      </w:r>
    </w:p>
    <w:tbl>
      <w:tblPr>
        <w:tblStyle w:val="TableNormal"/>
        <w:tblW w:w="9375" w:type="dxa"/>
        <w:tblInd w:w="55" w:type="dxa"/>
        <w:tblCellMar>
          <w:left w:w="70" w:type="dxa"/>
          <w:right w:w="70" w:type="dxa"/>
        </w:tblCellMar>
      </w:tblPr>
      <w:tblGrid>
        <w:gridCol w:w="960"/>
        <w:gridCol w:w="3500"/>
        <w:gridCol w:w="946"/>
        <w:gridCol w:w="1358"/>
        <w:gridCol w:w="1358"/>
        <w:gridCol w:w="1253"/>
      </w:tblGrid>
      <w:tr>
        <w:tblPrEx>
          <w:tblW w:w="9375" w:type="dxa"/>
          <w:tblInd w:w="55" w:type="dxa"/>
          <w:tblCellMar>
            <w:left w:w="70" w:type="dxa"/>
            <w:right w:w="70" w:type="dxa"/>
          </w:tblCellMar>
        </w:tblPrEx>
        <w:trPr>
          <w:trHeight w:val="315"/>
        </w:trPr>
        <w:tc>
          <w:tcPr>
            <w:tcW w:w="960" w:type="dxa"/>
            <w:tcBorders>
              <w:top w:val="single" w:sz="4" w:space="0" w:color="auto"/>
              <w:left w:val="single" w:sz="4" w:space="0" w:color="auto"/>
              <w:bottom w:val="nil"/>
              <w:right w:val="nil"/>
            </w:tcBorders>
            <w:shd w:val="clear" w:color="auto" w:fill="000000"/>
            <w:noWrap/>
            <w:textDirection w:val="lrTb"/>
            <w:vAlign w:val="bottom"/>
          </w:tcPr>
          <w:p w:rsidR="00E202C9">
            <w:pPr>
              <w:bidi w:val="0"/>
              <w:rPr>
                <w:rFonts w:ascii="Times New Roman" w:hAnsi="Times New Roman"/>
                <w:b/>
                <w:bCs/>
                <w:color w:val="FFFFFF"/>
              </w:rPr>
            </w:pPr>
            <w:r>
              <w:rPr>
                <w:rFonts w:ascii="Times New Roman" w:hAnsi="Times New Roman"/>
                <w:b/>
                <w:bCs/>
                <w:color w:val="FFFFFF"/>
                <w:sz w:val="22"/>
                <w:szCs w:val="22"/>
              </w:rPr>
              <w:t> </w:t>
            </w:r>
          </w:p>
        </w:tc>
        <w:tc>
          <w:tcPr>
            <w:tcW w:w="3500" w:type="dxa"/>
            <w:vMerge w:val="restart"/>
            <w:tcBorders>
              <w:top w:val="single" w:sz="4" w:space="0" w:color="auto"/>
              <w:left w:val="nil"/>
              <w:bottom w:val="single" w:sz="4" w:space="0" w:color="000000"/>
              <w:right w:val="nil"/>
            </w:tcBorders>
            <w:shd w:val="clear" w:color="auto" w:fill="000000"/>
            <w:textDirection w:val="lrTb"/>
            <w:vAlign w:val="bottom"/>
          </w:tcPr>
          <w:p w:rsidR="00E202C9">
            <w:pPr>
              <w:bidi w:val="0"/>
              <w:rPr>
                <w:rFonts w:ascii="Times New Roman" w:hAnsi="Times New Roman"/>
                <w:b/>
                <w:bCs/>
                <w:color w:val="FFFFFF"/>
                <w:u w:val="single"/>
              </w:rPr>
            </w:pPr>
            <w:r>
              <w:rPr>
                <w:rFonts w:ascii="Times New Roman" w:hAnsi="Times New Roman"/>
                <w:b/>
                <w:bCs/>
                <w:color w:val="FFFFFF"/>
                <w:sz w:val="22"/>
                <w:szCs w:val="22"/>
                <w:u w:val="single"/>
              </w:rPr>
              <w:t>Rozpočet verejnej správy - príjmy (v eur)</w:t>
            </w:r>
          </w:p>
        </w:tc>
        <w:tc>
          <w:tcPr>
            <w:tcW w:w="4915" w:type="dxa"/>
            <w:gridSpan w:val="4"/>
            <w:tcBorders>
              <w:top w:val="single" w:sz="4" w:space="0" w:color="auto"/>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Vplyv na rozpočet verejnej správy (cash=ESA95)</w:t>
            </w:r>
          </w:p>
        </w:tc>
      </w:tr>
      <w:tr>
        <w:tblPrEx>
          <w:tblW w:w="9375" w:type="dxa"/>
          <w:tblInd w:w="55" w:type="dxa"/>
          <w:tblCellMar>
            <w:left w:w="70" w:type="dxa"/>
            <w:right w:w="70" w:type="dxa"/>
          </w:tblCellMar>
        </w:tblPrEx>
        <w:trPr>
          <w:trHeight w:val="315"/>
        </w:trPr>
        <w:tc>
          <w:tcPr>
            <w:tcW w:w="960" w:type="dxa"/>
            <w:tcBorders>
              <w:top w:val="nil"/>
              <w:left w:val="single" w:sz="4" w:space="0" w:color="auto"/>
              <w:bottom w:val="nil"/>
              <w:right w:val="nil"/>
            </w:tcBorders>
            <w:shd w:val="clear" w:color="auto" w:fill="000000"/>
            <w:noWrap/>
            <w:textDirection w:val="lrTb"/>
            <w:vAlign w:val="bottom"/>
          </w:tcPr>
          <w:p w:rsidR="00E202C9">
            <w:pPr>
              <w:bidi w:val="0"/>
              <w:rPr>
                <w:rFonts w:ascii="Times New Roman" w:hAnsi="Times New Roman"/>
                <w:b/>
                <w:bCs/>
                <w:color w:val="FFFFFF"/>
              </w:rPr>
            </w:pPr>
            <w:r>
              <w:rPr>
                <w:rFonts w:ascii="Times New Roman" w:hAnsi="Times New Roman"/>
                <w:b/>
                <w:bCs/>
                <w:color w:val="FFFFFF"/>
                <w:sz w:val="22"/>
                <w:szCs w:val="22"/>
              </w:rPr>
              <w:t> </w:t>
            </w:r>
          </w:p>
        </w:tc>
        <w:tc>
          <w:tcPr>
            <w:tcW w:w="3500" w:type="dxa"/>
            <w:vMerge/>
            <w:tcBorders>
              <w:top w:val="single" w:sz="4" w:space="0" w:color="auto"/>
              <w:left w:val="nil"/>
              <w:bottom w:val="single" w:sz="4" w:space="0" w:color="000000"/>
              <w:right w:val="nil"/>
            </w:tcBorders>
            <w:textDirection w:val="lrTb"/>
            <w:vAlign w:val="center"/>
          </w:tcPr>
          <w:p w:rsidR="00E202C9">
            <w:pPr>
              <w:bidi w:val="0"/>
              <w:rPr>
                <w:rFonts w:ascii="Times New Roman" w:hAnsi="Times New Roman"/>
                <w:b/>
                <w:bCs/>
                <w:color w:val="FFFFFF"/>
                <w:u w:val="single"/>
              </w:rPr>
            </w:pPr>
          </w:p>
        </w:tc>
        <w:tc>
          <w:tcPr>
            <w:tcW w:w="946"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2013</w:t>
            </w:r>
          </w:p>
        </w:tc>
        <w:tc>
          <w:tcPr>
            <w:tcW w:w="1358"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2014</w:t>
            </w:r>
          </w:p>
        </w:tc>
        <w:tc>
          <w:tcPr>
            <w:tcW w:w="1358"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2015</w:t>
            </w:r>
          </w:p>
        </w:tc>
        <w:tc>
          <w:tcPr>
            <w:tcW w:w="1253"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2016</w:t>
            </w:r>
          </w:p>
        </w:tc>
      </w:tr>
      <w:tr>
        <w:tblPrEx>
          <w:tblW w:w="9375" w:type="dxa"/>
          <w:tblInd w:w="55" w:type="dxa"/>
          <w:tblCellMar>
            <w:left w:w="70" w:type="dxa"/>
            <w:right w:w="70" w:type="dxa"/>
          </w:tblCellMar>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100</w:t>
            </w:r>
          </w:p>
        </w:tc>
        <w:tc>
          <w:tcPr>
            <w:tcW w:w="3500" w:type="dxa"/>
            <w:tcBorders>
              <w:top w:val="nil"/>
              <w:left w:val="nil"/>
              <w:bottom w:val="single" w:sz="4" w:space="0" w:color="auto"/>
              <w:right w:val="single" w:sz="4" w:space="0" w:color="auto"/>
            </w:tcBorders>
            <w:noWrap/>
            <w:textDirection w:val="lrTb"/>
            <w:vAlign w:val="bottom"/>
          </w:tcPr>
          <w:p w:rsidR="00E202C9">
            <w:pPr>
              <w:bidi w:val="0"/>
              <w:rPr>
                <w:rFonts w:ascii="Times New Roman" w:hAnsi="Times New Roman"/>
                <w:b/>
                <w:bCs/>
                <w:color w:val="000000"/>
                <w:sz w:val="20"/>
                <w:szCs w:val="20"/>
              </w:rPr>
            </w:pPr>
            <w:r>
              <w:rPr>
                <w:rFonts w:ascii="Times New Roman" w:hAnsi="Times New Roman"/>
                <w:b/>
                <w:bCs/>
                <w:color w:val="000000"/>
                <w:sz w:val="20"/>
                <w:szCs w:val="20"/>
              </w:rPr>
              <w:t>Daňové príjmy</w:t>
            </w:r>
          </w:p>
        </w:tc>
        <w:tc>
          <w:tcPr>
            <w:tcW w:w="946"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18"/>
                <w:szCs w:val="18"/>
              </w:rPr>
            </w:pPr>
            <w:r>
              <w:rPr>
                <w:rFonts w:ascii="Times New Roman" w:hAnsi="Times New Roman"/>
                <w:b/>
                <w:bCs/>
                <w:color w:val="000000"/>
                <w:sz w:val="18"/>
                <w:szCs w:val="18"/>
              </w:rPr>
              <w:t>0</w:t>
            </w:r>
          </w:p>
        </w:tc>
        <w:tc>
          <w:tcPr>
            <w:tcW w:w="1358"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18"/>
                <w:szCs w:val="18"/>
              </w:rPr>
            </w:pPr>
            <w:r>
              <w:rPr>
                <w:rFonts w:ascii="Times New Roman" w:hAnsi="Times New Roman"/>
                <w:b/>
                <w:bCs/>
                <w:color w:val="000000"/>
                <w:sz w:val="18"/>
                <w:szCs w:val="18"/>
              </w:rPr>
              <w:t>-210 577</w:t>
            </w:r>
          </w:p>
        </w:tc>
        <w:tc>
          <w:tcPr>
            <w:tcW w:w="1358"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18"/>
                <w:szCs w:val="18"/>
              </w:rPr>
            </w:pPr>
            <w:r>
              <w:rPr>
                <w:rFonts w:ascii="Times New Roman" w:hAnsi="Times New Roman"/>
                <w:b/>
                <w:bCs/>
                <w:color w:val="000000"/>
                <w:sz w:val="18"/>
                <w:szCs w:val="18"/>
              </w:rPr>
              <w:t>-221 180</w:t>
            </w:r>
          </w:p>
        </w:tc>
        <w:tc>
          <w:tcPr>
            <w:tcW w:w="1253"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18"/>
                <w:szCs w:val="18"/>
              </w:rPr>
            </w:pPr>
            <w:r>
              <w:rPr>
                <w:rFonts w:ascii="Times New Roman" w:hAnsi="Times New Roman"/>
                <w:b/>
                <w:bCs/>
                <w:color w:val="000000"/>
                <w:sz w:val="18"/>
                <w:szCs w:val="18"/>
              </w:rPr>
              <w:t>-233 364</w:t>
            </w:r>
          </w:p>
        </w:tc>
      </w:tr>
      <w:tr>
        <w:tblPrEx>
          <w:tblW w:w="9375" w:type="dxa"/>
          <w:tblInd w:w="55" w:type="dxa"/>
          <w:tblCellMar>
            <w:left w:w="70" w:type="dxa"/>
            <w:right w:w="70" w:type="dxa"/>
          </w:tblCellMar>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150</w:t>
            </w:r>
          </w:p>
        </w:tc>
        <w:tc>
          <w:tcPr>
            <w:tcW w:w="3500" w:type="dxa"/>
            <w:tcBorders>
              <w:top w:val="nil"/>
              <w:left w:val="nil"/>
              <w:bottom w:val="single" w:sz="4" w:space="0" w:color="auto"/>
              <w:right w:val="single" w:sz="4" w:space="0" w:color="auto"/>
            </w:tcBorders>
            <w:noWrap/>
            <w:textDirection w:val="lrTb"/>
            <w:vAlign w:val="bottom"/>
          </w:tcPr>
          <w:p w:rsidR="00E202C9">
            <w:pPr>
              <w:bidi w:val="0"/>
              <w:rPr>
                <w:rFonts w:ascii="Times New Roman" w:hAnsi="Times New Roman"/>
                <w:i/>
                <w:iCs/>
                <w:color w:val="000000"/>
                <w:sz w:val="20"/>
                <w:szCs w:val="20"/>
              </w:rPr>
            </w:pPr>
            <w:r>
              <w:rPr>
                <w:rFonts w:ascii="Times New Roman" w:hAnsi="Times New Roman"/>
                <w:i/>
                <w:iCs/>
                <w:color w:val="000000"/>
                <w:sz w:val="20"/>
                <w:szCs w:val="20"/>
              </w:rPr>
              <w:t>Poistné</w:t>
            </w:r>
          </w:p>
        </w:tc>
        <w:tc>
          <w:tcPr>
            <w:tcW w:w="946"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c>
          <w:tcPr>
            <w:tcW w:w="1358"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18"/>
                <w:szCs w:val="18"/>
              </w:rPr>
            </w:pPr>
            <w:r>
              <w:rPr>
                <w:rFonts w:ascii="Times New Roman" w:hAnsi="Times New Roman"/>
                <w:i/>
                <w:iCs/>
                <w:color w:val="000000"/>
                <w:sz w:val="18"/>
                <w:szCs w:val="18"/>
              </w:rPr>
              <w:t>-210 577</w:t>
            </w:r>
          </w:p>
        </w:tc>
        <w:tc>
          <w:tcPr>
            <w:tcW w:w="1358"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18"/>
                <w:szCs w:val="18"/>
              </w:rPr>
            </w:pPr>
            <w:r>
              <w:rPr>
                <w:rFonts w:ascii="Times New Roman" w:hAnsi="Times New Roman"/>
                <w:i/>
                <w:iCs/>
                <w:color w:val="000000"/>
                <w:sz w:val="18"/>
                <w:szCs w:val="18"/>
              </w:rPr>
              <w:t>-221 180</w:t>
            </w:r>
          </w:p>
        </w:tc>
        <w:tc>
          <w:tcPr>
            <w:tcW w:w="125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18"/>
                <w:szCs w:val="18"/>
              </w:rPr>
            </w:pPr>
            <w:r>
              <w:rPr>
                <w:rFonts w:ascii="Times New Roman" w:hAnsi="Times New Roman"/>
                <w:i/>
                <w:iCs/>
                <w:color w:val="000000"/>
                <w:sz w:val="18"/>
                <w:szCs w:val="18"/>
              </w:rPr>
              <w:t>-233 364</w:t>
            </w:r>
          </w:p>
        </w:tc>
      </w:tr>
      <w:tr>
        <w:tblPrEx>
          <w:tblW w:w="9375" w:type="dxa"/>
          <w:tblInd w:w="55" w:type="dxa"/>
          <w:tblCellMar>
            <w:left w:w="70" w:type="dxa"/>
            <w:right w:w="70" w:type="dxa"/>
          </w:tblCellMar>
        </w:tblPrEx>
        <w:trPr>
          <w:trHeight w:val="510"/>
        </w:trPr>
        <w:tc>
          <w:tcPr>
            <w:tcW w:w="960" w:type="dxa"/>
            <w:tcBorders>
              <w:top w:val="nil"/>
              <w:left w:val="single" w:sz="4" w:space="0" w:color="auto"/>
              <w:bottom w:val="single" w:sz="4" w:space="0" w:color="auto"/>
              <w:right w:val="single" w:sz="4" w:space="0" w:color="auto"/>
            </w:tcBorders>
            <w:textDirection w:val="lrTb"/>
            <w:vAlign w:val="center"/>
          </w:tcPr>
          <w:p w:rsidR="00E202C9">
            <w:pPr>
              <w:bidi w:val="0"/>
              <w:jc w:val="right"/>
              <w:rPr>
                <w:rFonts w:ascii="Times New Roman" w:hAnsi="Times New Roman"/>
                <w:color w:val="000000"/>
                <w:sz w:val="20"/>
                <w:szCs w:val="20"/>
              </w:rPr>
            </w:pPr>
            <w:r>
              <w:rPr>
                <w:rFonts w:ascii="Times New Roman" w:hAnsi="Times New Roman"/>
                <w:color w:val="000000"/>
                <w:sz w:val="20"/>
                <w:szCs w:val="20"/>
              </w:rPr>
              <w:t>151-153, 155-158</w:t>
            </w:r>
          </w:p>
        </w:tc>
        <w:tc>
          <w:tcPr>
            <w:tcW w:w="3500" w:type="dxa"/>
            <w:tcBorders>
              <w:top w:val="nil"/>
              <w:left w:val="nil"/>
              <w:bottom w:val="single" w:sz="4" w:space="0" w:color="auto"/>
              <w:right w:val="single" w:sz="4" w:space="0" w:color="auto"/>
            </w:tcBorders>
            <w:noWrap/>
            <w:textDirection w:val="lrTb"/>
            <w:vAlign w:val="center"/>
          </w:tcPr>
          <w:p w:rsidR="00E202C9">
            <w:pPr>
              <w:bidi w:val="0"/>
              <w:rPr>
                <w:rFonts w:ascii="Times New Roman" w:hAnsi="Times New Roman"/>
                <w:color w:val="000000"/>
                <w:sz w:val="20"/>
                <w:szCs w:val="20"/>
              </w:rPr>
            </w:pPr>
            <w:r>
              <w:rPr>
                <w:rFonts w:ascii="Times New Roman" w:hAnsi="Times New Roman"/>
                <w:color w:val="000000"/>
                <w:sz w:val="20"/>
                <w:szCs w:val="20"/>
              </w:rPr>
              <w:t>Sociálne poistenie</w:t>
            </w:r>
          </w:p>
        </w:tc>
        <w:tc>
          <w:tcPr>
            <w:tcW w:w="946"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358"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18"/>
                <w:szCs w:val="18"/>
              </w:rPr>
            </w:pPr>
            <w:r>
              <w:rPr>
                <w:rFonts w:ascii="Times New Roman" w:hAnsi="Times New Roman"/>
                <w:color w:val="000000"/>
                <w:sz w:val="18"/>
                <w:szCs w:val="18"/>
              </w:rPr>
              <w:t>-210 577</w:t>
            </w:r>
          </w:p>
        </w:tc>
        <w:tc>
          <w:tcPr>
            <w:tcW w:w="1358"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18"/>
                <w:szCs w:val="18"/>
              </w:rPr>
            </w:pPr>
            <w:r>
              <w:rPr>
                <w:rFonts w:ascii="Times New Roman" w:hAnsi="Times New Roman"/>
                <w:color w:val="000000"/>
                <w:sz w:val="18"/>
                <w:szCs w:val="18"/>
              </w:rPr>
              <w:t>-221 180</w:t>
            </w:r>
          </w:p>
        </w:tc>
        <w:tc>
          <w:tcPr>
            <w:tcW w:w="125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18"/>
                <w:szCs w:val="18"/>
              </w:rPr>
            </w:pPr>
            <w:r>
              <w:rPr>
                <w:rFonts w:ascii="Times New Roman" w:hAnsi="Times New Roman"/>
                <w:color w:val="000000"/>
                <w:sz w:val="18"/>
                <w:szCs w:val="18"/>
              </w:rPr>
              <w:t>-233 364</w:t>
            </w:r>
          </w:p>
        </w:tc>
      </w:tr>
    </w:tbl>
    <w:p w:rsidR="00E202C9" w:rsidP="005164B5">
      <w:pPr>
        <w:bidi w:val="0"/>
        <w:rPr>
          <w:rFonts w:ascii="Times New Roman" w:hAnsi="Times New Roman"/>
          <w:sz w:val="20"/>
          <w:szCs w:val="20"/>
        </w:rPr>
      </w:pPr>
    </w:p>
    <w:p w:rsidR="00E202C9" w:rsidRPr="00CF55EC" w:rsidP="005164B5">
      <w:pPr>
        <w:autoSpaceDE w:val="0"/>
        <w:autoSpaceDN w:val="0"/>
        <w:bidi w:val="0"/>
        <w:adjustRightInd w:val="0"/>
        <w:jc w:val="both"/>
        <w:rPr>
          <w:rFonts w:ascii="Times New Roman" w:hAnsi="Times New Roman"/>
          <w:szCs w:val="22"/>
        </w:rPr>
      </w:pPr>
    </w:p>
    <w:p w:rsidR="00E202C9" w:rsidP="008405EF">
      <w:pPr>
        <w:bidi w:val="0"/>
        <w:jc w:val="both"/>
        <w:rPr>
          <w:rFonts w:ascii="Times New Roman" w:hAnsi="Times New Roman"/>
          <w:sz w:val="20"/>
          <w:szCs w:val="20"/>
        </w:rPr>
      </w:pPr>
      <w:r w:rsidRPr="00CF55EC">
        <w:rPr>
          <w:rFonts w:ascii="Times New Roman" w:hAnsi="Times New Roman"/>
          <w:i/>
          <w:szCs w:val="22"/>
        </w:rPr>
        <w:t>Výdavky Sociálnej poisťovne</w:t>
      </w:r>
      <w:r w:rsidRPr="00CF55EC">
        <w:rPr>
          <w:rFonts w:ascii="Times New Roman" w:hAnsi="Times New Roman"/>
          <w:szCs w:val="22"/>
        </w:rPr>
        <w:t xml:space="preserve"> – </w:t>
      </w:r>
      <w:r w:rsidRPr="00142D48">
        <w:rPr>
          <w:rFonts w:ascii="Times New Roman" w:hAnsi="Times New Roman"/>
          <w:szCs w:val="22"/>
        </w:rPr>
        <w:t>celkovo sa predpokladá</w:t>
      </w:r>
      <w:r>
        <w:rPr>
          <w:rFonts w:ascii="Times New Roman" w:hAnsi="Times New Roman"/>
          <w:szCs w:val="22"/>
        </w:rPr>
        <w:t xml:space="preserve"> nárast výdavkov Sociálnej poisťovne z dôvodu</w:t>
      </w:r>
      <w:r w:rsidRPr="00142D48">
        <w:rPr>
          <w:rFonts w:ascii="Times New Roman" w:hAnsi="Times New Roman"/>
          <w:szCs w:val="22"/>
        </w:rPr>
        <w:t xml:space="preserve"> </w:t>
      </w:r>
      <w:r>
        <w:rPr>
          <w:rFonts w:ascii="Times New Roman" w:hAnsi="Times New Roman"/>
          <w:bCs/>
        </w:rPr>
        <w:t>skrátenia obdobia, za ktoré sa skúma nezaplatenie poistného na sociálne poistenie ako jednej z podmienok nároku na nemocenské dávky pre samostatne zárobkovo činné osoby a dobrovoľne poistné osoby</w:t>
      </w:r>
      <w:r>
        <w:rPr>
          <w:rFonts w:ascii="Times New Roman" w:hAnsi="Times New Roman"/>
          <w:bCs/>
        </w:rPr>
        <w:t xml:space="preserve"> </w:t>
      </w:r>
      <w:r>
        <w:rPr>
          <w:rFonts w:ascii="Times New Roman" w:hAnsi="Times New Roman"/>
          <w:bCs/>
        </w:rPr>
        <w:t>a zavedenia výhodnejších podmienok pre určenie vymeriavacieho základu na dávku v nezamestnanosti pre osoby vykonávajúce zárobkovú činnosť počas materskej a rodičovskej dovolenky.</w:t>
      </w:r>
    </w:p>
    <w:p w:rsidR="00E202C9" w:rsidP="00B82C9B">
      <w:pPr>
        <w:bidi w:val="0"/>
        <w:rPr>
          <w:rFonts w:ascii="Times New Roman" w:hAnsi="Times New Roman"/>
          <w:sz w:val="20"/>
          <w:szCs w:val="20"/>
        </w:rPr>
      </w:pPr>
    </w:p>
    <w:p w:rsidR="00E202C9" w:rsidP="00873861">
      <w:pPr>
        <w:bidi w:val="0"/>
        <w:jc w:val="right"/>
        <w:rPr>
          <w:rFonts w:ascii="Times New Roman" w:hAnsi="Times New Roman"/>
          <w:sz w:val="20"/>
          <w:szCs w:val="20"/>
        </w:rPr>
      </w:pPr>
    </w:p>
    <w:p w:rsidR="00E202C9" w:rsidP="00873861">
      <w:pPr>
        <w:bidi w:val="0"/>
        <w:jc w:val="right"/>
        <w:rPr>
          <w:rFonts w:ascii="Times New Roman" w:hAnsi="Times New Roman"/>
          <w:sz w:val="20"/>
          <w:szCs w:val="20"/>
        </w:rPr>
      </w:pPr>
      <w:r>
        <w:rPr>
          <w:rFonts w:ascii="Times New Roman" w:hAnsi="Times New Roman"/>
          <w:sz w:val="20"/>
          <w:szCs w:val="20"/>
        </w:rPr>
        <w:t>Tabuľka č. 5</w:t>
      </w:r>
    </w:p>
    <w:tbl>
      <w:tblPr>
        <w:tblStyle w:val="TableNormal"/>
        <w:tblW w:w="9375" w:type="dxa"/>
        <w:tblInd w:w="55" w:type="dxa"/>
        <w:tblCellMar>
          <w:left w:w="70" w:type="dxa"/>
          <w:right w:w="70" w:type="dxa"/>
        </w:tblCellMar>
      </w:tblPr>
      <w:tblGrid>
        <w:gridCol w:w="874"/>
        <w:gridCol w:w="3821"/>
        <w:gridCol w:w="900"/>
        <w:gridCol w:w="1260"/>
        <w:gridCol w:w="1260"/>
        <w:gridCol w:w="1260"/>
      </w:tblGrid>
      <w:tr>
        <w:tblPrEx>
          <w:tblW w:w="9375" w:type="dxa"/>
          <w:tblInd w:w="55" w:type="dxa"/>
          <w:tblCellMar>
            <w:left w:w="70" w:type="dxa"/>
            <w:right w:w="70" w:type="dxa"/>
          </w:tblCellMar>
        </w:tblPrEx>
        <w:trPr>
          <w:trHeight w:val="315"/>
        </w:trPr>
        <w:tc>
          <w:tcPr>
            <w:tcW w:w="874" w:type="dxa"/>
            <w:tcBorders>
              <w:top w:val="single" w:sz="4" w:space="0" w:color="auto"/>
              <w:left w:val="single" w:sz="4" w:space="0" w:color="auto"/>
              <w:bottom w:val="nil"/>
              <w:right w:val="nil"/>
            </w:tcBorders>
            <w:shd w:val="clear" w:color="auto" w:fill="000000"/>
            <w:noWrap/>
            <w:textDirection w:val="lrTb"/>
            <w:vAlign w:val="bottom"/>
          </w:tcPr>
          <w:p w:rsidR="00E202C9">
            <w:pPr>
              <w:bidi w:val="0"/>
              <w:rPr>
                <w:rFonts w:ascii="Times New Roman" w:hAnsi="Times New Roman"/>
                <w:b/>
                <w:bCs/>
                <w:color w:val="FFFFFF"/>
              </w:rPr>
            </w:pPr>
            <w:r>
              <w:rPr>
                <w:rFonts w:ascii="Times New Roman" w:hAnsi="Times New Roman"/>
                <w:b/>
                <w:bCs/>
                <w:color w:val="FFFFFF"/>
                <w:sz w:val="22"/>
                <w:szCs w:val="22"/>
              </w:rPr>
              <w:t> </w:t>
            </w:r>
          </w:p>
        </w:tc>
        <w:tc>
          <w:tcPr>
            <w:tcW w:w="3821" w:type="dxa"/>
            <w:tcBorders>
              <w:top w:val="single" w:sz="4" w:space="0" w:color="auto"/>
              <w:left w:val="nil"/>
              <w:bottom w:val="nil"/>
              <w:right w:val="nil"/>
            </w:tcBorders>
            <w:shd w:val="clear" w:color="auto" w:fill="000000"/>
            <w:noWrap/>
            <w:textDirection w:val="lrTb"/>
            <w:vAlign w:val="bottom"/>
          </w:tcPr>
          <w:p w:rsidR="00E202C9">
            <w:pPr>
              <w:bidi w:val="0"/>
              <w:rPr>
                <w:rFonts w:ascii="Times New Roman" w:hAnsi="Times New Roman"/>
                <w:b/>
                <w:bCs/>
                <w:color w:val="FFFFFF"/>
              </w:rPr>
            </w:pPr>
            <w:r>
              <w:rPr>
                <w:rFonts w:ascii="Times New Roman" w:hAnsi="Times New Roman"/>
                <w:b/>
                <w:bCs/>
                <w:color w:val="FFFFFF"/>
                <w:sz w:val="22"/>
                <w:szCs w:val="22"/>
              </w:rPr>
              <w:t> </w:t>
            </w:r>
          </w:p>
        </w:tc>
        <w:tc>
          <w:tcPr>
            <w:tcW w:w="4680" w:type="dxa"/>
            <w:gridSpan w:val="4"/>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Vplyv na rozpočet Sociálnej poisťovne (cash=ESA95)</w:t>
            </w:r>
          </w:p>
        </w:tc>
      </w:tr>
      <w:tr>
        <w:tblPrEx>
          <w:tblW w:w="9375" w:type="dxa"/>
          <w:tblInd w:w="55" w:type="dxa"/>
          <w:tblCellMar>
            <w:left w:w="70" w:type="dxa"/>
            <w:right w:w="70" w:type="dxa"/>
          </w:tblCellMar>
        </w:tblPrEx>
        <w:trPr>
          <w:trHeight w:val="315"/>
        </w:trPr>
        <w:tc>
          <w:tcPr>
            <w:tcW w:w="874" w:type="dxa"/>
            <w:tcBorders>
              <w:top w:val="nil"/>
              <w:left w:val="single" w:sz="4" w:space="0" w:color="auto"/>
              <w:bottom w:val="nil"/>
              <w:right w:val="nil"/>
            </w:tcBorders>
            <w:shd w:val="clear" w:color="auto" w:fill="000000"/>
            <w:noWrap/>
            <w:textDirection w:val="lrTb"/>
            <w:vAlign w:val="bottom"/>
          </w:tcPr>
          <w:p w:rsidR="00E202C9">
            <w:pPr>
              <w:bidi w:val="0"/>
              <w:rPr>
                <w:rFonts w:ascii="Times New Roman" w:hAnsi="Times New Roman"/>
                <w:b/>
                <w:bCs/>
                <w:color w:val="FFFFFF"/>
              </w:rPr>
            </w:pPr>
            <w:r>
              <w:rPr>
                <w:rFonts w:ascii="Times New Roman" w:hAnsi="Times New Roman"/>
                <w:b/>
                <w:bCs/>
                <w:color w:val="FFFFFF"/>
                <w:sz w:val="22"/>
                <w:szCs w:val="22"/>
              </w:rPr>
              <w:t> </w:t>
            </w:r>
          </w:p>
        </w:tc>
        <w:tc>
          <w:tcPr>
            <w:tcW w:w="3821" w:type="dxa"/>
            <w:tcBorders>
              <w:top w:val="nil"/>
              <w:left w:val="nil"/>
              <w:bottom w:val="nil"/>
              <w:right w:val="nil"/>
            </w:tcBorders>
            <w:shd w:val="clear" w:color="auto" w:fill="000000"/>
            <w:noWrap/>
            <w:textDirection w:val="lrTb"/>
            <w:vAlign w:val="bottom"/>
          </w:tcPr>
          <w:p w:rsidR="00E202C9">
            <w:pPr>
              <w:bidi w:val="0"/>
              <w:rPr>
                <w:rFonts w:ascii="Times New Roman" w:hAnsi="Times New Roman"/>
                <w:b/>
                <w:bCs/>
                <w:color w:val="FFFFFF"/>
                <w:u w:val="single"/>
              </w:rPr>
            </w:pPr>
            <w:r>
              <w:rPr>
                <w:rFonts w:ascii="Times New Roman" w:hAnsi="Times New Roman"/>
                <w:b/>
                <w:bCs/>
                <w:color w:val="FFFFFF"/>
                <w:sz w:val="22"/>
                <w:szCs w:val="22"/>
                <w:u w:val="single"/>
              </w:rPr>
              <w:t>Rozpočet Sociálnej poisťovne - výdavky (v eur)</w:t>
            </w:r>
          </w:p>
        </w:tc>
        <w:tc>
          <w:tcPr>
            <w:tcW w:w="900"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2013</w:t>
            </w:r>
          </w:p>
        </w:tc>
        <w:tc>
          <w:tcPr>
            <w:tcW w:w="1260"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2014</w:t>
            </w:r>
          </w:p>
        </w:tc>
        <w:tc>
          <w:tcPr>
            <w:tcW w:w="1260"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2015</w:t>
            </w:r>
          </w:p>
        </w:tc>
        <w:tc>
          <w:tcPr>
            <w:tcW w:w="1260"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2016</w:t>
            </w:r>
          </w:p>
        </w:tc>
      </w:tr>
      <w:tr>
        <w:tblPrEx>
          <w:tblW w:w="9375" w:type="dxa"/>
          <w:tblInd w:w="55" w:type="dxa"/>
          <w:tblCellMar>
            <w:left w:w="70" w:type="dxa"/>
            <w:right w:w="70" w:type="dxa"/>
          </w:tblCellMar>
        </w:tblPrEx>
        <w:trPr>
          <w:trHeight w:val="315"/>
        </w:trPr>
        <w:tc>
          <w:tcPr>
            <w:tcW w:w="874" w:type="dxa"/>
            <w:tcBorders>
              <w:top w:val="single" w:sz="4" w:space="0" w:color="auto"/>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600</w:t>
            </w:r>
          </w:p>
        </w:tc>
        <w:tc>
          <w:tcPr>
            <w:tcW w:w="3821" w:type="dxa"/>
            <w:tcBorders>
              <w:top w:val="single" w:sz="4" w:space="0" w:color="auto"/>
              <w:left w:val="nil"/>
              <w:bottom w:val="single" w:sz="4" w:space="0" w:color="auto"/>
              <w:right w:val="single" w:sz="4" w:space="0" w:color="auto"/>
            </w:tcBorders>
            <w:noWrap/>
            <w:textDirection w:val="lrTb"/>
            <w:vAlign w:val="bottom"/>
          </w:tcPr>
          <w:p w:rsidR="00E202C9">
            <w:pPr>
              <w:bidi w:val="0"/>
              <w:rPr>
                <w:rFonts w:ascii="Times New Roman" w:hAnsi="Times New Roman"/>
                <w:b/>
                <w:bCs/>
                <w:color w:val="000000"/>
                <w:sz w:val="20"/>
                <w:szCs w:val="20"/>
              </w:rPr>
            </w:pPr>
            <w:r>
              <w:rPr>
                <w:rFonts w:ascii="Times New Roman" w:hAnsi="Times New Roman"/>
                <w:b/>
                <w:bCs/>
                <w:color w:val="000000"/>
                <w:sz w:val="20"/>
                <w:szCs w:val="20"/>
              </w:rPr>
              <w:t>Bežné výdavky</w:t>
            </w:r>
          </w:p>
        </w:tc>
        <w:tc>
          <w:tcPr>
            <w:tcW w:w="900"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i/>
                <w:iCs/>
                <w:color w:val="000000"/>
                <w:sz w:val="20"/>
                <w:szCs w:val="20"/>
              </w:rPr>
            </w:pPr>
            <w:r>
              <w:rPr>
                <w:rFonts w:ascii="Times New Roman" w:hAnsi="Times New Roman"/>
                <w:b/>
                <w:bCs/>
                <w:i/>
                <w:iCs/>
                <w:color w:val="000000"/>
                <w:sz w:val="20"/>
                <w:szCs w:val="20"/>
              </w:rPr>
              <w:t>0</w:t>
            </w:r>
          </w:p>
        </w:tc>
        <w:tc>
          <w:tcPr>
            <w:tcW w:w="1260"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i/>
                <w:iCs/>
                <w:color w:val="000000"/>
                <w:sz w:val="20"/>
                <w:szCs w:val="20"/>
              </w:rPr>
            </w:pPr>
            <w:r>
              <w:rPr>
                <w:rFonts w:ascii="Times New Roman" w:hAnsi="Times New Roman"/>
                <w:b/>
                <w:bCs/>
                <w:i/>
                <w:iCs/>
                <w:color w:val="000000"/>
                <w:sz w:val="20"/>
                <w:szCs w:val="20"/>
              </w:rPr>
              <w:t>833 208</w:t>
            </w:r>
          </w:p>
        </w:tc>
        <w:tc>
          <w:tcPr>
            <w:tcW w:w="1260"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i/>
                <w:iCs/>
                <w:color w:val="000000"/>
                <w:sz w:val="20"/>
                <w:szCs w:val="20"/>
              </w:rPr>
            </w:pPr>
            <w:r>
              <w:rPr>
                <w:rFonts w:ascii="Times New Roman" w:hAnsi="Times New Roman"/>
                <w:b/>
                <w:bCs/>
                <w:i/>
                <w:iCs/>
                <w:color w:val="000000"/>
                <w:sz w:val="20"/>
                <w:szCs w:val="20"/>
              </w:rPr>
              <w:t>578 482</w:t>
            </w:r>
          </w:p>
        </w:tc>
        <w:tc>
          <w:tcPr>
            <w:tcW w:w="1260"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i/>
                <w:iCs/>
                <w:color w:val="000000"/>
                <w:sz w:val="20"/>
                <w:szCs w:val="20"/>
              </w:rPr>
            </w:pPr>
            <w:r>
              <w:rPr>
                <w:rFonts w:ascii="Times New Roman" w:hAnsi="Times New Roman"/>
                <w:b/>
                <w:bCs/>
                <w:i/>
                <w:iCs/>
                <w:color w:val="000000"/>
                <w:sz w:val="20"/>
                <w:szCs w:val="20"/>
              </w:rPr>
              <w:t>345 804</w:t>
            </w:r>
          </w:p>
        </w:tc>
      </w:tr>
      <w:tr>
        <w:tblPrEx>
          <w:tblW w:w="9375" w:type="dxa"/>
          <w:tblInd w:w="55" w:type="dxa"/>
          <w:tblCellMar>
            <w:left w:w="70" w:type="dxa"/>
            <w:right w:w="70" w:type="dxa"/>
          </w:tblCellMar>
        </w:tblPrEx>
        <w:trPr>
          <w:trHeight w:val="315"/>
        </w:trPr>
        <w:tc>
          <w:tcPr>
            <w:tcW w:w="874" w:type="dxa"/>
            <w:tcBorders>
              <w:top w:val="nil"/>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630</w:t>
            </w:r>
          </w:p>
        </w:tc>
        <w:tc>
          <w:tcPr>
            <w:tcW w:w="3821" w:type="dxa"/>
            <w:tcBorders>
              <w:top w:val="nil"/>
              <w:left w:val="nil"/>
              <w:bottom w:val="single" w:sz="4" w:space="0" w:color="auto"/>
              <w:right w:val="single" w:sz="4" w:space="0" w:color="auto"/>
            </w:tcBorders>
            <w:noWrap/>
            <w:textDirection w:val="lrTb"/>
            <w:vAlign w:val="bottom"/>
          </w:tcPr>
          <w:p w:rsidR="00E202C9">
            <w:pPr>
              <w:bidi w:val="0"/>
              <w:rPr>
                <w:rFonts w:ascii="Times New Roman" w:hAnsi="Times New Roman"/>
                <w:i/>
                <w:iCs/>
                <w:color w:val="000000"/>
                <w:sz w:val="20"/>
                <w:szCs w:val="20"/>
              </w:rPr>
            </w:pPr>
            <w:r>
              <w:rPr>
                <w:rFonts w:ascii="Times New Roman" w:hAnsi="Times New Roman"/>
                <w:i/>
                <w:iCs/>
                <w:color w:val="000000"/>
                <w:sz w:val="20"/>
                <w:szCs w:val="20"/>
              </w:rPr>
              <w:t>Tovary a služby</w:t>
            </w:r>
          </w:p>
        </w:tc>
        <w:tc>
          <w:tcPr>
            <w:tcW w:w="90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26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26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26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r>
      <w:tr>
        <w:tblPrEx>
          <w:tblW w:w="9375" w:type="dxa"/>
          <w:tblInd w:w="55" w:type="dxa"/>
          <w:tblCellMar>
            <w:left w:w="70" w:type="dxa"/>
            <w:right w:w="70" w:type="dxa"/>
          </w:tblCellMar>
        </w:tblPrEx>
        <w:trPr>
          <w:trHeight w:val="315"/>
        </w:trPr>
        <w:tc>
          <w:tcPr>
            <w:tcW w:w="874" w:type="dxa"/>
            <w:tcBorders>
              <w:top w:val="nil"/>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640</w:t>
            </w:r>
          </w:p>
        </w:tc>
        <w:tc>
          <w:tcPr>
            <w:tcW w:w="3821" w:type="dxa"/>
            <w:tcBorders>
              <w:top w:val="nil"/>
              <w:left w:val="nil"/>
              <w:bottom w:val="single" w:sz="4" w:space="0" w:color="auto"/>
              <w:right w:val="single" w:sz="4" w:space="0" w:color="auto"/>
            </w:tcBorders>
            <w:noWrap/>
            <w:textDirection w:val="lrTb"/>
            <w:vAlign w:val="bottom"/>
          </w:tcPr>
          <w:p w:rsidR="00E202C9">
            <w:pPr>
              <w:bidi w:val="0"/>
              <w:rPr>
                <w:rFonts w:ascii="Times New Roman" w:hAnsi="Times New Roman"/>
                <w:i/>
                <w:iCs/>
                <w:color w:val="000000"/>
                <w:sz w:val="20"/>
                <w:szCs w:val="20"/>
              </w:rPr>
            </w:pPr>
            <w:r>
              <w:rPr>
                <w:rFonts w:ascii="Times New Roman" w:hAnsi="Times New Roman"/>
                <w:i/>
                <w:iCs/>
                <w:color w:val="000000"/>
                <w:sz w:val="20"/>
                <w:szCs w:val="20"/>
              </w:rPr>
              <w:t>Bežné transfery</w:t>
            </w:r>
          </w:p>
        </w:tc>
        <w:tc>
          <w:tcPr>
            <w:tcW w:w="90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26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833 208</w:t>
            </w:r>
          </w:p>
        </w:tc>
        <w:tc>
          <w:tcPr>
            <w:tcW w:w="126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578 482</w:t>
            </w:r>
          </w:p>
        </w:tc>
        <w:tc>
          <w:tcPr>
            <w:tcW w:w="126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345 804</w:t>
            </w:r>
          </w:p>
        </w:tc>
      </w:tr>
      <w:tr>
        <w:tblPrEx>
          <w:tblW w:w="9375" w:type="dxa"/>
          <w:tblInd w:w="55" w:type="dxa"/>
          <w:tblCellMar>
            <w:left w:w="70" w:type="dxa"/>
            <w:right w:w="70" w:type="dxa"/>
          </w:tblCellMar>
        </w:tblPrEx>
        <w:trPr>
          <w:trHeight w:val="315"/>
        </w:trPr>
        <w:tc>
          <w:tcPr>
            <w:tcW w:w="874" w:type="dxa"/>
            <w:tcBorders>
              <w:top w:val="nil"/>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641</w:t>
            </w:r>
          </w:p>
        </w:tc>
        <w:tc>
          <w:tcPr>
            <w:tcW w:w="3821" w:type="dxa"/>
            <w:tcBorders>
              <w:top w:val="nil"/>
              <w:left w:val="nil"/>
              <w:bottom w:val="single" w:sz="4" w:space="0" w:color="auto"/>
              <w:right w:val="single" w:sz="4" w:space="0" w:color="auto"/>
            </w:tcBorders>
            <w:noWrap/>
            <w:textDirection w:val="lrTb"/>
            <w:vAlign w:val="bottom"/>
          </w:tcPr>
          <w:p w:rsidR="00E202C9">
            <w:pPr>
              <w:bidi w:val="0"/>
              <w:rPr>
                <w:rFonts w:ascii="Times New Roman" w:hAnsi="Times New Roman"/>
                <w:color w:val="000000"/>
                <w:sz w:val="20"/>
                <w:szCs w:val="20"/>
              </w:rPr>
            </w:pPr>
            <w:r>
              <w:rPr>
                <w:rFonts w:ascii="Times New Roman" w:hAnsi="Times New Roman"/>
                <w:color w:val="000000"/>
                <w:sz w:val="20"/>
                <w:szCs w:val="20"/>
              </w:rPr>
              <w:t>Transfery v rámci verejnej správy</w:t>
            </w:r>
          </w:p>
        </w:tc>
        <w:tc>
          <w:tcPr>
            <w:tcW w:w="90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26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26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26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r>
      <w:tr>
        <w:tblPrEx>
          <w:tblW w:w="9375" w:type="dxa"/>
          <w:tblInd w:w="55" w:type="dxa"/>
          <w:tblCellMar>
            <w:left w:w="70" w:type="dxa"/>
            <w:right w:w="70" w:type="dxa"/>
          </w:tblCellMar>
        </w:tblPrEx>
        <w:trPr>
          <w:trHeight w:val="525"/>
        </w:trPr>
        <w:tc>
          <w:tcPr>
            <w:tcW w:w="874" w:type="dxa"/>
            <w:tcBorders>
              <w:top w:val="nil"/>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642</w:t>
            </w:r>
          </w:p>
        </w:tc>
        <w:tc>
          <w:tcPr>
            <w:tcW w:w="3821" w:type="dxa"/>
            <w:tcBorders>
              <w:top w:val="nil"/>
              <w:left w:val="nil"/>
              <w:bottom w:val="single" w:sz="4" w:space="0" w:color="auto"/>
              <w:right w:val="single" w:sz="4" w:space="0" w:color="auto"/>
            </w:tcBorders>
            <w:textDirection w:val="lrTb"/>
            <w:vAlign w:val="bottom"/>
          </w:tcPr>
          <w:p w:rsidR="00E202C9">
            <w:pPr>
              <w:bidi w:val="0"/>
              <w:rPr>
                <w:rFonts w:ascii="Times New Roman" w:hAnsi="Times New Roman"/>
                <w:color w:val="000000"/>
                <w:sz w:val="20"/>
                <w:szCs w:val="20"/>
              </w:rPr>
            </w:pPr>
            <w:r>
              <w:rPr>
                <w:rFonts w:ascii="Times New Roman" w:hAnsi="Times New Roman"/>
                <w:color w:val="000000"/>
                <w:sz w:val="20"/>
                <w:szCs w:val="20"/>
              </w:rPr>
              <w:t>Transfery jednotlivcom a neziskovým právnickým osobám</w:t>
            </w:r>
          </w:p>
        </w:tc>
        <w:tc>
          <w:tcPr>
            <w:tcW w:w="90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26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833 208</w:t>
            </w:r>
          </w:p>
        </w:tc>
        <w:tc>
          <w:tcPr>
            <w:tcW w:w="126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578 482</w:t>
            </w:r>
          </w:p>
        </w:tc>
        <w:tc>
          <w:tcPr>
            <w:tcW w:w="1260"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345 804</w:t>
            </w:r>
          </w:p>
        </w:tc>
      </w:tr>
    </w:tbl>
    <w:p w:rsidR="00E202C9" w:rsidP="005164B5">
      <w:pPr>
        <w:bidi w:val="0"/>
        <w:jc w:val="right"/>
        <w:rPr>
          <w:rFonts w:ascii="Times New Roman" w:hAnsi="Times New Roman"/>
          <w:sz w:val="20"/>
          <w:szCs w:val="20"/>
        </w:rPr>
      </w:pPr>
    </w:p>
    <w:p w:rsidR="00E202C9" w:rsidP="005164B5">
      <w:pPr>
        <w:bidi w:val="0"/>
        <w:jc w:val="right"/>
        <w:rPr>
          <w:rFonts w:ascii="Times New Roman" w:hAnsi="Times New Roman"/>
          <w:sz w:val="20"/>
          <w:szCs w:val="20"/>
        </w:rPr>
      </w:pPr>
    </w:p>
    <w:p w:rsidR="00E202C9" w:rsidP="005164B5">
      <w:pPr>
        <w:bidi w:val="0"/>
        <w:jc w:val="right"/>
        <w:rPr>
          <w:rFonts w:ascii="Times New Roman" w:hAnsi="Times New Roman"/>
          <w:sz w:val="20"/>
          <w:szCs w:val="20"/>
        </w:rPr>
      </w:pPr>
      <w:r>
        <w:rPr>
          <w:rFonts w:ascii="Times New Roman" w:hAnsi="Times New Roman"/>
          <w:sz w:val="20"/>
          <w:szCs w:val="20"/>
        </w:rPr>
        <w:t>Tabuľka č. 6</w:t>
      </w:r>
    </w:p>
    <w:tbl>
      <w:tblPr>
        <w:tblStyle w:val="TableNormal"/>
        <w:tblW w:w="9436" w:type="dxa"/>
        <w:tblInd w:w="55" w:type="dxa"/>
        <w:tblCellMar>
          <w:left w:w="70" w:type="dxa"/>
          <w:right w:w="70" w:type="dxa"/>
        </w:tblCellMar>
      </w:tblPr>
      <w:tblGrid>
        <w:gridCol w:w="908"/>
        <w:gridCol w:w="3844"/>
        <w:gridCol w:w="843"/>
        <w:gridCol w:w="1215"/>
        <w:gridCol w:w="1313"/>
        <w:gridCol w:w="1313"/>
      </w:tblGrid>
      <w:tr>
        <w:tblPrEx>
          <w:tblW w:w="9436" w:type="dxa"/>
          <w:tblInd w:w="55" w:type="dxa"/>
          <w:tblCellMar>
            <w:left w:w="70" w:type="dxa"/>
            <w:right w:w="70" w:type="dxa"/>
          </w:tblCellMar>
        </w:tblPrEx>
        <w:trPr>
          <w:trHeight w:val="315"/>
        </w:trPr>
        <w:tc>
          <w:tcPr>
            <w:tcW w:w="908" w:type="dxa"/>
            <w:tcBorders>
              <w:top w:val="single" w:sz="4" w:space="0" w:color="auto"/>
              <w:left w:val="single" w:sz="4" w:space="0" w:color="auto"/>
              <w:bottom w:val="nil"/>
              <w:right w:val="nil"/>
            </w:tcBorders>
            <w:shd w:val="clear" w:color="auto" w:fill="000000"/>
            <w:noWrap/>
            <w:textDirection w:val="lrTb"/>
            <w:vAlign w:val="bottom"/>
          </w:tcPr>
          <w:p w:rsidR="00E202C9">
            <w:pPr>
              <w:bidi w:val="0"/>
              <w:rPr>
                <w:rFonts w:ascii="Times New Roman" w:hAnsi="Times New Roman"/>
                <w:b/>
                <w:bCs/>
                <w:color w:val="FFFFFF"/>
              </w:rPr>
            </w:pPr>
            <w:r>
              <w:rPr>
                <w:rFonts w:ascii="Times New Roman" w:hAnsi="Times New Roman"/>
                <w:b/>
                <w:bCs/>
                <w:color w:val="FFFFFF"/>
              </w:rPr>
              <w:t> </w:t>
            </w:r>
          </w:p>
        </w:tc>
        <w:tc>
          <w:tcPr>
            <w:tcW w:w="3844" w:type="dxa"/>
            <w:tcBorders>
              <w:top w:val="single" w:sz="4" w:space="0" w:color="auto"/>
              <w:left w:val="nil"/>
              <w:bottom w:val="nil"/>
              <w:right w:val="nil"/>
            </w:tcBorders>
            <w:shd w:val="clear" w:color="auto" w:fill="000000"/>
            <w:noWrap/>
            <w:textDirection w:val="lrTb"/>
            <w:vAlign w:val="bottom"/>
          </w:tcPr>
          <w:p w:rsidR="00E202C9">
            <w:pPr>
              <w:bidi w:val="0"/>
              <w:rPr>
                <w:rFonts w:ascii="Times New Roman" w:hAnsi="Times New Roman"/>
                <w:b/>
                <w:bCs/>
                <w:color w:val="FFFFFF"/>
              </w:rPr>
            </w:pPr>
            <w:r>
              <w:rPr>
                <w:rFonts w:ascii="Times New Roman" w:hAnsi="Times New Roman"/>
                <w:b/>
                <w:bCs/>
                <w:color w:val="FFFFFF"/>
                <w:sz w:val="22"/>
                <w:szCs w:val="22"/>
              </w:rPr>
              <w:t> </w:t>
            </w:r>
          </w:p>
        </w:tc>
        <w:tc>
          <w:tcPr>
            <w:tcW w:w="4684" w:type="dxa"/>
            <w:gridSpan w:val="4"/>
            <w:tcBorders>
              <w:top w:val="single" w:sz="4" w:space="0" w:color="auto"/>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Vplyv na rozpočet verejnej správy (cash=ESA95)</w:t>
            </w:r>
          </w:p>
        </w:tc>
      </w:tr>
      <w:tr>
        <w:tblPrEx>
          <w:tblW w:w="9436" w:type="dxa"/>
          <w:tblInd w:w="55" w:type="dxa"/>
          <w:tblCellMar>
            <w:left w:w="70" w:type="dxa"/>
            <w:right w:w="70" w:type="dxa"/>
          </w:tblCellMar>
        </w:tblPrEx>
        <w:trPr>
          <w:trHeight w:val="315"/>
        </w:trPr>
        <w:tc>
          <w:tcPr>
            <w:tcW w:w="908" w:type="dxa"/>
            <w:tcBorders>
              <w:top w:val="nil"/>
              <w:left w:val="single" w:sz="4" w:space="0" w:color="auto"/>
              <w:bottom w:val="nil"/>
              <w:right w:val="nil"/>
            </w:tcBorders>
            <w:shd w:val="clear" w:color="auto" w:fill="000000"/>
            <w:noWrap/>
            <w:textDirection w:val="lrTb"/>
            <w:vAlign w:val="bottom"/>
          </w:tcPr>
          <w:p w:rsidR="00E202C9">
            <w:pPr>
              <w:bidi w:val="0"/>
              <w:rPr>
                <w:rFonts w:ascii="Times New Roman" w:hAnsi="Times New Roman"/>
                <w:b/>
                <w:bCs/>
                <w:color w:val="FFFFFF"/>
              </w:rPr>
            </w:pPr>
            <w:r>
              <w:rPr>
                <w:rFonts w:ascii="Times New Roman" w:hAnsi="Times New Roman"/>
                <w:b/>
                <w:bCs/>
                <w:color w:val="FFFFFF"/>
              </w:rPr>
              <w:t> </w:t>
            </w:r>
          </w:p>
        </w:tc>
        <w:tc>
          <w:tcPr>
            <w:tcW w:w="3844" w:type="dxa"/>
            <w:tcBorders>
              <w:top w:val="nil"/>
              <w:left w:val="nil"/>
              <w:bottom w:val="nil"/>
              <w:right w:val="nil"/>
            </w:tcBorders>
            <w:shd w:val="clear" w:color="auto" w:fill="000000"/>
            <w:noWrap/>
            <w:textDirection w:val="lrTb"/>
            <w:vAlign w:val="bottom"/>
          </w:tcPr>
          <w:p w:rsidR="00E202C9">
            <w:pPr>
              <w:bidi w:val="0"/>
              <w:rPr>
                <w:rFonts w:ascii="Times New Roman" w:hAnsi="Times New Roman"/>
                <w:b/>
                <w:bCs/>
                <w:color w:val="FFFFFF"/>
                <w:u w:val="single"/>
              </w:rPr>
            </w:pPr>
            <w:r>
              <w:rPr>
                <w:rFonts w:ascii="Times New Roman" w:hAnsi="Times New Roman"/>
                <w:b/>
                <w:bCs/>
                <w:color w:val="FFFFFF"/>
                <w:sz w:val="22"/>
                <w:szCs w:val="22"/>
                <w:u w:val="single"/>
              </w:rPr>
              <w:t>Rozpočet verejnej správy - výdavky (v eur)</w:t>
            </w:r>
          </w:p>
        </w:tc>
        <w:tc>
          <w:tcPr>
            <w:tcW w:w="843"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2013</w:t>
            </w:r>
          </w:p>
        </w:tc>
        <w:tc>
          <w:tcPr>
            <w:tcW w:w="1215"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2014</w:t>
            </w:r>
          </w:p>
        </w:tc>
        <w:tc>
          <w:tcPr>
            <w:tcW w:w="1313"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2015</w:t>
            </w:r>
          </w:p>
        </w:tc>
        <w:tc>
          <w:tcPr>
            <w:tcW w:w="1313" w:type="dxa"/>
            <w:tcBorders>
              <w:top w:val="nil"/>
              <w:left w:val="nil"/>
              <w:bottom w:val="nil"/>
              <w:right w:val="nil"/>
            </w:tcBorders>
            <w:shd w:val="clear" w:color="auto" w:fill="000000"/>
            <w:noWrap/>
            <w:textDirection w:val="lrTb"/>
            <w:vAlign w:val="bottom"/>
          </w:tcPr>
          <w:p w:rsidR="00E202C9">
            <w:pPr>
              <w:bidi w:val="0"/>
              <w:jc w:val="center"/>
              <w:rPr>
                <w:rFonts w:ascii="Times New Roman" w:hAnsi="Times New Roman"/>
                <w:b/>
                <w:bCs/>
                <w:color w:val="FFFFFF"/>
              </w:rPr>
            </w:pPr>
            <w:r>
              <w:rPr>
                <w:rFonts w:ascii="Times New Roman" w:hAnsi="Times New Roman"/>
                <w:b/>
                <w:bCs/>
                <w:color w:val="FFFFFF"/>
                <w:sz w:val="22"/>
                <w:szCs w:val="22"/>
              </w:rPr>
              <w:t>2016</w:t>
            </w:r>
          </w:p>
        </w:tc>
      </w:tr>
      <w:tr>
        <w:tblPrEx>
          <w:tblW w:w="9436" w:type="dxa"/>
          <w:tblInd w:w="55" w:type="dxa"/>
          <w:tblCellMar>
            <w:left w:w="70" w:type="dxa"/>
            <w:right w:w="70" w:type="dxa"/>
          </w:tblCellMar>
        </w:tblPrEx>
        <w:trPr>
          <w:trHeight w:val="315"/>
        </w:trPr>
        <w:tc>
          <w:tcPr>
            <w:tcW w:w="908" w:type="dxa"/>
            <w:tcBorders>
              <w:top w:val="single" w:sz="4" w:space="0" w:color="auto"/>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600</w:t>
            </w:r>
          </w:p>
        </w:tc>
        <w:tc>
          <w:tcPr>
            <w:tcW w:w="3844" w:type="dxa"/>
            <w:tcBorders>
              <w:top w:val="single" w:sz="4" w:space="0" w:color="auto"/>
              <w:left w:val="nil"/>
              <w:bottom w:val="single" w:sz="4" w:space="0" w:color="auto"/>
              <w:right w:val="single" w:sz="4" w:space="0" w:color="auto"/>
            </w:tcBorders>
            <w:noWrap/>
            <w:textDirection w:val="lrTb"/>
            <w:vAlign w:val="bottom"/>
          </w:tcPr>
          <w:p w:rsidR="00E202C9">
            <w:pPr>
              <w:bidi w:val="0"/>
              <w:rPr>
                <w:rFonts w:ascii="Times New Roman" w:hAnsi="Times New Roman"/>
                <w:b/>
                <w:bCs/>
                <w:color w:val="000000"/>
                <w:sz w:val="20"/>
                <w:szCs w:val="20"/>
              </w:rPr>
            </w:pPr>
            <w:r>
              <w:rPr>
                <w:rFonts w:ascii="Times New Roman" w:hAnsi="Times New Roman"/>
                <w:b/>
                <w:bCs/>
                <w:color w:val="000000"/>
                <w:sz w:val="20"/>
                <w:szCs w:val="20"/>
              </w:rPr>
              <w:t>Bežné výdavky</w:t>
            </w:r>
          </w:p>
        </w:tc>
        <w:tc>
          <w:tcPr>
            <w:tcW w:w="843"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215"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i/>
                <w:iCs/>
                <w:color w:val="000000"/>
                <w:sz w:val="20"/>
                <w:szCs w:val="20"/>
              </w:rPr>
              <w:t>833 208</w:t>
            </w:r>
          </w:p>
        </w:tc>
        <w:tc>
          <w:tcPr>
            <w:tcW w:w="1313"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i/>
                <w:iCs/>
                <w:color w:val="000000"/>
                <w:sz w:val="20"/>
                <w:szCs w:val="20"/>
              </w:rPr>
              <w:t>578 482</w:t>
            </w:r>
          </w:p>
        </w:tc>
        <w:tc>
          <w:tcPr>
            <w:tcW w:w="1313" w:type="dxa"/>
            <w:tcBorders>
              <w:top w:val="single" w:sz="4" w:space="0" w:color="auto"/>
              <w:left w:val="nil"/>
              <w:bottom w:val="single" w:sz="4" w:space="0" w:color="auto"/>
              <w:right w:val="single" w:sz="4" w:space="0" w:color="auto"/>
            </w:tcBorders>
            <w:noWrap/>
            <w:textDirection w:val="lrTb"/>
            <w:vAlign w:val="bottom"/>
          </w:tcPr>
          <w:p w:rsidR="00E202C9">
            <w:pPr>
              <w:bidi w:val="0"/>
              <w:jc w:val="right"/>
              <w:rPr>
                <w:rFonts w:ascii="Times New Roman" w:hAnsi="Times New Roman"/>
                <w:b/>
                <w:bCs/>
                <w:color w:val="000000"/>
                <w:sz w:val="20"/>
                <w:szCs w:val="20"/>
              </w:rPr>
            </w:pPr>
            <w:r>
              <w:rPr>
                <w:rFonts w:ascii="Times New Roman" w:hAnsi="Times New Roman"/>
                <w:b/>
                <w:bCs/>
                <w:i/>
                <w:iCs/>
                <w:color w:val="000000"/>
                <w:sz w:val="20"/>
                <w:szCs w:val="20"/>
              </w:rPr>
              <w:t>345 804</w:t>
            </w:r>
          </w:p>
        </w:tc>
      </w:tr>
      <w:tr>
        <w:tblPrEx>
          <w:tblW w:w="9436" w:type="dxa"/>
          <w:tblInd w:w="55" w:type="dxa"/>
          <w:tblCellMar>
            <w:left w:w="70" w:type="dxa"/>
            <w:right w:w="70" w:type="dxa"/>
          </w:tblCellMar>
        </w:tblPrEx>
        <w:trPr>
          <w:trHeight w:val="315"/>
        </w:trPr>
        <w:tc>
          <w:tcPr>
            <w:tcW w:w="908" w:type="dxa"/>
            <w:tcBorders>
              <w:top w:val="nil"/>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630</w:t>
            </w:r>
          </w:p>
        </w:tc>
        <w:tc>
          <w:tcPr>
            <w:tcW w:w="3844" w:type="dxa"/>
            <w:tcBorders>
              <w:top w:val="nil"/>
              <w:left w:val="nil"/>
              <w:bottom w:val="single" w:sz="4" w:space="0" w:color="auto"/>
              <w:right w:val="single" w:sz="4" w:space="0" w:color="auto"/>
            </w:tcBorders>
            <w:noWrap/>
            <w:textDirection w:val="lrTb"/>
            <w:vAlign w:val="bottom"/>
          </w:tcPr>
          <w:p w:rsidR="00E202C9">
            <w:pPr>
              <w:bidi w:val="0"/>
              <w:rPr>
                <w:rFonts w:ascii="Times New Roman" w:hAnsi="Times New Roman"/>
                <w:i/>
                <w:iCs/>
                <w:color w:val="000000"/>
                <w:sz w:val="20"/>
                <w:szCs w:val="20"/>
              </w:rPr>
            </w:pPr>
            <w:r>
              <w:rPr>
                <w:rFonts w:ascii="Times New Roman" w:hAnsi="Times New Roman"/>
                <w:i/>
                <w:iCs/>
                <w:color w:val="000000"/>
                <w:sz w:val="20"/>
                <w:szCs w:val="20"/>
              </w:rPr>
              <w:t>Tovary a služby</w:t>
            </w:r>
          </w:p>
        </w:tc>
        <w:tc>
          <w:tcPr>
            <w:tcW w:w="84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215"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31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31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r>
      <w:tr>
        <w:tblPrEx>
          <w:tblW w:w="9436" w:type="dxa"/>
          <w:tblInd w:w="55" w:type="dxa"/>
          <w:tblCellMar>
            <w:left w:w="70" w:type="dxa"/>
            <w:right w:w="70" w:type="dxa"/>
          </w:tblCellMar>
        </w:tblPrEx>
        <w:trPr>
          <w:trHeight w:val="315"/>
        </w:trPr>
        <w:tc>
          <w:tcPr>
            <w:tcW w:w="908" w:type="dxa"/>
            <w:tcBorders>
              <w:top w:val="nil"/>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640</w:t>
            </w:r>
          </w:p>
        </w:tc>
        <w:tc>
          <w:tcPr>
            <w:tcW w:w="3844" w:type="dxa"/>
            <w:tcBorders>
              <w:top w:val="nil"/>
              <w:left w:val="nil"/>
              <w:bottom w:val="single" w:sz="4" w:space="0" w:color="auto"/>
              <w:right w:val="single" w:sz="4" w:space="0" w:color="auto"/>
            </w:tcBorders>
            <w:noWrap/>
            <w:textDirection w:val="lrTb"/>
            <w:vAlign w:val="bottom"/>
          </w:tcPr>
          <w:p w:rsidR="00E202C9">
            <w:pPr>
              <w:bidi w:val="0"/>
              <w:rPr>
                <w:rFonts w:ascii="Times New Roman" w:hAnsi="Times New Roman"/>
                <w:i/>
                <w:iCs/>
                <w:color w:val="000000"/>
                <w:sz w:val="20"/>
                <w:szCs w:val="20"/>
              </w:rPr>
            </w:pPr>
            <w:r>
              <w:rPr>
                <w:rFonts w:ascii="Times New Roman" w:hAnsi="Times New Roman"/>
                <w:i/>
                <w:iCs/>
                <w:color w:val="000000"/>
                <w:sz w:val="20"/>
                <w:szCs w:val="20"/>
              </w:rPr>
              <w:t>Bežné transfery</w:t>
            </w:r>
          </w:p>
        </w:tc>
        <w:tc>
          <w:tcPr>
            <w:tcW w:w="84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i/>
                <w:iCs/>
                <w:color w:val="000000"/>
                <w:sz w:val="20"/>
                <w:szCs w:val="20"/>
              </w:rPr>
              <w:t>0</w:t>
            </w:r>
          </w:p>
        </w:tc>
        <w:tc>
          <w:tcPr>
            <w:tcW w:w="1215"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b/>
                <w:bCs/>
                <w:i/>
                <w:iCs/>
                <w:color w:val="000000"/>
                <w:sz w:val="20"/>
                <w:szCs w:val="20"/>
              </w:rPr>
              <w:t>833 208</w:t>
            </w:r>
          </w:p>
        </w:tc>
        <w:tc>
          <w:tcPr>
            <w:tcW w:w="131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b/>
                <w:bCs/>
                <w:i/>
                <w:iCs/>
                <w:color w:val="000000"/>
                <w:sz w:val="20"/>
                <w:szCs w:val="20"/>
              </w:rPr>
              <w:t>578 482</w:t>
            </w:r>
          </w:p>
        </w:tc>
        <w:tc>
          <w:tcPr>
            <w:tcW w:w="131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20"/>
                <w:szCs w:val="20"/>
              </w:rPr>
            </w:pPr>
            <w:r>
              <w:rPr>
                <w:rFonts w:ascii="Times New Roman" w:hAnsi="Times New Roman"/>
                <w:b/>
                <w:bCs/>
                <w:i/>
                <w:iCs/>
                <w:color w:val="000000"/>
                <w:sz w:val="20"/>
                <w:szCs w:val="20"/>
              </w:rPr>
              <w:t>345 804</w:t>
            </w:r>
          </w:p>
        </w:tc>
      </w:tr>
      <w:tr>
        <w:tblPrEx>
          <w:tblW w:w="9436" w:type="dxa"/>
          <w:tblInd w:w="55" w:type="dxa"/>
          <w:tblCellMar>
            <w:left w:w="70" w:type="dxa"/>
            <w:right w:w="70" w:type="dxa"/>
          </w:tblCellMar>
        </w:tblPrEx>
        <w:trPr>
          <w:trHeight w:val="315"/>
        </w:trPr>
        <w:tc>
          <w:tcPr>
            <w:tcW w:w="908" w:type="dxa"/>
            <w:tcBorders>
              <w:top w:val="nil"/>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641</w:t>
            </w:r>
          </w:p>
        </w:tc>
        <w:tc>
          <w:tcPr>
            <w:tcW w:w="3844" w:type="dxa"/>
            <w:tcBorders>
              <w:top w:val="nil"/>
              <w:left w:val="nil"/>
              <w:bottom w:val="single" w:sz="4" w:space="0" w:color="auto"/>
              <w:right w:val="single" w:sz="4" w:space="0" w:color="auto"/>
            </w:tcBorders>
            <w:noWrap/>
            <w:textDirection w:val="lrTb"/>
            <w:vAlign w:val="bottom"/>
          </w:tcPr>
          <w:p w:rsidR="00E202C9">
            <w:pPr>
              <w:bidi w:val="0"/>
              <w:rPr>
                <w:rFonts w:ascii="Times New Roman" w:hAnsi="Times New Roman"/>
                <w:color w:val="000000"/>
                <w:sz w:val="20"/>
                <w:szCs w:val="20"/>
              </w:rPr>
            </w:pPr>
            <w:r>
              <w:rPr>
                <w:rFonts w:ascii="Times New Roman" w:hAnsi="Times New Roman"/>
                <w:color w:val="000000"/>
                <w:sz w:val="20"/>
                <w:szCs w:val="20"/>
              </w:rPr>
              <w:t>Transfery v rámci verejnej správy</w:t>
            </w:r>
          </w:p>
        </w:tc>
        <w:tc>
          <w:tcPr>
            <w:tcW w:w="84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215"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31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18"/>
                <w:szCs w:val="18"/>
              </w:rPr>
            </w:pPr>
            <w:r>
              <w:rPr>
                <w:rFonts w:ascii="Times New Roman" w:hAnsi="Times New Roman"/>
                <w:color w:val="000000"/>
                <w:sz w:val="18"/>
                <w:szCs w:val="18"/>
              </w:rPr>
              <w:t>0</w:t>
            </w:r>
          </w:p>
        </w:tc>
        <w:tc>
          <w:tcPr>
            <w:tcW w:w="131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i/>
                <w:iCs/>
                <w:color w:val="000000"/>
                <w:sz w:val="18"/>
                <w:szCs w:val="18"/>
              </w:rPr>
            </w:pPr>
            <w:r>
              <w:rPr>
                <w:rFonts w:ascii="Times New Roman" w:hAnsi="Times New Roman"/>
                <w:i/>
                <w:iCs/>
                <w:color w:val="000000"/>
                <w:sz w:val="18"/>
                <w:szCs w:val="18"/>
              </w:rPr>
              <w:t>0</w:t>
            </w:r>
          </w:p>
        </w:tc>
      </w:tr>
      <w:tr>
        <w:tblPrEx>
          <w:tblW w:w="9436" w:type="dxa"/>
          <w:tblInd w:w="55" w:type="dxa"/>
          <w:tblCellMar>
            <w:left w:w="70" w:type="dxa"/>
            <w:right w:w="70" w:type="dxa"/>
          </w:tblCellMar>
        </w:tblPrEx>
        <w:trPr>
          <w:trHeight w:val="525"/>
        </w:trPr>
        <w:tc>
          <w:tcPr>
            <w:tcW w:w="908" w:type="dxa"/>
            <w:tcBorders>
              <w:top w:val="nil"/>
              <w:left w:val="single" w:sz="4" w:space="0" w:color="auto"/>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642</w:t>
            </w:r>
          </w:p>
        </w:tc>
        <w:tc>
          <w:tcPr>
            <w:tcW w:w="3844" w:type="dxa"/>
            <w:tcBorders>
              <w:top w:val="nil"/>
              <w:left w:val="nil"/>
              <w:bottom w:val="single" w:sz="4" w:space="0" w:color="auto"/>
              <w:right w:val="single" w:sz="4" w:space="0" w:color="auto"/>
            </w:tcBorders>
            <w:textDirection w:val="lrTb"/>
            <w:vAlign w:val="bottom"/>
          </w:tcPr>
          <w:p w:rsidR="00E202C9">
            <w:pPr>
              <w:bidi w:val="0"/>
              <w:rPr>
                <w:rFonts w:ascii="Times New Roman" w:hAnsi="Times New Roman"/>
                <w:color w:val="000000"/>
                <w:sz w:val="20"/>
                <w:szCs w:val="20"/>
              </w:rPr>
            </w:pPr>
            <w:r>
              <w:rPr>
                <w:rFonts w:ascii="Times New Roman" w:hAnsi="Times New Roman"/>
                <w:color w:val="000000"/>
                <w:sz w:val="20"/>
                <w:szCs w:val="20"/>
              </w:rPr>
              <w:t>Transfery jednotlivcom a neziskovým právnickým osobám</w:t>
            </w:r>
          </w:p>
        </w:tc>
        <w:tc>
          <w:tcPr>
            <w:tcW w:w="84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color w:val="000000"/>
                <w:sz w:val="20"/>
                <w:szCs w:val="20"/>
              </w:rPr>
              <w:t>0</w:t>
            </w:r>
          </w:p>
        </w:tc>
        <w:tc>
          <w:tcPr>
            <w:tcW w:w="1215"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b/>
                <w:bCs/>
                <w:i/>
                <w:iCs/>
                <w:color w:val="000000"/>
                <w:sz w:val="20"/>
                <w:szCs w:val="20"/>
              </w:rPr>
              <w:t>833 208</w:t>
            </w:r>
          </w:p>
        </w:tc>
        <w:tc>
          <w:tcPr>
            <w:tcW w:w="131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b/>
                <w:bCs/>
                <w:i/>
                <w:iCs/>
                <w:color w:val="000000"/>
                <w:sz w:val="20"/>
                <w:szCs w:val="20"/>
              </w:rPr>
              <w:t>578 482</w:t>
            </w:r>
          </w:p>
        </w:tc>
        <w:tc>
          <w:tcPr>
            <w:tcW w:w="1313" w:type="dxa"/>
            <w:tcBorders>
              <w:top w:val="nil"/>
              <w:left w:val="nil"/>
              <w:bottom w:val="single" w:sz="4" w:space="0" w:color="auto"/>
              <w:right w:val="single" w:sz="4" w:space="0" w:color="auto"/>
            </w:tcBorders>
            <w:noWrap/>
            <w:textDirection w:val="lrTb"/>
            <w:vAlign w:val="bottom"/>
          </w:tcPr>
          <w:p w:rsidR="00E202C9">
            <w:pPr>
              <w:bidi w:val="0"/>
              <w:jc w:val="right"/>
              <w:rPr>
                <w:rFonts w:ascii="Times New Roman" w:hAnsi="Times New Roman"/>
                <w:color w:val="000000"/>
                <w:sz w:val="20"/>
                <w:szCs w:val="20"/>
              </w:rPr>
            </w:pPr>
            <w:r>
              <w:rPr>
                <w:rFonts w:ascii="Times New Roman" w:hAnsi="Times New Roman"/>
                <w:b/>
                <w:bCs/>
                <w:i/>
                <w:iCs/>
                <w:color w:val="000000"/>
                <w:sz w:val="20"/>
                <w:szCs w:val="20"/>
              </w:rPr>
              <w:t>345 804</w:t>
            </w:r>
          </w:p>
        </w:tc>
      </w:tr>
    </w:tbl>
    <w:p w:rsidR="00E202C9" w:rsidP="00C6246E">
      <w:pPr>
        <w:bidi w:val="0"/>
        <w:jc w:val="both"/>
        <w:rPr>
          <w:rFonts w:ascii="Times New Roman" w:hAnsi="Times New Roman"/>
        </w:rPr>
      </w:pPr>
    </w:p>
    <w:p w:rsidR="00E202C9" w:rsidP="00A776AD">
      <w:pPr>
        <w:bidi w:val="0"/>
        <w:jc w:val="right"/>
        <w:rPr>
          <w:rFonts w:ascii="Times New Roman" w:hAnsi="Times New Roman"/>
          <w:sz w:val="20"/>
          <w:szCs w:val="20"/>
        </w:rPr>
      </w:pPr>
    </w:p>
    <w:sectPr w:rsidSect="00FA64DB">
      <w:headerReference w:type="default" r:id="rId4"/>
      <w:footerReference w:type="even" r:id="rId5"/>
      <w:footerReference w:type="default" r:id="rId6"/>
      <w:pgSz w:w="11906" w:h="16838"/>
      <w:pgMar w:top="1276" w:right="1274" w:bottom="1417" w:left="1417" w:header="708" w:footer="708" w:gutter="0"/>
      <w:lnNumType w:distance="0"/>
      <w:cols w:space="708"/>
      <w:noEndnote w:val="0"/>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6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74B6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60">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60">
    <w:pPr>
      <w:pStyle w:val="Header"/>
      <w:bidi w:val="0"/>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616"/>
    <w:multiLevelType w:val="hybridMultilevel"/>
    <w:tmpl w:val="F184DAFC"/>
    <w:lvl w:ilvl="0">
      <w:start w:val="1"/>
      <w:numFmt w:val="bullet"/>
      <w:lvlText w:val=""/>
      <w:lvlJc w:val="left"/>
      <w:pPr>
        <w:ind w:left="764" w:hanging="360"/>
      </w:pPr>
      <w:rPr>
        <w:rFonts w:ascii="Symbol" w:hAnsi="Symbol" w:hint="default"/>
      </w:rPr>
    </w:lvl>
    <w:lvl w:ilvl="1">
      <w:start w:val="1"/>
      <w:numFmt w:val="bullet"/>
      <w:lvlText w:val="o"/>
      <w:lvlJc w:val="left"/>
      <w:pPr>
        <w:ind w:left="1484" w:hanging="360"/>
      </w:pPr>
      <w:rPr>
        <w:rFonts w:ascii="Courier New" w:hAnsi="Courier New" w:hint="default"/>
      </w:rPr>
    </w:lvl>
    <w:lvl w:ilvl="2">
      <w:start w:val="1"/>
      <w:numFmt w:val="bullet"/>
      <w:lvlText w:val=""/>
      <w:lvlJc w:val="left"/>
      <w:pPr>
        <w:ind w:left="2204" w:hanging="360"/>
      </w:pPr>
      <w:rPr>
        <w:rFonts w:ascii="Wingdings" w:hAnsi="Wingdings" w:hint="default"/>
      </w:rPr>
    </w:lvl>
    <w:lvl w:ilvl="3">
      <w:start w:val="1"/>
      <w:numFmt w:val="bullet"/>
      <w:lvlText w:val=""/>
      <w:lvlJc w:val="left"/>
      <w:pPr>
        <w:ind w:left="2924" w:hanging="360"/>
      </w:pPr>
      <w:rPr>
        <w:rFonts w:ascii="Symbol" w:hAnsi="Symbol" w:hint="default"/>
      </w:rPr>
    </w:lvl>
    <w:lvl w:ilvl="4">
      <w:start w:val="1"/>
      <w:numFmt w:val="bullet"/>
      <w:lvlText w:val="o"/>
      <w:lvlJc w:val="left"/>
      <w:pPr>
        <w:ind w:left="3644" w:hanging="360"/>
      </w:pPr>
      <w:rPr>
        <w:rFonts w:ascii="Courier New" w:hAnsi="Courier New" w:hint="default"/>
      </w:rPr>
    </w:lvl>
    <w:lvl w:ilvl="5">
      <w:start w:val="1"/>
      <w:numFmt w:val="bullet"/>
      <w:lvlText w:val=""/>
      <w:lvlJc w:val="left"/>
      <w:pPr>
        <w:ind w:left="4364" w:hanging="360"/>
      </w:pPr>
      <w:rPr>
        <w:rFonts w:ascii="Wingdings" w:hAnsi="Wingdings" w:hint="default"/>
      </w:rPr>
    </w:lvl>
    <w:lvl w:ilvl="6">
      <w:start w:val="1"/>
      <w:numFmt w:val="bullet"/>
      <w:lvlText w:val=""/>
      <w:lvlJc w:val="left"/>
      <w:pPr>
        <w:ind w:left="5084" w:hanging="360"/>
      </w:pPr>
      <w:rPr>
        <w:rFonts w:ascii="Symbol" w:hAnsi="Symbol" w:hint="default"/>
      </w:rPr>
    </w:lvl>
    <w:lvl w:ilvl="7">
      <w:start w:val="1"/>
      <w:numFmt w:val="bullet"/>
      <w:lvlText w:val="o"/>
      <w:lvlJc w:val="left"/>
      <w:pPr>
        <w:ind w:left="5804" w:hanging="360"/>
      </w:pPr>
      <w:rPr>
        <w:rFonts w:ascii="Courier New" w:hAnsi="Courier New" w:hint="default"/>
      </w:rPr>
    </w:lvl>
    <w:lvl w:ilvl="8">
      <w:start w:val="1"/>
      <w:numFmt w:val="bullet"/>
      <w:lvlText w:val=""/>
      <w:lvlJc w:val="left"/>
      <w:pPr>
        <w:ind w:left="6524" w:hanging="360"/>
      </w:pPr>
      <w:rPr>
        <w:rFonts w:ascii="Wingdings" w:hAnsi="Wingdings" w:hint="default"/>
      </w:rPr>
    </w:lvl>
  </w:abstractNum>
  <w:abstractNum w:abstractNumId="1">
    <w:nsid w:val="07DB0959"/>
    <w:multiLevelType w:val="hybridMultilevel"/>
    <w:tmpl w:val="B7F49C0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
    <w:nsid w:val="0FAE37A2"/>
    <w:multiLevelType w:val="hybridMultilevel"/>
    <w:tmpl w:val="D4044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5BE5EC3"/>
    <w:multiLevelType w:val="hybridMultilevel"/>
    <w:tmpl w:val="7320F300"/>
    <w:lvl w:ilvl="0">
      <w:start w:val="1"/>
      <w:numFmt w:val="decimal"/>
      <w:lvlText w:val="%1."/>
      <w:lvlJc w:val="left"/>
      <w:pPr>
        <w:ind w:left="1140" w:hanging="360"/>
      </w:pPr>
      <w:rPr>
        <w:rFonts w:cs="Times New Roman"/>
        <w:rtl w:val="0"/>
        <w:cs w:val="0"/>
      </w:rPr>
    </w:lvl>
    <w:lvl w:ilvl="1">
      <w:start w:val="1"/>
      <w:numFmt w:val="lowerLetter"/>
      <w:lvlText w:val="%2."/>
      <w:lvlJc w:val="left"/>
      <w:pPr>
        <w:ind w:left="1860" w:hanging="360"/>
      </w:pPr>
      <w:rPr>
        <w:rFonts w:cs="Times New Roman"/>
        <w:rtl w:val="0"/>
        <w:cs w:val="0"/>
      </w:rPr>
    </w:lvl>
    <w:lvl w:ilvl="2">
      <w:start w:val="1"/>
      <w:numFmt w:val="lowerRoman"/>
      <w:lvlText w:val="%3."/>
      <w:lvlJc w:val="right"/>
      <w:pPr>
        <w:ind w:left="2580" w:hanging="180"/>
      </w:pPr>
      <w:rPr>
        <w:rFonts w:cs="Times New Roman"/>
        <w:rtl w:val="0"/>
        <w:cs w:val="0"/>
      </w:rPr>
    </w:lvl>
    <w:lvl w:ilvl="3">
      <w:start w:val="1"/>
      <w:numFmt w:val="decimal"/>
      <w:lvlText w:val="%4."/>
      <w:lvlJc w:val="left"/>
      <w:pPr>
        <w:ind w:left="3300" w:hanging="360"/>
      </w:pPr>
      <w:rPr>
        <w:rFonts w:cs="Times New Roman"/>
        <w:rtl w:val="0"/>
        <w:cs w:val="0"/>
      </w:rPr>
    </w:lvl>
    <w:lvl w:ilvl="4">
      <w:start w:val="1"/>
      <w:numFmt w:val="lowerLetter"/>
      <w:lvlText w:val="%5."/>
      <w:lvlJc w:val="left"/>
      <w:pPr>
        <w:ind w:left="4020" w:hanging="360"/>
      </w:pPr>
      <w:rPr>
        <w:rFonts w:cs="Times New Roman"/>
        <w:rtl w:val="0"/>
        <w:cs w:val="0"/>
      </w:rPr>
    </w:lvl>
    <w:lvl w:ilvl="5">
      <w:start w:val="1"/>
      <w:numFmt w:val="lowerRoman"/>
      <w:lvlText w:val="%6."/>
      <w:lvlJc w:val="right"/>
      <w:pPr>
        <w:ind w:left="4740" w:hanging="180"/>
      </w:pPr>
      <w:rPr>
        <w:rFonts w:cs="Times New Roman"/>
        <w:rtl w:val="0"/>
        <w:cs w:val="0"/>
      </w:rPr>
    </w:lvl>
    <w:lvl w:ilvl="6">
      <w:start w:val="1"/>
      <w:numFmt w:val="decimal"/>
      <w:lvlText w:val="%7."/>
      <w:lvlJc w:val="left"/>
      <w:pPr>
        <w:ind w:left="5460" w:hanging="360"/>
      </w:pPr>
      <w:rPr>
        <w:rFonts w:cs="Times New Roman"/>
        <w:rtl w:val="0"/>
        <w:cs w:val="0"/>
      </w:rPr>
    </w:lvl>
    <w:lvl w:ilvl="7">
      <w:start w:val="1"/>
      <w:numFmt w:val="lowerLetter"/>
      <w:lvlText w:val="%8."/>
      <w:lvlJc w:val="left"/>
      <w:pPr>
        <w:ind w:left="6180" w:hanging="360"/>
      </w:pPr>
      <w:rPr>
        <w:rFonts w:cs="Times New Roman"/>
        <w:rtl w:val="0"/>
        <w:cs w:val="0"/>
      </w:rPr>
    </w:lvl>
    <w:lvl w:ilvl="8">
      <w:start w:val="1"/>
      <w:numFmt w:val="lowerRoman"/>
      <w:lvlText w:val="%9."/>
      <w:lvlJc w:val="right"/>
      <w:pPr>
        <w:ind w:left="6900" w:hanging="180"/>
      </w:pPr>
      <w:rPr>
        <w:rFonts w:cs="Times New Roman"/>
        <w:rtl w:val="0"/>
        <w:cs w:val="0"/>
      </w:rPr>
    </w:lvl>
  </w:abstractNum>
  <w:abstractNum w:abstractNumId="4">
    <w:nsid w:val="18733217"/>
    <w:multiLevelType w:val="hybridMultilevel"/>
    <w:tmpl w:val="D5640FC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069159A"/>
    <w:multiLevelType w:val="hybridMultilevel"/>
    <w:tmpl w:val="D17296B4"/>
    <w:lvl w:ilvl="0">
      <w:start w:val="1"/>
      <w:numFmt w:val="bullet"/>
      <w:lvlText w:val=""/>
      <w:lvlJc w:val="left"/>
      <w:pPr>
        <w:ind w:left="784" w:hanging="360"/>
      </w:pPr>
      <w:rPr>
        <w:rFonts w:ascii="Symbol" w:hAnsi="Symbol" w:hint="default"/>
      </w:rPr>
    </w:lvl>
    <w:lvl w:ilvl="1">
      <w:start w:val="1"/>
      <w:numFmt w:val="bullet"/>
      <w:lvlText w:val="o"/>
      <w:lvlJc w:val="left"/>
      <w:pPr>
        <w:ind w:left="1504" w:hanging="360"/>
      </w:pPr>
      <w:rPr>
        <w:rFonts w:ascii="Courier New" w:hAnsi="Courier New" w:hint="default"/>
      </w:rPr>
    </w:lvl>
    <w:lvl w:ilvl="2">
      <w:start w:val="1"/>
      <w:numFmt w:val="bullet"/>
      <w:lvlText w:val=""/>
      <w:lvlJc w:val="left"/>
      <w:pPr>
        <w:ind w:left="2224" w:hanging="360"/>
      </w:pPr>
      <w:rPr>
        <w:rFonts w:ascii="Wingdings" w:hAnsi="Wingdings" w:hint="default"/>
      </w:rPr>
    </w:lvl>
    <w:lvl w:ilvl="3">
      <w:start w:val="1"/>
      <w:numFmt w:val="bullet"/>
      <w:lvlText w:val=""/>
      <w:lvlJc w:val="left"/>
      <w:pPr>
        <w:ind w:left="2944" w:hanging="360"/>
      </w:pPr>
      <w:rPr>
        <w:rFonts w:ascii="Symbol" w:hAnsi="Symbol" w:hint="default"/>
      </w:rPr>
    </w:lvl>
    <w:lvl w:ilvl="4">
      <w:start w:val="1"/>
      <w:numFmt w:val="bullet"/>
      <w:lvlText w:val="o"/>
      <w:lvlJc w:val="left"/>
      <w:pPr>
        <w:ind w:left="3664" w:hanging="360"/>
      </w:pPr>
      <w:rPr>
        <w:rFonts w:ascii="Courier New" w:hAnsi="Courier New" w:hint="default"/>
      </w:rPr>
    </w:lvl>
    <w:lvl w:ilvl="5">
      <w:start w:val="1"/>
      <w:numFmt w:val="bullet"/>
      <w:lvlText w:val=""/>
      <w:lvlJc w:val="left"/>
      <w:pPr>
        <w:ind w:left="4384" w:hanging="360"/>
      </w:pPr>
      <w:rPr>
        <w:rFonts w:ascii="Wingdings" w:hAnsi="Wingdings" w:hint="default"/>
      </w:rPr>
    </w:lvl>
    <w:lvl w:ilvl="6">
      <w:start w:val="1"/>
      <w:numFmt w:val="bullet"/>
      <w:lvlText w:val=""/>
      <w:lvlJc w:val="left"/>
      <w:pPr>
        <w:ind w:left="5104" w:hanging="360"/>
      </w:pPr>
      <w:rPr>
        <w:rFonts w:ascii="Symbol" w:hAnsi="Symbol" w:hint="default"/>
      </w:rPr>
    </w:lvl>
    <w:lvl w:ilvl="7">
      <w:start w:val="1"/>
      <w:numFmt w:val="bullet"/>
      <w:lvlText w:val="o"/>
      <w:lvlJc w:val="left"/>
      <w:pPr>
        <w:ind w:left="5824" w:hanging="360"/>
      </w:pPr>
      <w:rPr>
        <w:rFonts w:ascii="Courier New" w:hAnsi="Courier New" w:hint="default"/>
      </w:rPr>
    </w:lvl>
    <w:lvl w:ilvl="8">
      <w:start w:val="1"/>
      <w:numFmt w:val="bullet"/>
      <w:lvlText w:val=""/>
      <w:lvlJc w:val="left"/>
      <w:pPr>
        <w:ind w:left="6544" w:hanging="360"/>
      </w:pPr>
      <w:rPr>
        <w:rFonts w:ascii="Wingdings" w:hAnsi="Wingdings" w:hint="default"/>
      </w:rPr>
    </w:lvl>
  </w:abstractNum>
  <w:abstractNum w:abstractNumId="6">
    <w:nsid w:val="21C52B78"/>
    <w:multiLevelType w:val="hybridMultilevel"/>
    <w:tmpl w:val="B07C3B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3082C3C"/>
    <w:multiLevelType w:val="hybridMultilevel"/>
    <w:tmpl w:val="7E04F23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DA252CC"/>
    <w:multiLevelType w:val="hybridMultilevel"/>
    <w:tmpl w:val="56686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D3A1C06"/>
    <w:multiLevelType w:val="hybridMultilevel"/>
    <w:tmpl w:val="0C0A3834"/>
    <w:lvl w:ilvl="0">
      <w:start w:val="0"/>
      <w:numFmt w:val="bullet"/>
      <w:lvlText w:val="-"/>
      <w:lvlJc w:val="left"/>
      <w:pPr>
        <w:ind w:left="420" w:hanging="360"/>
      </w:pPr>
      <w:rPr>
        <w:rFonts w:ascii="Times New Roman" w:eastAsia="Times New Roman" w:hAnsi="Times New Roman"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10">
    <w:nsid w:val="3DA10FEF"/>
    <w:multiLevelType w:val="hybridMultilevel"/>
    <w:tmpl w:val="F1C82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5A22A77"/>
    <w:multiLevelType w:val="hybridMultilevel"/>
    <w:tmpl w:val="A09C1CC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D5B607A"/>
    <w:multiLevelType w:val="hybridMultilevel"/>
    <w:tmpl w:val="3D28BC90"/>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3">
    <w:nsid w:val="54EE7E96"/>
    <w:multiLevelType w:val="hybridMultilevel"/>
    <w:tmpl w:val="80C47E0E"/>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25058FA"/>
    <w:multiLevelType w:val="hybridMultilevel"/>
    <w:tmpl w:val="8D50B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85426F7"/>
    <w:multiLevelType w:val="hybridMultilevel"/>
    <w:tmpl w:val="0D4A13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8567CA1"/>
    <w:multiLevelType w:val="hybridMultilevel"/>
    <w:tmpl w:val="920E9EEC"/>
    <w:lvl w:ilvl="0">
      <w:start w:val="1"/>
      <w:numFmt w:val="upp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9220D5E"/>
    <w:multiLevelType w:val="hybridMultilevel"/>
    <w:tmpl w:val="108E8C82"/>
    <w:lvl w:ilvl="0">
      <w:start w:val="1"/>
      <w:numFmt w:val="lowerLetter"/>
      <w:lvlText w:val="%1)"/>
      <w:lvlJc w:val="left"/>
      <w:pPr>
        <w:ind w:left="720" w:hanging="360"/>
      </w:pPr>
      <w:rPr>
        <w:rFonts w:cs="Times New Roman" w:hint="default"/>
        <w:sz w:val="20"/>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C2B7558"/>
    <w:multiLevelType w:val="hybridMultilevel"/>
    <w:tmpl w:val="423ED77C"/>
    <w:lvl w:ilvl="0">
      <w:start w:val="1"/>
      <w:numFmt w:val="lowerLetter"/>
      <w:lvlText w:val="%1."/>
      <w:lvlJc w:val="left"/>
      <w:pPr>
        <w:ind w:left="14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E29576C"/>
    <w:multiLevelType w:val="hybridMultilevel"/>
    <w:tmpl w:val="3D28BC90"/>
    <w:lvl w:ilvl="0">
      <w:start w:val="1"/>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0">
    <w:nsid w:val="71970185"/>
    <w:multiLevelType w:val="hybridMultilevel"/>
    <w:tmpl w:val="67F230F4"/>
    <w:lvl w:ilvl="0">
      <w:start w:val="0"/>
      <w:numFmt w:val="bullet"/>
      <w:lvlText w:val="-"/>
      <w:lvlJc w:val="left"/>
      <w:pPr>
        <w:ind w:left="1770" w:hanging="360"/>
      </w:pPr>
      <w:rPr>
        <w:rFonts w:ascii="Times New Roman" w:eastAsia="Times New Roman" w:hAnsi="Times New Roman" w:hint="default"/>
      </w:rPr>
    </w:lvl>
    <w:lvl w:ilvl="1">
      <w:start w:val="1"/>
      <w:numFmt w:val="bullet"/>
      <w:lvlText w:val="o"/>
      <w:lvlJc w:val="left"/>
      <w:pPr>
        <w:ind w:left="2490" w:hanging="360"/>
      </w:pPr>
      <w:rPr>
        <w:rFonts w:ascii="Courier New" w:hAnsi="Courier New" w:hint="default"/>
      </w:rPr>
    </w:lvl>
    <w:lvl w:ilvl="2">
      <w:start w:val="1"/>
      <w:numFmt w:val="bullet"/>
      <w:lvlText w:val=""/>
      <w:lvlJc w:val="left"/>
      <w:pPr>
        <w:ind w:left="3210" w:hanging="360"/>
      </w:pPr>
      <w:rPr>
        <w:rFonts w:ascii="Wingdings" w:hAnsi="Wingdings" w:hint="default"/>
      </w:rPr>
    </w:lvl>
    <w:lvl w:ilvl="3">
      <w:start w:val="1"/>
      <w:numFmt w:val="bullet"/>
      <w:lvlText w:val=""/>
      <w:lvlJc w:val="left"/>
      <w:pPr>
        <w:ind w:left="3930" w:hanging="360"/>
      </w:pPr>
      <w:rPr>
        <w:rFonts w:ascii="Symbol" w:hAnsi="Symbol" w:hint="default"/>
      </w:rPr>
    </w:lvl>
    <w:lvl w:ilvl="4">
      <w:start w:val="1"/>
      <w:numFmt w:val="bullet"/>
      <w:lvlText w:val="o"/>
      <w:lvlJc w:val="left"/>
      <w:pPr>
        <w:ind w:left="4650" w:hanging="360"/>
      </w:pPr>
      <w:rPr>
        <w:rFonts w:ascii="Courier New" w:hAnsi="Courier New" w:hint="default"/>
      </w:rPr>
    </w:lvl>
    <w:lvl w:ilvl="5">
      <w:start w:val="1"/>
      <w:numFmt w:val="bullet"/>
      <w:lvlText w:val=""/>
      <w:lvlJc w:val="left"/>
      <w:pPr>
        <w:ind w:left="5370" w:hanging="360"/>
      </w:pPr>
      <w:rPr>
        <w:rFonts w:ascii="Wingdings" w:hAnsi="Wingdings" w:hint="default"/>
      </w:rPr>
    </w:lvl>
    <w:lvl w:ilvl="6">
      <w:start w:val="1"/>
      <w:numFmt w:val="bullet"/>
      <w:lvlText w:val=""/>
      <w:lvlJc w:val="left"/>
      <w:pPr>
        <w:ind w:left="6090" w:hanging="360"/>
      </w:pPr>
      <w:rPr>
        <w:rFonts w:ascii="Symbol" w:hAnsi="Symbol" w:hint="default"/>
      </w:rPr>
    </w:lvl>
    <w:lvl w:ilvl="7">
      <w:start w:val="1"/>
      <w:numFmt w:val="bullet"/>
      <w:lvlText w:val="o"/>
      <w:lvlJc w:val="left"/>
      <w:pPr>
        <w:ind w:left="6810" w:hanging="360"/>
      </w:pPr>
      <w:rPr>
        <w:rFonts w:ascii="Courier New" w:hAnsi="Courier New" w:hint="default"/>
      </w:rPr>
    </w:lvl>
    <w:lvl w:ilvl="8">
      <w:start w:val="1"/>
      <w:numFmt w:val="bullet"/>
      <w:lvlText w:val=""/>
      <w:lvlJc w:val="left"/>
      <w:pPr>
        <w:ind w:left="7530" w:hanging="360"/>
      </w:pPr>
      <w:rPr>
        <w:rFonts w:ascii="Wingdings" w:hAnsi="Wingdings" w:hint="default"/>
      </w:rPr>
    </w:lvl>
  </w:abstractNum>
  <w:abstractNum w:abstractNumId="21">
    <w:nsid w:val="779279F5"/>
    <w:multiLevelType w:val="hybridMultilevel"/>
    <w:tmpl w:val="F7FC0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
  </w:num>
  <w:num w:numId="4">
    <w:abstractNumId w:val="8"/>
  </w:num>
  <w:num w:numId="5">
    <w:abstractNumId w:val="21"/>
  </w:num>
  <w:num w:numId="6">
    <w:abstractNumId w:val="9"/>
  </w:num>
  <w:num w:numId="7">
    <w:abstractNumId w:val="10"/>
  </w:num>
  <w:num w:numId="8">
    <w:abstractNumId w:val="2"/>
  </w:num>
  <w:num w:numId="9">
    <w:abstractNumId w:val="13"/>
  </w:num>
  <w:num w:numId="10">
    <w:abstractNumId w:val="5"/>
  </w:num>
  <w:num w:numId="11">
    <w:abstractNumId w:val="11"/>
  </w:num>
  <w:num w:numId="12">
    <w:abstractNumId w:val="18"/>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6"/>
  </w:num>
  <w:num w:numId="17">
    <w:abstractNumId w:val="14"/>
  </w:num>
  <w:num w:numId="18">
    <w:abstractNumId w:val="16"/>
  </w:num>
  <w:num w:numId="19">
    <w:abstractNumId w:val="0"/>
  </w:num>
  <w:num w:numId="20">
    <w:abstractNumId w:val="20"/>
  </w:num>
  <w:num w:numId="21">
    <w:abstractNumId w:val="1"/>
  </w:num>
  <w:num w:numId="22">
    <w:abstractNumId w:val="7"/>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rsids>
    <w:rsidRoot w:val="00C6246E"/>
    <w:rsid w:val="00000945"/>
    <w:rsid w:val="0000255A"/>
    <w:rsid w:val="00015346"/>
    <w:rsid w:val="00015F1A"/>
    <w:rsid w:val="000204D9"/>
    <w:rsid w:val="00022A11"/>
    <w:rsid w:val="00024B12"/>
    <w:rsid w:val="00031EEB"/>
    <w:rsid w:val="0003568D"/>
    <w:rsid w:val="00036DD7"/>
    <w:rsid w:val="00042DDB"/>
    <w:rsid w:val="00045090"/>
    <w:rsid w:val="00046619"/>
    <w:rsid w:val="00047E7B"/>
    <w:rsid w:val="00051296"/>
    <w:rsid w:val="0005312B"/>
    <w:rsid w:val="000537DD"/>
    <w:rsid w:val="000541B0"/>
    <w:rsid w:val="00055658"/>
    <w:rsid w:val="000606B6"/>
    <w:rsid w:val="00060909"/>
    <w:rsid w:val="00060B78"/>
    <w:rsid w:val="0006266F"/>
    <w:rsid w:val="00063562"/>
    <w:rsid w:val="00063DEF"/>
    <w:rsid w:val="00065089"/>
    <w:rsid w:val="00071412"/>
    <w:rsid w:val="00071759"/>
    <w:rsid w:val="00072C92"/>
    <w:rsid w:val="000739E5"/>
    <w:rsid w:val="00080428"/>
    <w:rsid w:val="00083D72"/>
    <w:rsid w:val="00084FC1"/>
    <w:rsid w:val="000867A8"/>
    <w:rsid w:val="000870E3"/>
    <w:rsid w:val="00087860"/>
    <w:rsid w:val="000921F4"/>
    <w:rsid w:val="00092E6A"/>
    <w:rsid w:val="000957AB"/>
    <w:rsid w:val="000971B9"/>
    <w:rsid w:val="000A1CFF"/>
    <w:rsid w:val="000A5EF3"/>
    <w:rsid w:val="000A6925"/>
    <w:rsid w:val="000B6879"/>
    <w:rsid w:val="000B69C4"/>
    <w:rsid w:val="000C027E"/>
    <w:rsid w:val="000C38C5"/>
    <w:rsid w:val="000C6DBA"/>
    <w:rsid w:val="000D35B3"/>
    <w:rsid w:val="000D5962"/>
    <w:rsid w:val="000D5AB2"/>
    <w:rsid w:val="000D5B4D"/>
    <w:rsid w:val="000D6D17"/>
    <w:rsid w:val="000E053F"/>
    <w:rsid w:val="000E42B2"/>
    <w:rsid w:val="000E542B"/>
    <w:rsid w:val="000E5EC3"/>
    <w:rsid w:val="000E67D8"/>
    <w:rsid w:val="000F4D29"/>
    <w:rsid w:val="000F5BA6"/>
    <w:rsid w:val="000F7BEC"/>
    <w:rsid w:val="00100AA7"/>
    <w:rsid w:val="00100D8F"/>
    <w:rsid w:val="00102254"/>
    <w:rsid w:val="00102411"/>
    <w:rsid w:val="00102EB5"/>
    <w:rsid w:val="001118D4"/>
    <w:rsid w:val="00117815"/>
    <w:rsid w:val="00126A5E"/>
    <w:rsid w:val="001301E2"/>
    <w:rsid w:val="001307E6"/>
    <w:rsid w:val="001317A8"/>
    <w:rsid w:val="0013334A"/>
    <w:rsid w:val="00135281"/>
    <w:rsid w:val="00136836"/>
    <w:rsid w:val="00140E41"/>
    <w:rsid w:val="00141604"/>
    <w:rsid w:val="00142A4D"/>
    <w:rsid w:val="00142D48"/>
    <w:rsid w:val="00151975"/>
    <w:rsid w:val="00153118"/>
    <w:rsid w:val="00154AC8"/>
    <w:rsid w:val="00155C1A"/>
    <w:rsid w:val="00162776"/>
    <w:rsid w:val="00163F7B"/>
    <w:rsid w:val="0016555D"/>
    <w:rsid w:val="00171D0C"/>
    <w:rsid w:val="00174442"/>
    <w:rsid w:val="00177C9C"/>
    <w:rsid w:val="00180026"/>
    <w:rsid w:val="00182994"/>
    <w:rsid w:val="00186263"/>
    <w:rsid w:val="00194F3D"/>
    <w:rsid w:val="00196CE8"/>
    <w:rsid w:val="00197C1B"/>
    <w:rsid w:val="001B05AD"/>
    <w:rsid w:val="001B20C1"/>
    <w:rsid w:val="001B4C18"/>
    <w:rsid w:val="001C0B0F"/>
    <w:rsid w:val="001C1443"/>
    <w:rsid w:val="001C2754"/>
    <w:rsid w:val="001D52E6"/>
    <w:rsid w:val="001D5388"/>
    <w:rsid w:val="001D5AD6"/>
    <w:rsid w:val="001D72D8"/>
    <w:rsid w:val="001E219A"/>
    <w:rsid w:val="001E2FE3"/>
    <w:rsid w:val="001E77D6"/>
    <w:rsid w:val="001F05CA"/>
    <w:rsid w:val="001F4914"/>
    <w:rsid w:val="001F65EF"/>
    <w:rsid w:val="001F77CA"/>
    <w:rsid w:val="002002CE"/>
    <w:rsid w:val="00203EC7"/>
    <w:rsid w:val="00205AF7"/>
    <w:rsid w:val="00205EB2"/>
    <w:rsid w:val="002076B4"/>
    <w:rsid w:val="00213A4E"/>
    <w:rsid w:val="002165B9"/>
    <w:rsid w:val="00217871"/>
    <w:rsid w:val="002228D8"/>
    <w:rsid w:val="00222B5C"/>
    <w:rsid w:val="00224C86"/>
    <w:rsid w:val="00225584"/>
    <w:rsid w:val="00227F0F"/>
    <w:rsid w:val="002334D1"/>
    <w:rsid w:val="0023555F"/>
    <w:rsid w:val="00236DC6"/>
    <w:rsid w:val="00241C00"/>
    <w:rsid w:val="00244165"/>
    <w:rsid w:val="00246184"/>
    <w:rsid w:val="00247B41"/>
    <w:rsid w:val="00254E0B"/>
    <w:rsid w:val="00255BEE"/>
    <w:rsid w:val="0026104F"/>
    <w:rsid w:val="002618E5"/>
    <w:rsid w:val="00263416"/>
    <w:rsid w:val="002717F6"/>
    <w:rsid w:val="00272AB3"/>
    <w:rsid w:val="00274F3F"/>
    <w:rsid w:val="00275308"/>
    <w:rsid w:val="00275D4F"/>
    <w:rsid w:val="00281297"/>
    <w:rsid w:val="00281756"/>
    <w:rsid w:val="002852F4"/>
    <w:rsid w:val="00295F3C"/>
    <w:rsid w:val="002960DC"/>
    <w:rsid w:val="00297B4A"/>
    <w:rsid w:val="002A0EAD"/>
    <w:rsid w:val="002A277B"/>
    <w:rsid w:val="002A32A7"/>
    <w:rsid w:val="002A3348"/>
    <w:rsid w:val="002A43C7"/>
    <w:rsid w:val="002A5259"/>
    <w:rsid w:val="002A5C09"/>
    <w:rsid w:val="002B5C51"/>
    <w:rsid w:val="002B6C0E"/>
    <w:rsid w:val="002B76C2"/>
    <w:rsid w:val="002C09E4"/>
    <w:rsid w:val="002C2E3E"/>
    <w:rsid w:val="002C4819"/>
    <w:rsid w:val="002C4D5B"/>
    <w:rsid w:val="002D2C03"/>
    <w:rsid w:val="002D4049"/>
    <w:rsid w:val="002D4452"/>
    <w:rsid w:val="002E0106"/>
    <w:rsid w:val="002E1304"/>
    <w:rsid w:val="002E2CA8"/>
    <w:rsid w:val="002F411D"/>
    <w:rsid w:val="00304123"/>
    <w:rsid w:val="00305C07"/>
    <w:rsid w:val="003103EE"/>
    <w:rsid w:val="00312C09"/>
    <w:rsid w:val="0031324D"/>
    <w:rsid w:val="00313E0F"/>
    <w:rsid w:val="00316C44"/>
    <w:rsid w:val="00321DFA"/>
    <w:rsid w:val="00324E72"/>
    <w:rsid w:val="003254A6"/>
    <w:rsid w:val="00326E33"/>
    <w:rsid w:val="00327909"/>
    <w:rsid w:val="003348C0"/>
    <w:rsid w:val="00334FCC"/>
    <w:rsid w:val="00335DA3"/>
    <w:rsid w:val="00336F48"/>
    <w:rsid w:val="0034275E"/>
    <w:rsid w:val="00347D64"/>
    <w:rsid w:val="00350419"/>
    <w:rsid w:val="00350466"/>
    <w:rsid w:val="00350933"/>
    <w:rsid w:val="00352BD0"/>
    <w:rsid w:val="003554B9"/>
    <w:rsid w:val="003573CF"/>
    <w:rsid w:val="00362BF8"/>
    <w:rsid w:val="00363947"/>
    <w:rsid w:val="00363A56"/>
    <w:rsid w:val="00365DEA"/>
    <w:rsid w:val="003670B1"/>
    <w:rsid w:val="00367E22"/>
    <w:rsid w:val="00372B2C"/>
    <w:rsid w:val="00373D1C"/>
    <w:rsid w:val="00373ECD"/>
    <w:rsid w:val="00374790"/>
    <w:rsid w:val="00380A88"/>
    <w:rsid w:val="003853A9"/>
    <w:rsid w:val="00391E53"/>
    <w:rsid w:val="0039203F"/>
    <w:rsid w:val="00392BC8"/>
    <w:rsid w:val="003979B1"/>
    <w:rsid w:val="003A0439"/>
    <w:rsid w:val="003A20FA"/>
    <w:rsid w:val="003A2B89"/>
    <w:rsid w:val="003A43F0"/>
    <w:rsid w:val="003B0BCB"/>
    <w:rsid w:val="003B0DA0"/>
    <w:rsid w:val="003B7005"/>
    <w:rsid w:val="003C1672"/>
    <w:rsid w:val="003C1EFA"/>
    <w:rsid w:val="003C2580"/>
    <w:rsid w:val="003C3595"/>
    <w:rsid w:val="003C35C7"/>
    <w:rsid w:val="003C4A97"/>
    <w:rsid w:val="003C573B"/>
    <w:rsid w:val="003D1C4A"/>
    <w:rsid w:val="003D3980"/>
    <w:rsid w:val="003D5393"/>
    <w:rsid w:val="003D69E5"/>
    <w:rsid w:val="003E1A7B"/>
    <w:rsid w:val="003E42A5"/>
    <w:rsid w:val="003F210C"/>
    <w:rsid w:val="003F5065"/>
    <w:rsid w:val="003F7571"/>
    <w:rsid w:val="00403806"/>
    <w:rsid w:val="0040793B"/>
    <w:rsid w:val="00407DB5"/>
    <w:rsid w:val="004107CB"/>
    <w:rsid w:val="00413C59"/>
    <w:rsid w:val="004161A1"/>
    <w:rsid w:val="0041726B"/>
    <w:rsid w:val="0041754E"/>
    <w:rsid w:val="0041791E"/>
    <w:rsid w:val="004210CD"/>
    <w:rsid w:val="004253F2"/>
    <w:rsid w:val="004261CD"/>
    <w:rsid w:val="0042632C"/>
    <w:rsid w:val="0042633C"/>
    <w:rsid w:val="00432368"/>
    <w:rsid w:val="004344EA"/>
    <w:rsid w:val="004351FA"/>
    <w:rsid w:val="0044310A"/>
    <w:rsid w:val="00447965"/>
    <w:rsid w:val="0045246A"/>
    <w:rsid w:val="0045399D"/>
    <w:rsid w:val="00460C5C"/>
    <w:rsid w:val="0046106F"/>
    <w:rsid w:val="004645C1"/>
    <w:rsid w:val="00464F31"/>
    <w:rsid w:val="0046704B"/>
    <w:rsid w:val="00467A27"/>
    <w:rsid w:val="00467C49"/>
    <w:rsid w:val="00471298"/>
    <w:rsid w:val="00472DEB"/>
    <w:rsid w:val="004774EE"/>
    <w:rsid w:val="00481D48"/>
    <w:rsid w:val="00484785"/>
    <w:rsid w:val="00486697"/>
    <w:rsid w:val="00492778"/>
    <w:rsid w:val="004A0AE6"/>
    <w:rsid w:val="004A288F"/>
    <w:rsid w:val="004A6094"/>
    <w:rsid w:val="004A63FD"/>
    <w:rsid w:val="004B1335"/>
    <w:rsid w:val="004B1870"/>
    <w:rsid w:val="004B2597"/>
    <w:rsid w:val="004B2729"/>
    <w:rsid w:val="004B44C9"/>
    <w:rsid w:val="004B4765"/>
    <w:rsid w:val="004B743B"/>
    <w:rsid w:val="004C04DF"/>
    <w:rsid w:val="004C0750"/>
    <w:rsid w:val="004C48C9"/>
    <w:rsid w:val="004C6E53"/>
    <w:rsid w:val="004C753E"/>
    <w:rsid w:val="004D007C"/>
    <w:rsid w:val="004D05BC"/>
    <w:rsid w:val="004D7E76"/>
    <w:rsid w:val="004E04F6"/>
    <w:rsid w:val="004E1BDF"/>
    <w:rsid w:val="004E2326"/>
    <w:rsid w:val="004E23F7"/>
    <w:rsid w:val="004E5B3A"/>
    <w:rsid w:val="004E6F00"/>
    <w:rsid w:val="004E7D94"/>
    <w:rsid w:val="004F2E89"/>
    <w:rsid w:val="004F3123"/>
    <w:rsid w:val="004F3D7E"/>
    <w:rsid w:val="005010F3"/>
    <w:rsid w:val="00506724"/>
    <w:rsid w:val="0050732C"/>
    <w:rsid w:val="0051198B"/>
    <w:rsid w:val="005119EF"/>
    <w:rsid w:val="00511BF6"/>
    <w:rsid w:val="00512C88"/>
    <w:rsid w:val="005164B5"/>
    <w:rsid w:val="005209DE"/>
    <w:rsid w:val="00523D61"/>
    <w:rsid w:val="00524ECD"/>
    <w:rsid w:val="00530F5C"/>
    <w:rsid w:val="00532DE3"/>
    <w:rsid w:val="005367CC"/>
    <w:rsid w:val="00537616"/>
    <w:rsid w:val="0054067D"/>
    <w:rsid w:val="005441A8"/>
    <w:rsid w:val="00550EEF"/>
    <w:rsid w:val="00554E67"/>
    <w:rsid w:val="005575B5"/>
    <w:rsid w:val="0056064A"/>
    <w:rsid w:val="00560D2C"/>
    <w:rsid w:val="0056471D"/>
    <w:rsid w:val="0056678C"/>
    <w:rsid w:val="00570810"/>
    <w:rsid w:val="0057110C"/>
    <w:rsid w:val="00571783"/>
    <w:rsid w:val="00572332"/>
    <w:rsid w:val="005724AF"/>
    <w:rsid w:val="005832DE"/>
    <w:rsid w:val="005850A9"/>
    <w:rsid w:val="00590859"/>
    <w:rsid w:val="00594991"/>
    <w:rsid w:val="00595781"/>
    <w:rsid w:val="00595E5D"/>
    <w:rsid w:val="005962F9"/>
    <w:rsid w:val="005A0F6C"/>
    <w:rsid w:val="005B0032"/>
    <w:rsid w:val="005B290E"/>
    <w:rsid w:val="005B2CAC"/>
    <w:rsid w:val="005B411A"/>
    <w:rsid w:val="005B4CCD"/>
    <w:rsid w:val="005B55AA"/>
    <w:rsid w:val="005D2632"/>
    <w:rsid w:val="005E071C"/>
    <w:rsid w:val="005E2999"/>
    <w:rsid w:val="005E2A3A"/>
    <w:rsid w:val="005E2F3F"/>
    <w:rsid w:val="005E36D1"/>
    <w:rsid w:val="005E4345"/>
    <w:rsid w:val="005E6853"/>
    <w:rsid w:val="005E6957"/>
    <w:rsid w:val="005E6C58"/>
    <w:rsid w:val="005E7E78"/>
    <w:rsid w:val="005F0F54"/>
    <w:rsid w:val="005F14C6"/>
    <w:rsid w:val="005F2CF1"/>
    <w:rsid w:val="005F4636"/>
    <w:rsid w:val="005F4EFA"/>
    <w:rsid w:val="0060062B"/>
    <w:rsid w:val="0060178C"/>
    <w:rsid w:val="0060282B"/>
    <w:rsid w:val="00603763"/>
    <w:rsid w:val="00605D0D"/>
    <w:rsid w:val="00611678"/>
    <w:rsid w:val="0061539B"/>
    <w:rsid w:val="00617EB7"/>
    <w:rsid w:val="006208A2"/>
    <w:rsid w:val="00625FBD"/>
    <w:rsid w:val="00630463"/>
    <w:rsid w:val="00631097"/>
    <w:rsid w:val="00632AE2"/>
    <w:rsid w:val="0063733B"/>
    <w:rsid w:val="00647819"/>
    <w:rsid w:val="00655E2D"/>
    <w:rsid w:val="00656FDA"/>
    <w:rsid w:val="00657C52"/>
    <w:rsid w:val="00663872"/>
    <w:rsid w:val="0066443D"/>
    <w:rsid w:val="006649F6"/>
    <w:rsid w:val="006665FF"/>
    <w:rsid w:val="006708DF"/>
    <w:rsid w:val="00672E39"/>
    <w:rsid w:val="006735BF"/>
    <w:rsid w:val="006765A9"/>
    <w:rsid w:val="00680248"/>
    <w:rsid w:val="00683015"/>
    <w:rsid w:val="00694372"/>
    <w:rsid w:val="006963C2"/>
    <w:rsid w:val="006973B1"/>
    <w:rsid w:val="00697C02"/>
    <w:rsid w:val="006A0D1D"/>
    <w:rsid w:val="006A2911"/>
    <w:rsid w:val="006A6CD3"/>
    <w:rsid w:val="006A79C9"/>
    <w:rsid w:val="006B2221"/>
    <w:rsid w:val="006B4139"/>
    <w:rsid w:val="006B487F"/>
    <w:rsid w:val="006B4A5F"/>
    <w:rsid w:val="006B5651"/>
    <w:rsid w:val="006C0114"/>
    <w:rsid w:val="006C2055"/>
    <w:rsid w:val="006C2D49"/>
    <w:rsid w:val="006C5A68"/>
    <w:rsid w:val="006D10C1"/>
    <w:rsid w:val="006D27E1"/>
    <w:rsid w:val="006D376E"/>
    <w:rsid w:val="006E0EAC"/>
    <w:rsid w:val="006E768C"/>
    <w:rsid w:val="006F1965"/>
    <w:rsid w:val="006F19D8"/>
    <w:rsid w:val="00702C25"/>
    <w:rsid w:val="00707B09"/>
    <w:rsid w:val="00711BB4"/>
    <w:rsid w:val="00712D6B"/>
    <w:rsid w:val="007154EC"/>
    <w:rsid w:val="00715E14"/>
    <w:rsid w:val="00716001"/>
    <w:rsid w:val="007161BF"/>
    <w:rsid w:val="00721A24"/>
    <w:rsid w:val="00723A4A"/>
    <w:rsid w:val="007243FB"/>
    <w:rsid w:val="0072520C"/>
    <w:rsid w:val="007305D1"/>
    <w:rsid w:val="00732CA4"/>
    <w:rsid w:val="00736525"/>
    <w:rsid w:val="0074083B"/>
    <w:rsid w:val="007421CA"/>
    <w:rsid w:val="007422DF"/>
    <w:rsid w:val="00744D4E"/>
    <w:rsid w:val="00752D11"/>
    <w:rsid w:val="007566C9"/>
    <w:rsid w:val="00761ECB"/>
    <w:rsid w:val="007626CF"/>
    <w:rsid w:val="0076336B"/>
    <w:rsid w:val="00771546"/>
    <w:rsid w:val="0077173A"/>
    <w:rsid w:val="007717E3"/>
    <w:rsid w:val="007749D9"/>
    <w:rsid w:val="007770A4"/>
    <w:rsid w:val="007822B2"/>
    <w:rsid w:val="00783B51"/>
    <w:rsid w:val="00786E90"/>
    <w:rsid w:val="00791B0E"/>
    <w:rsid w:val="00796F1B"/>
    <w:rsid w:val="007A259D"/>
    <w:rsid w:val="007A2E32"/>
    <w:rsid w:val="007A56FD"/>
    <w:rsid w:val="007B264D"/>
    <w:rsid w:val="007B585A"/>
    <w:rsid w:val="007B5B60"/>
    <w:rsid w:val="007B5E48"/>
    <w:rsid w:val="007C2E83"/>
    <w:rsid w:val="007C41A1"/>
    <w:rsid w:val="007C7789"/>
    <w:rsid w:val="007D1FAA"/>
    <w:rsid w:val="007E2408"/>
    <w:rsid w:val="007E33BC"/>
    <w:rsid w:val="007E60D4"/>
    <w:rsid w:val="007E7E31"/>
    <w:rsid w:val="007F062B"/>
    <w:rsid w:val="007F278A"/>
    <w:rsid w:val="007F2B08"/>
    <w:rsid w:val="007F326F"/>
    <w:rsid w:val="007F6BB6"/>
    <w:rsid w:val="007F7A2C"/>
    <w:rsid w:val="00801F5D"/>
    <w:rsid w:val="008038AC"/>
    <w:rsid w:val="0080709E"/>
    <w:rsid w:val="0081055F"/>
    <w:rsid w:val="00811396"/>
    <w:rsid w:val="0081278E"/>
    <w:rsid w:val="008159F5"/>
    <w:rsid w:val="00817223"/>
    <w:rsid w:val="00817622"/>
    <w:rsid w:val="00817A73"/>
    <w:rsid w:val="008212A6"/>
    <w:rsid w:val="008263A0"/>
    <w:rsid w:val="00832315"/>
    <w:rsid w:val="00832366"/>
    <w:rsid w:val="00833E13"/>
    <w:rsid w:val="00835364"/>
    <w:rsid w:val="00836DA7"/>
    <w:rsid w:val="008377E4"/>
    <w:rsid w:val="008405EF"/>
    <w:rsid w:val="00840DFE"/>
    <w:rsid w:val="00842DE0"/>
    <w:rsid w:val="00843369"/>
    <w:rsid w:val="0084359A"/>
    <w:rsid w:val="008549C4"/>
    <w:rsid w:val="00855BC8"/>
    <w:rsid w:val="00856690"/>
    <w:rsid w:val="00857398"/>
    <w:rsid w:val="008605A6"/>
    <w:rsid w:val="00860F01"/>
    <w:rsid w:val="0086120A"/>
    <w:rsid w:val="0086356D"/>
    <w:rsid w:val="00863D25"/>
    <w:rsid w:val="00865675"/>
    <w:rsid w:val="00866F57"/>
    <w:rsid w:val="008729C1"/>
    <w:rsid w:val="00873861"/>
    <w:rsid w:val="00873BE6"/>
    <w:rsid w:val="00874C20"/>
    <w:rsid w:val="008758E3"/>
    <w:rsid w:val="00876E07"/>
    <w:rsid w:val="008775C6"/>
    <w:rsid w:val="008803C5"/>
    <w:rsid w:val="0088695D"/>
    <w:rsid w:val="00890D11"/>
    <w:rsid w:val="008926B0"/>
    <w:rsid w:val="00894C79"/>
    <w:rsid w:val="008952E6"/>
    <w:rsid w:val="00895B12"/>
    <w:rsid w:val="008A14D6"/>
    <w:rsid w:val="008A16C4"/>
    <w:rsid w:val="008A2159"/>
    <w:rsid w:val="008A271C"/>
    <w:rsid w:val="008A2FE1"/>
    <w:rsid w:val="008A3637"/>
    <w:rsid w:val="008A7D27"/>
    <w:rsid w:val="008B54A2"/>
    <w:rsid w:val="008B6341"/>
    <w:rsid w:val="008B6602"/>
    <w:rsid w:val="008B6806"/>
    <w:rsid w:val="008C0AA3"/>
    <w:rsid w:val="008C2FEC"/>
    <w:rsid w:val="008C3121"/>
    <w:rsid w:val="008C3BC1"/>
    <w:rsid w:val="008C4D55"/>
    <w:rsid w:val="008C51F5"/>
    <w:rsid w:val="008C7F58"/>
    <w:rsid w:val="008D0D3A"/>
    <w:rsid w:val="008D39F7"/>
    <w:rsid w:val="008D410B"/>
    <w:rsid w:val="008D7382"/>
    <w:rsid w:val="008E0B58"/>
    <w:rsid w:val="008E5187"/>
    <w:rsid w:val="008F0110"/>
    <w:rsid w:val="008F386F"/>
    <w:rsid w:val="008F6601"/>
    <w:rsid w:val="008F6CA7"/>
    <w:rsid w:val="008F7C58"/>
    <w:rsid w:val="00900DFC"/>
    <w:rsid w:val="00902654"/>
    <w:rsid w:val="00902697"/>
    <w:rsid w:val="00902815"/>
    <w:rsid w:val="009045CD"/>
    <w:rsid w:val="009045E2"/>
    <w:rsid w:val="00904741"/>
    <w:rsid w:val="009078C0"/>
    <w:rsid w:val="00910C89"/>
    <w:rsid w:val="00915A63"/>
    <w:rsid w:val="00915AFF"/>
    <w:rsid w:val="00916325"/>
    <w:rsid w:val="00920C12"/>
    <w:rsid w:val="00933848"/>
    <w:rsid w:val="009358C2"/>
    <w:rsid w:val="00935C16"/>
    <w:rsid w:val="0093685A"/>
    <w:rsid w:val="00942C67"/>
    <w:rsid w:val="00946FC0"/>
    <w:rsid w:val="00947086"/>
    <w:rsid w:val="00951637"/>
    <w:rsid w:val="0095242F"/>
    <w:rsid w:val="0096258E"/>
    <w:rsid w:val="00963DAB"/>
    <w:rsid w:val="00966126"/>
    <w:rsid w:val="00967C3E"/>
    <w:rsid w:val="00974B60"/>
    <w:rsid w:val="00976CC4"/>
    <w:rsid w:val="00977CC2"/>
    <w:rsid w:val="009815D3"/>
    <w:rsid w:val="0098319B"/>
    <w:rsid w:val="00990E6D"/>
    <w:rsid w:val="00995A9C"/>
    <w:rsid w:val="009A12CA"/>
    <w:rsid w:val="009A1C3A"/>
    <w:rsid w:val="009A23E7"/>
    <w:rsid w:val="009A7DA0"/>
    <w:rsid w:val="009B132C"/>
    <w:rsid w:val="009B60C3"/>
    <w:rsid w:val="009B6E1D"/>
    <w:rsid w:val="009C1EBC"/>
    <w:rsid w:val="009C2EA3"/>
    <w:rsid w:val="009C3D70"/>
    <w:rsid w:val="009D0B64"/>
    <w:rsid w:val="009D77AE"/>
    <w:rsid w:val="009E1D14"/>
    <w:rsid w:val="009E5303"/>
    <w:rsid w:val="009E67DE"/>
    <w:rsid w:val="009E6B1E"/>
    <w:rsid w:val="009E6C31"/>
    <w:rsid w:val="009E6CC9"/>
    <w:rsid w:val="009F439C"/>
    <w:rsid w:val="009F4AFF"/>
    <w:rsid w:val="009F6C80"/>
    <w:rsid w:val="00A027DE"/>
    <w:rsid w:val="00A06525"/>
    <w:rsid w:val="00A1147C"/>
    <w:rsid w:val="00A172BD"/>
    <w:rsid w:val="00A20608"/>
    <w:rsid w:val="00A31174"/>
    <w:rsid w:val="00A3383B"/>
    <w:rsid w:val="00A34E1D"/>
    <w:rsid w:val="00A37FC8"/>
    <w:rsid w:val="00A40F79"/>
    <w:rsid w:val="00A42776"/>
    <w:rsid w:val="00A43749"/>
    <w:rsid w:val="00A443F2"/>
    <w:rsid w:val="00A44A18"/>
    <w:rsid w:val="00A461E2"/>
    <w:rsid w:val="00A475B4"/>
    <w:rsid w:val="00A523D3"/>
    <w:rsid w:val="00A55C28"/>
    <w:rsid w:val="00A568A1"/>
    <w:rsid w:val="00A57007"/>
    <w:rsid w:val="00A5797B"/>
    <w:rsid w:val="00A618F7"/>
    <w:rsid w:val="00A64906"/>
    <w:rsid w:val="00A64B18"/>
    <w:rsid w:val="00A65B75"/>
    <w:rsid w:val="00A716EC"/>
    <w:rsid w:val="00A72C66"/>
    <w:rsid w:val="00A74A98"/>
    <w:rsid w:val="00A776AD"/>
    <w:rsid w:val="00A81946"/>
    <w:rsid w:val="00A82BB0"/>
    <w:rsid w:val="00A84E40"/>
    <w:rsid w:val="00A85070"/>
    <w:rsid w:val="00A90FBA"/>
    <w:rsid w:val="00A91FF6"/>
    <w:rsid w:val="00A936BA"/>
    <w:rsid w:val="00A9372B"/>
    <w:rsid w:val="00A94D2B"/>
    <w:rsid w:val="00A95D3A"/>
    <w:rsid w:val="00AA0CD6"/>
    <w:rsid w:val="00AA2427"/>
    <w:rsid w:val="00AA251B"/>
    <w:rsid w:val="00AA2803"/>
    <w:rsid w:val="00AA2C88"/>
    <w:rsid w:val="00AB4575"/>
    <w:rsid w:val="00AB6468"/>
    <w:rsid w:val="00AB7F28"/>
    <w:rsid w:val="00AC05EE"/>
    <w:rsid w:val="00AC2900"/>
    <w:rsid w:val="00AD2F41"/>
    <w:rsid w:val="00AD7D69"/>
    <w:rsid w:val="00AE19D5"/>
    <w:rsid w:val="00AE286D"/>
    <w:rsid w:val="00AE30E1"/>
    <w:rsid w:val="00AE57C4"/>
    <w:rsid w:val="00AE5EA5"/>
    <w:rsid w:val="00AE7304"/>
    <w:rsid w:val="00AE7BB6"/>
    <w:rsid w:val="00AF3658"/>
    <w:rsid w:val="00AF39A7"/>
    <w:rsid w:val="00AF581C"/>
    <w:rsid w:val="00B00199"/>
    <w:rsid w:val="00B040C2"/>
    <w:rsid w:val="00B10AAB"/>
    <w:rsid w:val="00B1483A"/>
    <w:rsid w:val="00B14FA9"/>
    <w:rsid w:val="00B165EB"/>
    <w:rsid w:val="00B2003B"/>
    <w:rsid w:val="00B21603"/>
    <w:rsid w:val="00B219FD"/>
    <w:rsid w:val="00B2752D"/>
    <w:rsid w:val="00B279A2"/>
    <w:rsid w:val="00B30A1A"/>
    <w:rsid w:val="00B335DF"/>
    <w:rsid w:val="00B343EB"/>
    <w:rsid w:val="00B344C4"/>
    <w:rsid w:val="00B35A47"/>
    <w:rsid w:val="00B4309F"/>
    <w:rsid w:val="00B4533C"/>
    <w:rsid w:val="00B47908"/>
    <w:rsid w:val="00B47BD7"/>
    <w:rsid w:val="00B53407"/>
    <w:rsid w:val="00B564AB"/>
    <w:rsid w:val="00B57E41"/>
    <w:rsid w:val="00B6182E"/>
    <w:rsid w:val="00B62982"/>
    <w:rsid w:val="00B62A72"/>
    <w:rsid w:val="00B64E99"/>
    <w:rsid w:val="00B67743"/>
    <w:rsid w:val="00B81D57"/>
    <w:rsid w:val="00B82C9B"/>
    <w:rsid w:val="00B82D8C"/>
    <w:rsid w:val="00B82DA4"/>
    <w:rsid w:val="00B860D0"/>
    <w:rsid w:val="00B90004"/>
    <w:rsid w:val="00B91085"/>
    <w:rsid w:val="00B94D4A"/>
    <w:rsid w:val="00B97206"/>
    <w:rsid w:val="00BA0900"/>
    <w:rsid w:val="00BA3315"/>
    <w:rsid w:val="00BA3FEB"/>
    <w:rsid w:val="00BA4E9A"/>
    <w:rsid w:val="00BB1040"/>
    <w:rsid w:val="00BB332A"/>
    <w:rsid w:val="00BB4FAB"/>
    <w:rsid w:val="00BB59A1"/>
    <w:rsid w:val="00BB5D47"/>
    <w:rsid w:val="00BC29E4"/>
    <w:rsid w:val="00BC32A2"/>
    <w:rsid w:val="00BC33D1"/>
    <w:rsid w:val="00BC3616"/>
    <w:rsid w:val="00BC4485"/>
    <w:rsid w:val="00BC4FAB"/>
    <w:rsid w:val="00BC6B70"/>
    <w:rsid w:val="00BC7F2A"/>
    <w:rsid w:val="00BD312E"/>
    <w:rsid w:val="00BD545C"/>
    <w:rsid w:val="00BD6DB1"/>
    <w:rsid w:val="00BD6E17"/>
    <w:rsid w:val="00BE6054"/>
    <w:rsid w:val="00BE76E7"/>
    <w:rsid w:val="00BF07A1"/>
    <w:rsid w:val="00BF2A42"/>
    <w:rsid w:val="00BF454D"/>
    <w:rsid w:val="00BF59BE"/>
    <w:rsid w:val="00BF7648"/>
    <w:rsid w:val="00BF78E2"/>
    <w:rsid w:val="00C0290F"/>
    <w:rsid w:val="00C02B92"/>
    <w:rsid w:val="00C05E95"/>
    <w:rsid w:val="00C10AEF"/>
    <w:rsid w:val="00C11899"/>
    <w:rsid w:val="00C13FA2"/>
    <w:rsid w:val="00C1728D"/>
    <w:rsid w:val="00C23884"/>
    <w:rsid w:val="00C25241"/>
    <w:rsid w:val="00C308D0"/>
    <w:rsid w:val="00C30C78"/>
    <w:rsid w:val="00C3402E"/>
    <w:rsid w:val="00C40ABF"/>
    <w:rsid w:val="00C45813"/>
    <w:rsid w:val="00C466C1"/>
    <w:rsid w:val="00C46E3E"/>
    <w:rsid w:val="00C53620"/>
    <w:rsid w:val="00C54965"/>
    <w:rsid w:val="00C60237"/>
    <w:rsid w:val="00C6246E"/>
    <w:rsid w:val="00C6500E"/>
    <w:rsid w:val="00C665B2"/>
    <w:rsid w:val="00C70353"/>
    <w:rsid w:val="00C720BD"/>
    <w:rsid w:val="00C74F4A"/>
    <w:rsid w:val="00C8029A"/>
    <w:rsid w:val="00C81F9E"/>
    <w:rsid w:val="00C83391"/>
    <w:rsid w:val="00C90A98"/>
    <w:rsid w:val="00C91129"/>
    <w:rsid w:val="00C94DD4"/>
    <w:rsid w:val="00C967D9"/>
    <w:rsid w:val="00C97987"/>
    <w:rsid w:val="00CA252B"/>
    <w:rsid w:val="00CA2B6E"/>
    <w:rsid w:val="00CA4DB2"/>
    <w:rsid w:val="00CA5F89"/>
    <w:rsid w:val="00CB165B"/>
    <w:rsid w:val="00CB1ECE"/>
    <w:rsid w:val="00CC1122"/>
    <w:rsid w:val="00CC2506"/>
    <w:rsid w:val="00CC29F8"/>
    <w:rsid w:val="00CC5D6F"/>
    <w:rsid w:val="00CC6D13"/>
    <w:rsid w:val="00CC7A25"/>
    <w:rsid w:val="00CD1E03"/>
    <w:rsid w:val="00CD2E72"/>
    <w:rsid w:val="00CD5165"/>
    <w:rsid w:val="00CD7680"/>
    <w:rsid w:val="00CE11A6"/>
    <w:rsid w:val="00CE6B86"/>
    <w:rsid w:val="00CE7FC9"/>
    <w:rsid w:val="00CF0892"/>
    <w:rsid w:val="00CF3B2E"/>
    <w:rsid w:val="00CF4714"/>
    <w:rsid w:val="00CF55EC"/>
    <w:rsid w:val="00CF5F1C"/>
    <w:rsid w:val="00D02023"/>
    <w:rsid w:val="00D02BE1"/>
    <w:rsid w:val="00D0651B"/>
    <w:rsid w:val="00D13CE1"/>
    <w:rsid w:val="00D13E78"/>
    <w:rsid w:val="00D17B0B"/>
    <w:rsid w:val="00D2227F"/>
    <w:rsid w:val="00D2469D"/>
    <w:rsid w:val="00D25038"/>
    <w:rsid w:val="00D3010F"/>
    <w:rsid w:val="00D347EE"/>
    <w:rsid w:val="00D34F79"/>
    <w:rsid w:val="00D37FB9"/>
    <w:rsid w:val="00D51E3B"/>
    <w:rsid w:val="00D525B2"/>
    <w:rsid w:val="00D537F1"/>
    <w:rsid w:val="00D55136"/>
    <w:rsid w:val="00D5639E"/>
    <w:rsid w:val="00D62F4C"/>
    <w:rsid w:val="00D64A19"/>
    <w:rsid w:val="00D65EC5"/>
    <w:rsid w:val="00D6716E"/>
    <w:rsid w:val="00D678E7"/>
    <w:rsid w:val="00D678F6"/>
    <w:rsid w:val="00D728F0"/>
    <w:rsid w:val="00D72F21"/>
    <w:rsid w:val="00D777FE"/>
    <w:rsid w:val="00D77A3F"/>
    <w:rsid w:val="00D80178"/>
    <w:rsid w:val="00D80F0D"/>
    <w:rsid w:val="00D827C9"/>
    <w:rsid w:val="00D84066"/>
    <w:rsid w:val="00D84558"/>
    <w:rsid w:val="00D86C9A"/>
    <w:rsid w:val="00D872D5"/>
    <w:rsid w:val="00D943BD"/>
    <w:rsid w:val="00DA067D"/>
    <w:rsid w:val="00DA1890"/>
    <w:rsid w:val="00DA5D1A"/>
    <w:rsid w:val="00DA7215"/>
    <w:rsid w:val="00DA7D83"/>
    <w:rsid w:val="00DB0EB2"/>
    <w:rsid w:val="00DB1AE9"/>
    <w:rsid w:val="00DB2524"/>
    <w:rsid w:val="00DB3DA9"/>
    <w:rsid w:val="00DB5805"/>
    <w:rsid w:val="00DC0C93"/>
    <w:rsid w:val="00DC0FCA"/>
    <w:rsid w:val="00DC6EF1"/>
    <w:rsid w:val="00DC785C"/>
    <w:rsid w:val="00DC7BD0"/>
    <w:rsid w:val="00DC7CAF"/>
    <w:rsid w:val="00DD437D"/>
    <w:rsid w:val="00DD4F96"/>
    <w:rsid w:val="00DD6F1B"/>
    <w:rsid w:val="00DD6FEC"/>
    <w:rsid w:val="00DE3398"/>
    <w:rsid w:val="00DE7DA5"/>
    <w:rsid w:val="00DF0AD9"/>
    <w:rsid w:val="00DF0FB1"/>
    <w:rsid w:val="00DF14C4"/>
    <w:rsid w:val="00DF2ED2"/>
    <w:rsid w:val="00DF3A7A"/>
    <w:rsid w:val="00E01178"/>
    <w:rsid w:val="00E013BB"/>
    <w:rsid w:val="00E02DC0"/>
    <w:rsid w:val="00E061DE"/>
    <w:rsid w:val="00E1415E"/>
    <w:rsid w:val="00E202C9"/>
    <w:rsid w:val="00E255F3"/>
    <w:rsid w:val="00E26609"/>
    <w:rsid w:val="00E26B01"/>
    <w:rsid w:val="00E315EB"/>
    <w:rsid w:val="00E31770"/>
    <w:rsid w:val="00E31E2F"/>
    <w:rsid w:val="00E429F0"/>
    <w:rsid w:val="00E509FF"/>
    <w:rsid w:val="00E51ACB"/>
    <w:rsid w:val="00E54C87"/>
    <w:rsid w:val="00E56BAD"/>
    <w:rsid w:val="00E579BE"/>
    <w:rsid w:val="00E6028B"/>
    <w:rsid w:val="00E62D37"/>
    <w:rsid w:val="00E63BB5"/>
    <w:rsid w:val="00E646A0"/>
    <w:rsid w:val="00E66B23"/>
    <w:rsid w:val="00E738DF"/>
    <w:rsid w:val="00E744A0"/>
    <w:rsid w:val="00E77684"/>
    <w:rsid w:val="00E77855"/>
    <w:rsid w:val="00E779C0"/>
    <w:rsid w:val="00E85268"/>
    <w:rsid w:val="00E85614"/>
    <w:rsid w:val="00E9501A"/>
    <w:rsid w:val="00E96017"/>
    <w:rsid w:val="00EA0490"/>
    <w:rsid w:val="00EA0585"/>
    <w:rsid w:val="00EA0914"/>
    <w:rsid w:val="00EA6458"/>
    <w:rsid w:val="00EB1EF3"/>
    <w:rsid w:val="00EC2DA9"/>
    <w:rsid w:val="00ED1017"/>
    <w:rsid w:val="00ED2099"/>
    <w:rsid w:val="00ED3C93"/>
    <w:rsid w:val="00ED7DE5"/>
    <w:rsid w:val="00EE01B3"/>
    <w:rsid w:val="00EE2110"/>
    <w:rsid w:val="00EE482B"/>
    <w:rsid w:val="00EE5E6C"/>
    <w:rsid w:val="00EF37E5"/>
    <w:rsid w:val="00EF4743"/>
    <w:rsid w:val="00EF5539"/>
    <w:rsid w:val="00EF6BAF"/>
    <w:rsid w:val="00F006F9"/>
    <w:rsid w:val="00F00A30"/>
    <w:rsid w:val="00F01F70"/>
    <w:rsid w:val="00F0462F"/>
    <w:rsid w:val="00F0554C"/>
    <w:rsid w:val="00F05F0D"/>
    <w:rsid w:val="00F07370"/>
    <w:rsid w:val="00F1060A"/>
    <w:rsid w:val="00F123BA"/>
    <w:rsid w:val="00F13D72"/>
    <w:rsid w:val="00F16CCB"/>
    <w:rsid w:val="00F16EF1"/>
    <w:rsid w:val="00F20230"/>
    <w:rsid w:val="00F22EE1"/>
    <w:rsid w:val="00F26F28"/>
    <w:rsid w:val="00F2761C"/>
    <w:rsid w:val="00F27D32"/>
    <w:rsid w:val="00F307D3"/>
    <w:rsid w:val="00F31535"/>
    <w:rsid w:val="00F32422"/>
    <w:rsid w:val="00F33B0E"/>
    <w:rsid w:val="00F35772"/>
    <w:rsid w:val="00F37526"/>
    <w:rsid w:val="00F37D44"/>
    <w:rsid w:val="00F43575"/>
    <w:rsid w:val="00F47D8D"/>
    <w:rsid w:val="00F53698"/>
    <w:rsid w:val="00F53A74"/>
    <w:rsid w:val="00F5585D"/>
    <w:rsid w:val="00F57C1F"/>
    <w:rsid w:val="00F60A30"/>
    <w:rsid w:val="00F63BC5"/>
    <w:rsid w:val="00F6656B"/>
    <w:rsid w:val="00F66B91"/>
    <w:rsid w:val="00F80003"/>
    <w:rsid w:val="00F80F84"/>
    <w:rsid w:val="00F81C73"/>
    <w:rsid w:val="00F83B35"/>
    <w:rsid w:val="00F85B12"/>
    <w:rsid w:val="00F90E00"/>
    <w:rsid w:val="00F92E5B"/>
    <w:rsid w:val="00FA4335"/>
    <w:rsid w:val="00FA58C7"/>
    <w:rsid w:val="00FA64DB"/>
    <w:rsid w:val="00FB64EF"/>
    <w:rsid w:val="00FB77B7"/>
    <w:rsid w:val="00FC0903"/>
    <w:rsid w:val="00FC5D49"/>
    <w:rsid w:val="00FD1C04"/>
    <w:rsid w:val="00FD23E5"/>
    <w:rsid w:val="00FD2980"/>
    <w:rsid w:val="00FD3869"/>
    <w:rsid w:val="00FD4B16"/>
    <w:rsid w:val="00FD7D50"/>
    <w:rsid w:val="00FE0582"/>
    <w:rsid w:val="00FE0A43"/>
    <w:rsid w:val="00FE28AB"/>
    <w:rsid w:val="00FE3A29"/>
    <w:rsid w:val="00FE481C"/>
    <w:rsid w:val="00FE5C9C"/>
    <w:rsid w:val="00FF05F6"/>
    <w:rsid w:val="00FF16EB"/>
    <w:rsid w:val="00FF464F"/>
    <w:rsid w:val="00FF51A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Normal (Web)"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46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ZkladntextChar1"/>
    <w:uiPriority w:val="99"/>
    <w:rsid w:val="00C6246E"/>
    <w:pPr>
      <w:jc w:val="left"/>
    </w:pPr>
    <w:rPr>
      <w:b/>
      <w:szCs w:val="20"/>
    </w:rPr>
  </w:style>
  <w:style w:type="paragraph" w:customStyle="1" w:styleId="ListParagraph1">
    <w:name w:val="List Paragraph1"/>
    <w:basedOn w:val="Normal"/>
    <w:uiPriority w:val="99"/>
    <w:rsid w:val="004C0750"/>
    <w:pPr>
      <w:ind w:left="708"/>
      <w:jc w:val="left"/>
    </w:pPr>
  </w:style>
  <w:style w:type="paragraph" w:styleId="NormalWeb">
    <w:name w:val="Normal (Web)"/>
    <w:aliases w:val="webb"/>
    <w:basedOn w:val="Normal"/>
    <w:uiPriority w:val="99"/>
    <w:rsid w:val="004C0750"/>
    <w:pPr>
      <w:spacing w:before="100" w:beforeAutospacing="1" w:after="100" w:afterAutospacing="1"/>
      <w:jc w:val="left"/>
    </w:pPr>
  </w:style>
  <w:style w:type="paragraph" w:customStyle="1" w:styleId="Odsekzoznamu1">
    <w:name w:val="Odsek zoznamu1"/>
    <w:basedOn w:val="Normal"/>
    <w:uiPriority w:val="99"/>
    <w:rsid w:val="00BD312E"/>
    <w:pPr>
      <w:spacing w:after="200" w:line="276" w:lineRule="auto"/>
      <w:ind w:left="720"/>
      <w:contextualSpacing/>
      <w:jc w:val="left"/>
    </w:pPr>
    <w:rPr>
      <w:rFonts w:ascii="Calibri" w:hAnsi="Calibri"/>
      <w:sz w:val="22"/>
      <w:szCs w:val="22"/>
      <w:lang w:eastAsia="en-US"/>
    </w:rPr>
  </w:style>
  <w:style w:type="paragraph" w:styleId="Header">
    <w:name w:val="header"/>
    <w:basedOn w:val="Normal"/>
    <w:link w:val="HlavikaChar"/>
    <w:uiPriority w:val="99"/>
    <w:rsid w:val="00C6246E"/>
    <w:pPr>
      <w:tabs>
        <w:tab w:val="center" w:pos="4536"/>
        <w:tab w:val="right" w:pos="9072"/>
      </w:tabs>
      <w:jc w:val="left"/>
    </w:pPr>
  </w:style>
  <w:style w:type="character" w:customStyle="1" w:styleId="HlavikaChar">
    <w:name w:val="Hlavička Char"/>
    <w:basedOn w:val="DefaultParagraphFont"/>
    <w:link w:val="Header"/>
    <w:uiPriority w:val="99"/>
    <w:locked/>
    <w:rsid w:val="00B53407"/>
    <w:rPr>
      <w:rFonts w:cs="Times New Roman"/>
      <w:sz w:val="24"/>
      <w:rtl w:val="0"/>
      <w:cs w:val="0"/>
    </w:rPr>
  </w:style>
  <w:style w:type="paragraph" w:styleId="BodyText2">
    <w:name w:val="Body Text 2"/>
    <w:basedOn w:val="Normal"/>
    <w:link w:val="Zkladntext2Char"/>
    <w:uiPriority w:val="99"/>
    <w:rsid w:val="00C6246E"/>
    <w:pPr>
      <w:jc w:val="left"/>
    </w:pPr>
    <w:rPr>
      <w:szCs w:val="20"/>
    </w:rPr>
  </w:style>
  <w:style w:type="character" w:customStyle="1" w:styleId="Zkladntext2Char">
    <w:name w:val="Základný text 2 Char"/>
    <w:basedOn w:val="DefaultParagraphFont"/>
    <w:link w:val="BodyText2"/>
    <w:uiPriority w:val="99"/>
    <w:semiHidden/>
    <w:locked/>
    <w:rsid w:val="009F439C"/>
    <w:rPr>
      <w:rFonts w:cs="Times New Roman"/>
      <w:sz w:val="24"/>
      <w:szCs w:val="24"/>
      <w:rtl w:val="0"/>
      <w:cs w:val="0"/>
    </w:rPr>
  </w:style>
  <w:style w:type="character" w:customStyle="1" w:styleId="ZkladntextChar1">
    <w:name w:val="Základný text Char1"/>
    <w:basedOn w:val="DefaultParagraphFont"/>
    <w:link w:val="BodyText"/>
    <w:uiPriority w:val="99"/>
    <w:locked/>
    <w:rsid w:val="0051198B"/>
    <w:rPr>
      <w:rFonts w:cs="Times New Roman"/>
      <w:b/>
      <w:sz w:val="24"/>
      <w:rtl w:val="0"/>
      <w:cs w:val="0"/>
    </w:rPr>
  </w:style>
  <w:style w:type="paragraph" w:styleId="BalloonText">
    <w:name w:val="Balloon Text"/>
    <w:basedOn w:val="Normal"/>
    <w:link w:val="TextbublinyChar"/>
    <w:uiPriority w:val="99"/>
    <w:rsid w:val="001D72D8"/>
    <w:pPr>
      <w:jc w:val="left"/>
    </w:pPr>
    <w:rPr>
      <w:rFonts w:ascii="Tahoma" w:hAnsi="Tahoma"/>
      <w:sz w:val="16"/>
      <w:szCs w:val="16"/>
    </w:rPr>
  </w:style>
  <w:style w:type="character" w:customStyle="1" w:styleId="TextbublinyChar">
    <w:name w:val="Text bubliny Char"/>
    <w:basedOn w:val="DefaultParagraphFont"/>
    <w:link w:val="BalloonText"/>
    <w:uiPriority w:val="99"/>
    <w:locked/>
    <w:rsid w:val="001D72D8"/>
    <w:rPr>
      <w:rFonts w:ascii="Tahoma" w:hAnsi="Tahoma" w:cs="Times New Roman"/>
      <w:sz w:val="16"/>
      <w:rtl w:val="0"/>
      <w:cs w:val="0"/>
    </w:rPr>
  </w:style>
  <w:style w:type="character" w:styleId="CommentReference">
    <w:name w:val="annotation reference"/>
    <w:basedOn w:val="DefaultParagraphFont"/>
    <w:uiPriority w:val="99"/>
    <w:rsid w:val="00A85070"/>
    <w:rPr>
      <w:rFonts w:cs="Times New Roman"/>
      <w:sz w:val="16"/>
      <w:rtl w:val="0"/>
      <w:cs w:val="0"/>
    </w:rPr>
  </w:style>
  <w:style w:type="paragraph" w:styleId="CommentText">
    <w:name w:val="annotation text"/>
    <w:basedOn w:val="Normal"/>
    <w:link w:val="TextkomentraChar"/>
    <w:uiPriority w:val="99"/>
    <w:rsid w:val="00A85070"/>
    <w:pPr>
      <w:jc w:val="left"/>
    </w:pPr>
    <w:rPr>
      <w:sz w:val="20"/>
      <w:szCs w:val="20"/>
    </w:rPr>
  </w:style>
  <w:style w:type="character" w:customStyle="1" w:styleId="TextkomentraChar">
    <w:name w:val="Text komentára Char"/>
    <w:basedOn w:val="DefaultParagraphFont"/>
    <w:link w:val="CommentText"/>
    <w:uiPriority w:val="99"/>
    <w:locked/>
    <w:rsid w:val="00A85070"/>
    <w:rPr>
      <w:rFonts w:cs="Times New Roman"/>
      <w:rtl w:val="0"/>
      <w:cs w:val="0"/>
    </w:rPr>
  </w:style>
  <w:style w:type="paragraph" w:styleId="CommentSubject">
    <w:name w:val="annotation subject"/>
    <w:basedOn w:val="CommentText"/>
    <w:next w:val="CommentText"/>
    <w:link w:val="PredmetkomentraChar"/>
    <w:uiPriority w:val="99"/>
    <w:rsid w:val="00A85070"/>
    <w:pPr>
      <w:jc w:val="left"/>
    </w:pPr>
    <w:rPr>
      <w:b/>
      <w:bCs/>
    </w:rPr>
  </w:style>
  <w:style w:type="character" w:customStyle="1" w:styleId="PredmetkomentraChar">
    <w:name w:val="Predmet komentára Char"/>
    <w:basedOn w:val="TextkomentraChar"/>
    <w:link w:val="CommentSubject"/>
    <w:uiPriority w:val="99"/>
    <w:locked/>
    <w:rsid w:val="00A85070"/>
    <w:rPr>
      <w:b/>
    </w:rPr>
  </w:style>
  <w:style w:type="paragraph" w:styleId="FootnoteText">
    <w:name w:val="footnote text"/>
    <w:basedOn w:val="Normal"/>
    <w:link w:val="TextpoznmkypodiarouChar"/>
    <w:uiPriority w:val="99"/>
    <w:rsid w:val="00162776"/>
    <w:pPr>
      <w:jc w:val="left"/>
    </w:pPr>
    <w:rPr>
      <w:sz w:val="20"/>
      <w:szCs w:val="20"/>
    </w:rPr>
  </w:style>
  <w:style w:type="character" w:customStyle="1" w:styleId="TextpoznmkypodiarouChar">
    <w:name w:val="Text poznámky pod čiarou Char"/>
    <w:basedOn w:val="DefaultParagraphFont"/>
    <w:link w:val="FootnoteText"/>
    <w:uiPriority w:val="99"/>
    <w:locked/>
    <w:rsid w:val="00162776"/>
    <w:rPr>
      <w:rFonts w:cs="Times New Roman"/>
      <w:rtl w:val="0"/>
      <w:cs w:val="0"/>
    </w:rPr>
  </w:style>
  <w:style w:type="character" w:styleId="FootnoteReference">
    <w:name w:val="footnote reference"/>
    <w:basedOn w:val="DefaultParagraphFont"/>
    <w:uiPriority w:val="99"/>
    <w:rsid w:val="00162776"/>
    <w:rPr>
      <w:rFonts w:cs="Times New Roman"/>
      <w:vertAlign w:val="superscript"/>
      <w:rtl w:val="0"/>
      <w:cs w:val="0"/>
    </w:rPr>
  </w:style>
  <w:style w:type="paragraph" w:styleId="Footer">
    <w:name w:val="footer"/>
    <w:basedOn w:val="Normal"/>
    <w:link w:val="PtaChar"/>
    <w:uiPriority w:val="99"/>
    <w:rsid w:val="00B53407"/>
    <w:pPr>
      <w:tabs>
        <w:tab w:val="center" w:pos="4536"/>
        <w:tab w:val="right" w:pos="9072"/>
      </w:tabs>
      <w:jc w:val="left"/>
    </w:pPr>
  </w:style>
  <w:style w:type="character" w:customStyle="1" w:styleId="PtaChar">
    <w:name w:val="Päta Char"/>
    <w:basedOn w:val="DefaultParagraphFont"/>
    <w:link w:val="Footer"/>
    <w:uiPriority w:val="99"/>
    <w:locked/>
    <w:rsid w:val="00B53407"/>
    <w:rPr>
      <w:rFonts w:cs="Times New Roman"/>
      <w:sz w:val="24"/>
      <w:rtl w:val="0"/>
      <w:cs w:val="0"/>
    </w:rPr>
  </w:style>
  <w:style w:type="character" w:styleId="PageNumber">
    <w:name w:val="page number"/>
    <w:basedOn w:val="DefaultParagraphFont"/>
    <w:uiPriority w:val="99"/>
    <w:rsid w:val="00B53407"/>
    <w:rPr>
      <w:rFonts w:cs="Times New Roman"/>
      <w:rtl w:val="0"/>
      <w:cs w:val="0"/>
    </w:rPr>
  </w:style>
  <w:style w:type="paragraph" w:styleId="Title">
    <w:name w:val="Title"/>
    <w:basedOn w:val="Normal"/>
    <w:link w:val="NzovChar"/>
    <w:uiPriority w:val="99"/>
    <w:qFormat/>
    <w:rsid w:val="00B53407"/>
    <w:pPr>
      <w:jc w:val="center"/>
    </w:pPr>
    <w:rPr>
      <w:sz w:val="28"/>
      <w:szCs w:val="20"/>
    </w:rPr>
  </w:style>
  <w:style w:type="character" w:customStyle="1" w:styleId="NzovChar">
    <w:name w:val="Názov Char"/>
    <w:basedOn w:val="DefaultParagraphFont"/>
    <w:link w:val="Title"/>
    <w:uiPriority w:val="99"/>
    <w:locked/>
    <w:rsid w:val="00B53407"/>
    <w:rPr>
      <w:rFonts w:cs="Times New Roman"/>
      <w:sz w:val="28"/>
      <w:rtl w:val="0"/>
      <w:cs w:val="0"/>
    </w:rPr>
  </w:style>
  <w:style w:type="paragraph" w:styleId="ListParagraph">
    <w:name w:val="List Paragraph"/>
    <w:basedOn w:val="Normal"/>
    <w:uiPriority w:val="99"/>
    <w:qFormat/>
    <w:rsid w:val="00BF78E2"/>
    <w:pPr>
      <w:ind w:left="720"/>
      <w:contextualSpacing/>
      <w:jc w:val="left"/>
    </w:pPr>
  </w:style>
  <w:style w:type="character" w:customStyle="1" w:styleId="ZkladntextChar">
    <w:name w:val="Základný text Char"/>
    <w:basedOn w:val="DefaultParagraphFont"/>
    <w:uiPriority w:val="99"/>
    <w:locked/>
    <w:rsid w:val="00DA7215"/>
    <w:rPr>
      <w:rFonts w:cs="Times New Roman"/>
      <w:b/>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6</Pages>
  <Words>1676</Words>
  <Characters>9508</Characters>
  <Application>Microsoft Office Word</Application>
  <DocSecurity>0</DocSecurity>
  <Lines>0</Lines>
  <Paragraphs>0</Paragraphs>
  <ScaleCrop>false</ScaleCrop>
  <Company>mhsr</Company>
  <LinksUpToDate>false</LinksUpToDate>
  <CharactersWithSpaces>11162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jureckovak</dc:creator>
  <cp:lastModifiedBy>cebulakova</cp:lastModifiedBy>
  <cp:revision>5</cp:revision>
  <cp:lastPrinted>2013-08-14T14:12:00Z</cp:lastPrinted>
  <dcterms:created xsi:type="dcterms:W3CDTF">2013-08-01T07:27:00Z</dcterms:created>
  <dcterms:modified xsi:type="dcterms:W3CDTF">2013-08-14T14:12:00Z</dcterms:modified>
</cp:coreProperties>
</file>