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17C15" w:rsidP="004C12E1">
      <w:pPr>
        <w:bidi w:val="0"/>
        <w:jc w:val="center"/>
        <w:rPr>
          <w:rFonts w:ascii="Times New Roman" w:hAnsi="Times New Roman"/>
          <w:b/>
          <w:bCs/>
        </w:rPr>
      </w:pPr>
      <w:r w:rsidRPr="00F32768">
        <w:rPr>
          <w:rFonts w:ascii="Times New Roman" w:hAnsi="Times New Roman"/>
          <w:b/>
          <w:bCs/>
        </w:rPr>
        <w:t>Dôvodová správa</w:t>
      </w:r>
    </w:p>
    <w:p w:rsidR="007B71AF" w:rsidP="005367E1">
      <w:pPr>
        <w:bidi w:val="0"/>
        <w:jc w:val="both"/>
        <w:rPr>
          <w:rFonts w:ascii="Times New Roman" w:hAnsi="Times New Roman"/>
          <w:b/>
          <w:bCs/>
        </w:rPr>
      </w:pPr>
    </w:p>
    <w:p w:rsidR="00517C15" w:rsidP="005367E1">
      <w:pPr>
        <w:numPr>
          <w:numId w:val="5"/>
        </w:numPr>
        <w:bidi w:val="0"/>
        <w:jc w:val="both"/>
        <w:rPr>
          <w:rFonts w:ascii="Times New Roman" w:hAnsi="Times New Roman"/>
          <w:b/>
          <w:bCs/>
        </w:rPr>
      </w:pPr>
      <w:r w:rsidRPr="00F32768">
        <w:rPr>
          <w:rFonts w:ascii="Times New Roman" w:hAnsi="Times New Roman"/>
          <w:b/>
          <w:bCs/>
        </w:rPr>
        <w:t>Všeobecná časť</w:t>
      </w:r>
    </w:p>
    <w:p w:rsidR="005B3B8E" w:rsidP="005367E1">
      <w:pPr>
        <w:bidi w:val="0"/>
        <w:jc w:val="both"/>
        <w:rPr>
          <w:rFonts w:ascii="Times New Roman" w:hAnsi="Times New Roman"/>
          <w:b/>
          <w:bCs/>
        </w:rPr>
      </w:pPr>
    </w:p>
    <w:p w:rsidR="00357A0D" w:rsidP="005367E1">
      <w:pPr>
        <w:bidi w:val="0"/>
        <w:jc w:val="both"/>
        <w:rPr>
          <w:rFonts w:ascii="Times New Roman" w:hAnsi="Times New Roman"/>
        </w:rPr>
      </w:pPr>
      <w:r w:rsidR="00C20EDB">
        <w:rPr>
          <w:rFonts w:ascii="Times New Roman" w:hAnsi="Times New Roman"/>
        </w:rPr>
        <w:t xml:space="preserve">Na základe poznatkov z praxe </w:t>
      </w:r>
      <w:r>
        <w:rPr>
          <w:rFonts w:ascii="Times New Roman" w:hAnsi="Times New Roman"/>
        </w:rPr>
        <w:t>predkladáme návrh zákona, ktorý má zjednodušiť podnikanie malým podnikateľom, živnostníkom s nízkymi príjmami a odbremeniť ich od nutnosti viesť účtovníctvo.</w:t>
      </w:r>
    </w:p>
    <w:p w:rsidR="00357A0D" w:rsidP="005367E1">
      <w:pPr>
        <w:bidi w:val="0"/>
        <w:jc w:val="both"/>
        <w:rPr>
          <w:rFonts w:ascii="Times New Roman" w:hAnsi="Times New Roman"/>
        </w:rPr>
      </w:pPr>
    </w:p>
    <w:p w:rsidR="00357A0D" w:rsidP="005367E1">
      <w:pPr>
        <w:bidi w:val="0"/>
        <w:jc w:val="both"/>
        <w:rPr>
          <w:rFonts w:ascii="Times New Roman" w:hAnsi="Times New Roman"/>
        </w:rPr>
      </w:pPr>
      <w:r>
        <w:rPr>
          <w:rFonts w:ascii="Times New Roman" w:hAnsi="Times New Roman"/>
        </w:rPr>
        <w:t>Zavedením jednoduchej formy kúpy licencie na rok dopredu a oprávňujúcej živnostníka podnikať bez potreby ďalšej administratívy výrazne uľahčí samostatne zárobkovo činným osobám podnikanie. Okrem podpory hospodárskeho rastu preto očakávame pozitívny dopad aj na zamestnanosť.</w:t>
      </w:r>
    </w:p>
    <w:p w:rsidR="00357A0D" w:rsidP="005367E1">
      <w:pPr>
        <w:bidi w:val="0"/>
        <w:jc w:val="both"/>
        <w:rPr>
          <w:rFonts w:ascii="Times New Roman" w:hAnsi="Times New Roman"/>
        </w:rPr>
      </w:pPr>
    </w:p>
    <w:p w:rsidR="00FC14C5" w:rsidP="005367E1">
      <w:pPr>
        <w:bidi w:val="0"/>
        <w:jc w:val="both"/>
        <w:rPr>
          <w:rFonts w:ascii="Times New Roman" w:hAnsi="Times New Roman"/>
        </w:rPr>
      </w:pPr>
      <w:r w:rsidR="00357A0D">
        <w:rPr>
          <w:rFonts w:ascii="Times New Roman" w:hAnsi="Times New Roman"/>
        </w:rPr>
        <w:t>Podľa analýz vychádza priemerne zaplatená daň živnostníka do obratu, pri ktorom vzniká povinnosť registrácie na DPH v priemere 503 eur a rozdiely vo výške dane nie sú nijako výrazné v celej šírke tohto pásma. Preto si dovoľujeme tvrdiť, že dopad na štátny rozpočet bude neutrálny až mierne pozitívny, pretože hlavný prínos licencie je jednoznačne v administratívnom zjednodušení podnikania. Okrem jednorazového zaplatenia dane si živnostník jednou platbou na rok dopredu zabezpečí aj platbu zdravotných a sociálnych odvodov, ktoré správca dane za neho odvedie</w:t>
      </w:r>
      <w:r w:rsidR="00A75159">
        <w:rPr>
          <w:rFonts w:ascii="Times New Roman" w:hAnsi="Times New Roman"/>
        </w:rPr>
        <w:t xml:space="preserve"> poisťovniam.</w:t>
      </w:r>
    </w:p>
    <w:p w:rsidR="00A75159" w:rsidP="005367E1">
      <w:pPr>
        <w:bidi w:val="0"/>
        <w:jc w:val="both"/>
        <w:rPr>
          <w:rFonts w:ascii="Times New Roman" w:hAnsi="Times New Roman"/>
        </w:rPr>
      </w:pPr>
    </w:p>
    <w:p w:rsidR="00A75159" w:rsidP="00A75159">
      <w:pPr>
        <w:bidi w:val="0"/>
        <w:jc w:val="both"/>
        <w:rPr>
          <w:rFonts w:ascii="Times New Roman" w:hAnsi="Times New Roman"/>
        </w:rPr>
      </w:pPr>
      <w:r>
        <w:rPr>
          <w:rFonts w:ascii="Times New Roman" w:hAnsi="Times New Roman"/>
        </w:rPr>
        <w:t xml:space="preserve">Z hľadiska cash flow je to pozitívny dopad nielen na štátny rozpočet ale aj pre poisťovne, pretože budú disponovať celým balíkom peňazí hneď od začiatku roka. Zároveň sa tým zníži riziko neplatenia alebo oneskoreného platenia odvodov a daní. </w:t>
      </w:r>
    </w:p>
    <w:p w:rsidR="00A75159" w:rsidP="005367E1">
      <w:pPr>
        <w:bidi w:val="0"/>
        <w:jc w:val="both"/>
        <w:rPr>
          <w:rFonts w:ascii="Times New Roman" w:hAnsi="Times New Roman"/>
        </w:rPr>
      </w:pPr>
    </w:p>
    <w:p w:rsidR="00357A0D" w:rsidP="005367E1">
      <w:pPr>
        <w:bidi w:val="0"/>
        <w:jc w:val="both"/>
        <w:rPr>
          <w:rFonts w:ascii="Times New Roman" w:hAnsi="Times New Roman"/>
        </w:rPr>
      </w:pPr>
    </w:p>
    <w:p w:rsidR="002E0C17" w:rsidP="002E0C17">
      <w:pPr>
        <w:bidi w:val="0"/>
        <w:jc w:val="both"/>
        <w:rPr>
          <w:rFonts w:ascii="Times New Roman" w:hAnsi="Times New Roman"/>
          <w:b/>
          <w:bCs/>
        </w:rPr>
      </w:pPr>
      <w:r>
        <w:rPr>
          <w:rFonts w:ascii="Times New Roman" w:hAnsi="Times New Roman"/>
          <w:b/>
          <w:bCs/>
        </w:rPr>
        <w:t xml:space="preserve">B. </w:t>
      </w:r>
      <w:r w:rsidRPr="00F32768">
        <w:rPr>
          <w:rFonts w:ascii="Times New Roman" w:hAnsi="Times New Roman"/>
          <w:b/>
          <w:bCs/>
        </w:rPr>
        <w:t>Osobitná časť</w:t>
      </w:r>
      <w:r>
        <w:rPr>
          <w:rFonts w:ascii="Times New Roman" w:hAnsi="Times New Roman"/>
          <w:b/>
          <w:bCs/>
        </w:rPr>
        <w:t xml:space="preserve"> </w:t>
      </w:r>
    </w:p>
    <w:p w:rsidR="002E0C17" w:rsidP="002E0C17">
      <w:pPr>
        <w:bidi w:val="0"/>
        <w:jc w:val="both"/>
        <w:rPr>
          <w:rFonts w:ascii="Times New Roman" w:hAnsi="Times New Roman"/>
          <w:b/>
          <w:bCs/>
        </w:rPr>
      </w:pPr>
    </w:p>
    <w:p w:rsidR="002E0C17" w:rsidP="002E0C17">
      <w:pPr>
        <w:bidi w:val="0"/>
        <w:jc w:val="both"/>
        <w:rPr>
          <w:rFonts w:ascii="Times New Roman" w:hAnsi="Times New Roman"/>
          <w:b/>
          <w:bCs/>
        </w:rPr>
      </w:pPr>
      <w:r>
        <w:rPr>
          <w:rFonts w:ascii="Times New Roman" w:hAnsi="Times New Roman"/>
          <w:b/>
          <w:bCs/>
        </w:rPr>
        <w:t>K čl. I</w:t>
      </w:r>
    </w:p>
    <w:p w:rsidR="002E0C17" w:rsidP="002E0C17">
      <w:pPr>
        <w:bidi w:val="0"/>
        <w:jc w:val="both"/>
        <w:rPr>
          <w:rFonts w:ascii="Times New Roman" w:hAnsi="Times New Roman"/>
          <w:b/>
          <w:bCs/>
        </w:rPr>
      </w:pPr>
    </w:p>
    <w:p w:rsidR="00AE2CD7" w:rsidRPr="00AE2CD7" w:rsidP="00AE2CD7">
      <w:pPr>
        <w:bidi w:val="0"/>
        <w:jc w:val="both"/>
        <w:rPr>
          <w:rFonts w:ascii="Times New Roman" w:hAnsi="Times New Roman"/>
          <w:bCs/>
        </w:rPr>
      </w:pPr>
      <w:r>
        <w:rPr>
          <w:rFonts w:ascii="Times New Roman" w:hAnsi="Times New Roman"/>
          <w:bCs/>
        </w:rPr>
        <w:t>U</w:t>
      </w:r>
      <w:r w:rsidRPr="00AE2CD7">
        <w:rPr>
          <w:rFonts w:ascii="Times New Roman" w:hAnsi="Times New Roman"/>
          <w:bCs/>
        </w:rPr>
        <w:t>stanovuje podmienky, za ktorých je možné prevádzkovať živnosť na základe živnostenskej licencie</w:t>
      </w:r>
      <w:r>
        <w:rPr>
          <w:rFonts w:ascii="Times New Roman" w:hAnsi="Times New Roman"/>
          <w:bCs/>
        </w:rPr>
        <w:t xml:space="preserve"> a samotný výpočet výšky licencie</w:t>
      </w:r>
      <w:r w:rsidRPr="00AE2CD7">
        <w:rPr>
          <w:rFonts w:ascii="Times New Roman" w:hAnsi="Times New Roman"/>
          <w:bCs/>
        </w:rPr>
        <w:t>.</w:t>
      </w:r>
    </w:p>
    <w:p w:rsidR="00AE2CD7" w:rsidP="002E0C17">
      <w:pPr>
        <w:bidi w:val="0"/>
        <w:jc w:val="both"/>
        <w:rPr>
          <w:rFonts w:ascii="Times New Roman" w:hAnsi="Times New Roman"/>
        </w:rPr>
      </w:pPr>
    </w:p>
    <w:p w:rsidR="00AE2CD7" w:rsidP="00661FAA">
      <w:pPr>
        <w:bidi w:val="0"/>
        <w:jc w:val="both"/>
        <w:rPr>
          <w:rFonts w:ascii="Times New Roman" w:hAnsi="Times New Roman"/>
          <w:b/>
          <w:bCs/>
        </w:rPr>
      </w:pPr>
      <w:r w:rsidR="00661FAA">
        <w:rPr>
          <w:rFonts w:ascii="Times New Roman" w:hAnsi="Times New Roman"/>
          <w:b/>
          <w:bCs/>
        </w:rPr>
        <w:t>K</w:t>
      </w:r>
      <w:r>
        <w:rPr>
          <w:rFonts w:ascii="Times New Roman" w:hAnsi="Times New Roman"/>
          <w:b/>
          <w:bCs/>
        </w:rPr>
        <w:t xml:space="preserve"> čl. II </w:t>
      </w:r>
    </w:p>
    <w:p w:rsidR="00AE2CD7" w:rsidP="00661FAA">
      <w:pPr>
        <w:bidi w:val="0"/>
        <w:jc w:val="both"/>
        <w:rPr>
          <w:rFonts w:ascii="Times New Roman" w:hAnsi="Times New Roman"/>
          <w:b/>
          <w:bCs/>
        </w:rPr>
      </w:pPr>
    </w:p>
    <w:p w:rsidR="00661FAA" w:rsidP="00661FAA">
      <w:pPr>
        <w:bidi w:val="0"/>
        <w:jc w:val="both"/>
        <w:rPr>
          <w:rFonts w:ascii="Times New Roman" w:hAnsi="Times New Roman"/>
          <w:b/>
          <w:bCs/>
        </w:rPr>
      </w:pPr>
      <w:r w:rsidR="00AE2CD7">
        <w:rPr>
          <w:rFonts w:ascii="Times New Roman" w:hAnsi="Times New Roman"/>
          <w:b/>
          <w:bCs/>
        </w:rPr>
        <w:t xml:space="preserve">K </w:t>
      </w:r>
      <w:r>
        <w:rPr>
          <w:rFonts w:ascii="Times New Roman" w:hAnsi="Times New Roman"/>
          <w:b/>
          <w:bCs/>
        </w:rPr>
        <w:t xml:space="preserve">bodu </w:t>
      </w:r>
      <w:r w:rsidR="00AE2CD7">
        <w:rPr>
          <w:rFonts w:ascii="Times New Roman" w:hAnsi="Times New Roman"/>
          <w:b/>
          <w:bCs/>
        </w:rPr>
        <w:t>1</w:t>
      </w:r>
      <w:r>
        <w:rPr>
          <w:rFonts w:ascii="Times New Roman" w:hAnsi="Times New Roman"/>
          <w:b/>
          <w:bCs/>
        </w:rPr>
        <w:t xml:space="preserve"> </w:t>
      </w:r>
    </w:p>
    <w:p w:rsidR="00661FAA" w:rsidP="00661FAA">
      <w:pPr>
        <w:bidi w:val="0"/>
        <w:jc w:val="both"/>
        <w:rPr>
          <w:rFonts w:ascii="Times New Roman" w:hAnsi="Times New Roman"/>
          <w:b/>
          <w:bCs/>
        </w:rPr>
      </w:pPr>
    </w:p>
    <w:p w:rsidR="00661FAA" w:rsidP="00661FAA">
      <w:pPr>
        <w:bidi w:val="0"/>
        <w:jc w:val="both"/>
        <w:rPr>
          <w:rFonts w:ascii="Times New Roman" w:hAnsi="Times New Roman"/>
          <w:bCs/>
        </w:rPr>
      </w:pPr>
      <w:r w:rsidR="00AE2CD7">
        <w:rPr>
          <w:rFonts w:ascii="Times New Roman" w:hAnsi="Times New Roman"/>
          <w:bCs/>
        </w:rPr>
        <w:t>Určuje vymeriavací základ na platenie odvodov do zdravotnej poisťovne samostatne zárobkovo činnej osoby, ktorá zaplatila licenciu.</w:t>
      </w:r>
    </w:p>
    <w:p w:rsidR="009A48B0" w:rsidP="00661FAA">
      <w:pPr>
        <w:bidi w:val="0"/>
        <w:jc w:val="both"/>
        <w:rPr>
          <w:rFonts w:ascii="Times New Roman" w:hAnsi="Times New Roman"/>
          <w:bCs/>
        </w:rPr>
      </w:pPr>
    </w:p>
    <w:p w:rsidR="00AE2CD7" w:rsidP="00AE2CD7">
      <w:pPr>
        <w:bidi w:val="0"/>
        <w:jc w:val="both"/>
        <w:rPr>
          <w:rFonts w:ascii="Times New Roman" w:hAnsi="Times New Roman"/>
          <w:b/>
          <w:bCs/>
        </w:rPr>
      </w:pPr>
      <w:r>
        <w:rPr>
          <w:rFonts w:ascii="Times New Roman" w:hAnsi="Times New Roman"/>
          <w:b/>
          <w:bCs/>
        </w:rPr>
        <w:t xml:space="preserve">K bodu 2 </w:t>
      </w:r>
    </w:p>
    <w:p w:rsidR="00AE2CD7" w:rsidP="00AE2CD7">
      <w:pPr>
        <w:bidi w:val="0"/>
        <w:jc w:val="both"/>
        <w:rPr>
          <w:rFonts w:ascii="Times New Roman" w:hAnsi="Times New Roman"/>
          <w:b/>
          <w:bCs/>
        </w:rPr>
      </w:pPr>
    </w:p>
    <w:p w:rsidR="00AE2CD7" w:rsidRPr="00AE2CD7" w:rsidP="00AE2CD7">
      <w:pPr>
        <w:bidi w:val="0"/>
        <w:jc w:val="both"/>
        <w:rPr>
          <w:rFonts w:ascii="Times New Roman" w:hAnsi="Times New Roman"/>
          <w:bCs/>
        </w:rPr>
      </w:pPr>
      <w:r>
        <w:rPr>
          <w:rFonts w:ascii="Times New Roman" w:hAnsi="Times New Roman"/>
          <w:bCs/>
        </w:rPr>
        <w:t>Ustanovuje povinnosť správcovi dane odviesť za samostatne zárobkovo činnú osobu poistné na zdravotné poistenie do zdravotnej poisťovne.</w:t>
      </w:r>
    </w:p>
    <w:p w:rsidR="00AE2CD7" w:rsidP="00661FAA">
      <w:pPr>
        <w:bidi w:val="0"/>
        <w:jc w:val="both"/>
        <w:rPr>
          <w:rFonts w:ascii="Times New Roman" w:hAnsi="Times New Roman"/>
          <w:bCs/>
        </w:rPr>
      </w:pPr>
    </w:p>
    <w:p w:rsidR="00EF3F63" w:rsidP="00661FAA">
      <w:pPr>
        <w:bidi w:val="0"/>
        <w:jc w:val="both"/>
        <w:rPr>
          <w:rFonts w:ascii="Times New Roman" w:hAnsi="Times New Roman"/>
          <w:b/>
          <w:bCs/>
        </w:rPr>
      </w:pPr>
    </w:p>
    <w:p w:rsidR="00AE2CD7" w:rsidRPr="00AE2CD7" w:rsidP="00661FAA">
      <w:pPr>
        <w:bidi w:val="0"/>
        <w:jc w:val="both"/>
        <w:rPr>
          <w:rFonts w:ascii="Times New Roman" w:hAnsi="Times New Roman"/>
          <w:b/>
          <w:bCs/>
        </w:rPr>
      </w:pPr>
      <w:r w:rsidRPr="00AE2CD7">
        <w:rPr>
          <w:rFonts w:ascii="Times New Roman" w:hAnsi="Times New Roman"/>
          <w:b/>
          <w:bCs/>
        </w:rPr>
        <w:t>K čl. II</w:t>
      </w:r>
      <w:r>
        <w:rPr>
          <w:rFonts w:ascii="Times New Roman" w:hAnsi="Times New Roman"/>
          <w:b/>
          <w:bCs/>
        </w:rPr>
        <w:t>I</w:t>
      </w:r>
    </w:p>
    <w:p w:rsidR="00AE2CD7" w:rsidP="00661FAA">
      <w:pPr>
        <w:bidi w:val="0"/>
        <w:jc w:val="both"/>
        <w:rPr>
          <w:rFonts w:ascii="Times New Roman" w:hAnsi="Times New Roman"/>
          <w:bCs/>
        </w:rPr>
      </w:pPr>
    </w:p>
    <w:p w:rsidR="00CA6C88" w:rsidP="00CA6C88">
      <w:pPr>
        <w:bidi w:val="0"/>
        <w:jc w:val="both"/>
        <w:rPr>
          <w:rFonts w:ascii="Times New Roman" w:hAnsi="Times New Roman"/>
          <w:b/>
          <w:bCs/>
        </w:rPr>
      </w:pPr>
      <w:r>
        <w:rPr>
          <w:rFonts w:ascii="Times New Roman" w:hAnsi="Times New Roman"/>
          <w:b/>
          <w:bCs/>
        </w:rPr>
        <w:t xml:space="preserve">K bodu 1 </w:t>
      </w:r>
    </w:p>
    <w:p w:rsidR="00CA6C88" w:rsidP="00CA6C88">
      <w:pPr>
        <w:bidi w:val="0"/>
        <w:jc w:val="both"/>
        <w:rPr>
          <w:rFonts w:ascii="Times New Roman" w:hAnsi="Times New Roman"/>
          <w:b/>
          <w:bCs/>
        </w:rPr>
      </w:pPr>
    </w:p>
    <w:p w:rsidR="00CA6C88" w:rsidP="00CA6C88">
      <w:pPr>
        <w:bidi w:val="0"/>
        <w:jc w:val="both"/>
        <w:rPr>
          <w:rFonts w:ascii="Times New Roman" w:hAnsi="Times New Roman"/>
          <w:bCs/>
        </w:rPr>
      </w:pPr>
      <w:r>
        <w:rPr>
          <w:rFonts w:ascii="Times New Roman" w:hAnsi="Times New Roman"/>
          <w:bCs/>
        </w:rPr>
        <w:t>Nanovo definuje vznik a zánik nemocenského a dôchodkového poistenia.</w:t>
      </w:r>
    </w:p>
    <w:p w:rsidR="00EF3F63" w:rsidP="00CA6C88">
      <w:pPr>
        <w:bidi w:val="0"/>
        <w:jc w:val="both"/>
        <w:rPr>
          <w:rFonts w:ascii="Times New Roman" w:hAnsi="Times New Roman"/>
          <w:b/>
          <w:bCs/>
        </w:rPr>
      </w:pPr>
    </w:p>
    <w:p w:rsidR="00CA6C88" w:rsidP="00CA6C88">
      <w:pPr>
        <w:bidi w:val="0"/>
        <w:jc w:val="both"/>
        <w:rPr>
          <w:rFonts w:ascii="Times New Roman" w:hAnsi="Times New Roman"/>
          <w:b/>
          <w:bCs/>
        </w:rPr>
      </w:pPr>
      <w:r>
        <w:rPr>
          <w:rFonts w:ascii="Times New Roman" w:hAnsi="Times New Roman"/>
          <w:b/>
          <w:bCs/>
        </w:rPr>
        <w:t xml:space="preserve">K bodu 2 </w:t>
      </w:r>
    </w:p>
    <w:p w:rsidR="00CA6C88" w:rsidP="00CA6C88">
      <w:pPr>
        <w:bidi w:val="0"/>
        <w:jc w:val="both"/>
        <w:rPr>
          <w:rFonts w:ascii="Times New Roman" w:hAnsi="Times New Roman"/>
          <w:b/>
          <w:bCs/>
        </w:rPr>
      </w:pPr>
    </w:p>
    <w:p w:rsidR="00CA6C88" w:rsidP="00CA6C88">
      <w:pPr>
        <w:bidi w:val="0"/>
        <w:jc w:val="both"/>
        <w:rPr>
          <w:rFonts w:ascii="Times New Roman" w:hAnsi="Times New Roman"/>
          <w:bCs/>
        </w:rPr>
      </w:pPr>
      <w:r>
        <w:rPr>
          <w:rFonts w:ascii="Times New Roman" w:hAnsi="Times New Roman"/>
          <w:bCs/>
        </w:rPr>
        <w:t>Vypúšťa</w:t>
      </w:r>
      <w:r w:rsidR="00930CF3">
        <w:rPr>
          <w:rFonts w:ascii="Times New Roman" w:hAnsi="Times New Roman"/>
          <w:bCs/>
        </w:rPr>
        <w:t>jú odseky 2 a 3</w:t>
      </w:r>
    </w:p>
    <w:p w:rsidR="00CA6C88" w:rsidP="00CA6C88">
      <w:pPr>
        <w:bidi w:val="0"/>
        <w:jc w:val="both"/>
        <w:rPr>
          <w:rFonts w:ascii="Times New Roman" w:hAnsi="Times New Roman"/>
          <w:bCs/>
        </w:rPr>
      </w:pPr>
    </w:p>
    <w:p w:rsidR="00AE2CD7" w:rsidP="00AE2CD7">
      <w:pPr>
        <w:bidi w:val="0"/>
        <w:jc w:val="both"/>
        <w:rPr>
          <w:rFonts w:ascii="Times New Roman" w:hAnsi="Times New Roman"/>
          <w:b/>
          <w:bCs/>
        </w:rPr>
      </w:pPr>
      <w:r>
        <w:rPr>
          <w:rFonts w:ascii="Times New Roman" w:hAnsi="Times New Roman"/>
          <w:b/>
          <w:bCs/>
        </w:rPr>
        <w:t xml:space="preserve">K bodu </w:t>
      </w:r>
      <w:r w:rsidR="00930CF3">
        <w:rPr>
          <w:rFonts w:ascii="Times New Roman" w:hAnsi="Times New Roman"/>
          <w:b/>
          <w:bCs/>
        </w:rPr>
        <w:t>3</w:t>
      </w:r>
      <w:r>
        <w:rPr>
          <w:rFonts w:ascii="Times New Roman" w:hAnsi="Times New Roman"/>
          <w:b/>
          <w:bCs/>
        </w:rPr>
        <w:t xml:space="preserve"> </w:t>
      </w:r>
    </w:p>
    <w:p w:rsidR="00AE2CD7" w:rsidP="00AE2CD7">
      <w:pPr>
        <w:bidi w:val="0"/>
        <w:jc w:val="both"/>
        <w:rPr>
          <w:rFonts w:ascii="Times New Roman" w:hAnsi="Times New Roman"/>
          <w:b/>
          <w:bCs/>
        </w:rPr>
      </w:pPr>
    </w:p>
    <w:p w:rsidR="00AE2CD7" w:rsidP="00AE2CD7">
      <w:pPr>
        <w:bidi w:val="0"/>
        <w:jc w:val="both"/>
        <w:rPr>
          <w:rFonts w:ascii="Times New Roman" w:hAnsi="Times New Roman"/>
          <w:bCs/>
        </w:rPr>
      </w:pPr>
      <w:r>
        <w:rPr>
          <w:rFonts w:ascii="Times New Roman" w:hAnsi="Times New Roman"/>
          <w:bCs/>
        </w:rPr>
        <w:t>Určuje vymeriavací základ na platenie odvodov do Sociálnej poisťovne samostatne zárobkovo činnej osoby, ktorá zaplatila licenciu.</w:t>
      </w:r>
    </w:p>
    <w:p w:rsidR="00AE2CD7" w:rsidP="00661FAA">
      <w:pPr>
        <w:bidi w:val="0"/>
        <w:jc w:val="both"/>
        <w:rPr>
          <w:rFonts w:ascii="Times New Roman" w:hAnsi="Times New Roman"/>
          <w:bCs/>
        </w:rPr>
      </w:pPr>
    </w:p>
    <w:p w:rsidR="00AE2CD7" w:rsidP="00AE2CD7">
      <w:pPr>
        <w:bidi w:val="0"/>
        <w:jc w:val="both"/>
        <w:rPr>
          <w:rFonts w:ascii="Times New Roman" w:hAnsi="Times New Roman"/>
          <w:b/>
          <w:bCs/>
        </w:rPr>
      </w:pPr>
      <w:r w:rsidR="00CA6C88">
        <w:rPr>
          <w:rFonts w:ascii="Times New Roman" w:hAnsi="Times New Roman"/>
          <w:b/>
          <w:bCs/>
        </w:rPr>
        <w:t xml:space="preserve">K bodu </w:t>
      </w:r>
      <w:r w:rsidR="00930CF3">
        <w:rPr>
          <w:rFonts w:ascii="Times New Roman" w:hAnsi="Times New Roman"/>
          <w:b/>
          <w:bCs/>
        </w:rPr>
        <w:t>4</w:t>
      </w:r>
      <w:r>
        <w:rPr>
          <w:rFonts w:ascii="Times New Roman" w:hAnsi="Times New Roman"/>
          <w:b/>
          <w:bCs/>
        </w:rPr>
        <w:t xml:space="preserve"> </w:t>
      </w:r>
    </w:p>
    <w:p w:rsidR="00AE2CD7" w:rsidP="00AE2CD7">
      <w:pPr>
        <w:bidi w:val="0"/>
        <w:jc w:val="both"/>
        <w:rPr>
          <w:rFonts w:ascii="Times New Roman" w:hAnsi="Times New Roman"/>
          <w:b/>
          <w:bCs/>
        </w:rPr>
      </w:pPr>
    </w:p>
    <w:p w:rsidR="00AE2CD7" w:rsidRPr="00AE2CD7" w:rsidP="00AE2CD7">
      <w:pPr>
        <w:bidi w:val="0"/>
        <w:jc w:val="both"/>
        <w:rPr>
          <w:rFonts w:ascii="Times New Roman" w:hAnsi="Times New Roman"/>
          <w:bCs/>
        </w:rPr>
      </w:pPr>
      <w:r>
        <w:rPr>
          <w:rFonts w:ascii="Times New Roman" w:hAnsi="Times New Roman"/>
          <w:bCs/>
        </w:rPr>
        <w:t>Ustanovuje povinnosť správcovi dane odviesť za samostatne zárobkovo činnú osobu poistné do Sociálnej poisťovne na 12 mesiacov vopred.</w:t>
      </w:r>
    </w:p>
    <w:p w:rsidR="00AE2CD7" w:rsidP="00661FAA">
      <w:pPr>
        <w:bidi w:val="0"/>
        <w:jc w:val="both"/>
        <w:rPr>
          <w:rFonts w:ascii="Times New Roman" w:hAnsi="Times New Roman"/>
          <w:bCs/>
        </w:rPr>
      </w:pPr>
    </w:p>
    <w:p w:rsidR="00AE2CD7" w:rsidP="00AE2CD7">
      <w:pPr>
        <w:bidi w:val="0"/>
        <w:jc w:val="both"/>
        <w:rPr>
          <w:rFonts w:ascii="Times New Roman" w:hAnsi="Times New Roman"/>
          <w:b/>
          <w:bCs/>
        </w:rPr>
      </w:pPr>
      <w:r w:rsidR="00CA6C88">
        <w:rPr>
          <w:rFonts w:ascii="Times New Roman" w:hAnsi="Times New Roman"/>
          <w:b/>
          <w:bCs/>
        </w:rPr>
        <w:t xml:space="preserve">K bodu </w:t>
      </w:r>
      <w:r w:rsidR="00930CF3">
        <w:rPr>
          <w:rFonts w:ascii="Times New Roman" w:hAnsi="Times New Roman"/>
          <w:b/>
          <w:bCs/>
        </w:rPr>
        <w:t>5</w:t>
      </w:r>
      <w:r>
        <w:rPr>
          <w:rFonts w:ascii="Times New Roman" w:hAnsi="Times New Roman"/>
          <w:b/>
          <w:bCs/>
        </w:rPr>
        <w:t xml:space="preserve"> </w:t>
      </w:r>
    </w:p>
    <w:p w:rsidR="00AE2CD7" w:rsidP="00AE2CD7">
      <w:pPr>
        <w:bidi w:val="0"/>
        <w:jc w:val="both"/>
        <w:rPr>
          <w:rFonts w:ascii="Times New Roman" w:hAnsi="Times New Roman"/>
          <w:b/>
          <w:bCs/>
        </w:rPr>
      </w:pPr>
    </w:p>
    <w:p w:rsidR="00AE2CD7" w:rsidRPr="00AE2CD7" w:rsidP="00AE2CD7">
      <w:pPr>
        <w:bidi w:val="0"/>
        <w:jc w:val="both"/>
        <w:rPr>
          <w:rFonts w:ascii="Times New Roman" w:hAnsi="Times New Roman"/>
          <w:bCs/>
        </w:rPr>
      </w:pPr>
      <w:r>
        <w:rPr>
          <w:rFonts w:ascii="Times New Roman" w:hAnsi="Times New Roman"/>
          <w:bCs/>
        </w:rPr>
        <w:t>Ustanovuje povinnosť správcovi dane odviesť za samostatne zárobkovo činnú osobu poistné do Sociálnej poisťovne do 20 dní od začiatku zdaňovacieho obdobia.</w:t>
      </w:r>
    </w:p>
    <w:p w:rsidR="00AE2CD7" w:rsidP="00661FAA">
      <w:pPr>
        <w:bidi w:val="0"/>
        <w:jc w:val="both"/>
        <w:rPr>
          <w:rFonts w:ascii="Times New Roman" w:hAnsi="Times New Roman"/>
          <w:bCs/>
        </w:rPr>
      </w:pPr>
    </w:p>
    <w:p w:rsidR="00AE2CD7" w:rsidRPr="001A289B" w:rsidP="00661FAA">
      <w:pPr>
        <w:bidi w:val="0"/>
        <w:jc w:val="both"/>
        <w:rPr>
          <w:rFonts w:ascii="Times New Roman" w:hAnsi="Times New Roman"/>
          <w:b/>
          <w:bCs/>
        </w:rPr>
      </w:pPr>
      <w:r w:rsidRPr="001A289B" w:rsidR="001A289B">
        <w:rPr>
          <w:rFonts w:ascii="Times New Roman" w:hAnsi="Times New Roman"/>
          <w:b/>
          <w:bCs/>
        </w:rPr>
        <w:t>K čl. IV</w:t>
      </w:r>
    </w:p>
    <w:p w:rsidR="001A289B" w:rsidP="00661FAA">
      <w:pPr>
        <w:bidi w:val="0"/>
        <w:jc w:val="both"/>
        <w:rPr>
          <w:rFonts w:ascii="Times New Roman" w:hAnsi="Times New Roman"/>
          <w:bCs/>
        </w:rPr>
      </w:pPr>
    </w:p>
    <w:p w:rsidR="009A48B0" w:rsidP="009A48B0">
      <w:pPr>
        <w:bidi w:val="0"/>
        <w:jc w:val="both"/>
        <w:rPr>
          <w:rFonts w:ascii="Times New Roman" w:hAnsi="Times New Roman"/>
          <w:b/>
          <w:bCs/>
        </w:rPr>
      </w:pPr>
      <w:r w:rsidR="001A289B">
        <w:rPr>
          <w:rFonts w:ascii="Times New Roman" w:hAnsi="Times New Roman"/>
          <w:b/>
          <w:bCs/>
        </w:rPr>
        <w:t>K bodu 1</w:t>
      </w:r>
      <w:r>
        <w:rPr>
          <w:rFonts w:ascii="Times New Roman" w:hAnsi="Times New Roman"/>
          <w:b/>
          <w:bCs/>
        </w:rPr>
        <w:t xml:space="preserve"> </w:t>
      </w:r>
    </w:p>
    <w:p w:rsidR="009A48B0" w:rsidP="009A48B0">
      <w:pPr>
        <w:bidi w:val="0"/>
        <w:jc w:val="both"/>
        <w:rPr>
          <w:rFonts w:ascii="Times New Roman" w:hAnsi="Times New Roman"/>
          <w:b/>
          <w:bCs/>
        </w:rPr>
      </w:pPr>
    </w:p>
    <w:p w:rsidR="00661FAA" w:rsidP="002E0C17">
      <w:pPr>
        <w:bidi w:val="0"/>
        <w:jc w:val="both"/>
        <w:rPr>
          <w:rFonts w:ascii="Times New Roman" w:hAnsi="Times New Roman"/>
          <w:bCs/>
        </w:rPr>
      </w:pPr>
      <w:r w:rsidR="001A289B">
        <w:rPr>
          <w:rFonts w:ascii="Times New Roman" w:hAnsi="Times New Roman"/>
          <w:bCs/>
        </w:rPr>
        <w:t>Ustanovuje, že d</w:t>
      </w:r>
      <w:r w:rsidRPr="001A289B" w:rsidR="001A289B">
        <w:rPr>
          <w:rFonts w:ascii="Times New Roman" w:hAnsi="Times New Roman"/>
          <w:bCs/>
        </w:rPr>
        <w:t>aňové priznanie nie je povinný podať daňovník</w:t>
      </w:r>
      <w:r w:rsidR="001A289B">
        <w:rPr>
          <w:rFonts w:ascii="Times New Roman" w:hAnsi="Times New Roman"/>
          <w:bCs/>
        </w:rPr>
        <w:t>, ktorý zaplatil živnostenskú licenciu.</w:t>
      </w:r>
    </w:p>
    <w:p w:rsidR="001A289B" w:rsidP="002E0C17">
      <w:pPr>
        <w:bidi w:val="0"/>
        <w:jc w:val="both"/>
        <w:rPr>
          <w:rFonts w:ascii="Times New Roman" w:hAnsi="Times New Roman"/>
        </w:rPr>
      </w:pPr>
    </w:p>
    <w:p w:rsidR="001A289B" w:rsidP="001A289B">
      <w:pPr>
        <w:bidi w:val="0"/>
        <w:jc w:val="both"/>
        <w:rPr>
          <w:rFonts w:ascii="Times New Roman" w:hAnsi="Times New Roman"/>
          <w:b/>
          <w:bCs/>
        </w:rPr>
      </w:pPr>
      <w:r>
        <w:rPr>
          <w:rFonts w:ascii="Times New Roman" w:hAnsi="Times New Roman"/>
          <w:b/>
          <w:bCs/>
        </w:rPr>
        <w:t xml:space="preserve">K bodu 2 </w:t>
      </w:r>
    </w:p>
    <w:p w:rsidR="001A289B" w:rsidP="001A289B">
      <w:pPr>
        <w:bidi w:val="0"/>
        <w:jc w:val="both"/>
        <w:rPr>
          <w:rFonts w:ascii="Times New Roman" w:hAnsi="Times New Roman"/>
          <w:b/>
          <w:bCs/>
        </w:rPr>
      </w:pPr>
    </w:p>
    <w:p w:rsidR="001A289B" w:rsidP="002E0C17">
      <w:pPr>
        <w:bidi w:val="0"/>
        <w:jc w:val="both"/>
        <w:rPr>
          <w:rFonts w:ascii="Times New Roman" w:hAnsi="Times New Roman"/>
          <w:bCs/>
        </w:rPr>
      </w:pPr>
      <w:r>
        <w:rPr>
          <w:rFonts w:ascii="Times New Roman" w:hAnsi="Times New Roman"/>
          <w:bCs/>
        </w:rPr>
        <w:t>Ustanovuje, že p</w:t>
      </w:r>
      <w:r w:rsidRPr="001A289B">
        <w:rPr>
          <w:rFonts w:ascii="Times New Roman" w:hAnsi="Times New Roman"/>
          <w:bCs/>
        </w:rPr>
        <w:t>reddavky na daň  neplatí ani daňovník, ktorý za zdaňovacie obdobie, v ktorom sa majú preddavky platiť, zaplatil živnostenskú licenciu</w:t>
      </w:r>
      <w:r>
        <w:rPr>
          <w:rFonts w:ascii="Times New Roman" w:hAnsi="Times New Roman"/>
          <w:bCs/>
        </w:rPr>
        <w:t>.</w:t>
      </w:r>
    </w:p>
    <w:p w:rsidR="001A289B" w:rsidP="002E0C17">
      <w:pPr>
        <w:bidi w:val="0"/>
        <w:jc w:val="both"/>
        <w:rPr>
          <w:rFonts w:ascii="Times New Roman" w:hAnsi="Times New Roman"/>
        </w:rPr>
      </w:pPr>
    </w:p>
    <w:p w:rsidR="001A289B" w:rsidP="001A289B">
      <w:pPr>
        <w:bidi w:val="0"/>
        <w:jc w:val="both"/>
        <w:rPr>
          <w:rFonts w:ascii="Times New Roman" w:hAnsi="Times New Roman"/>
          <w:b/>
          <w:bCs/>
        </w:rPr>
      </w:pPr>
      <w:r>
        <w:rPr>
          <w:rFonts w:ascii="Times New Roman" w:hAnsi="Times New Roman"/>
          <w:b/>
          <w:bCs/>
        </w:rPr>
        <w:t xml:space="preserve">K bodu 3 </w:t>
      </w:r>
    </w:p>
    <w:p w:rsidR="001A289B" w:rsidP="001A289B">
      <w:pPr>
        <w:bidi w:val="0"/>
        <w:jc w:val="both"/>
        <w:rPr>
          <w:rFonts w:ascii="Times New Roman" w:hAnsi="Times New Roman"/>
          <w:b/>
          <w:bCs/>
        </w:rPr>
      </w:pPr>
    </w:p>
    <w:p w:rsidR="001A289B" w:rsidP="001A289B">
      <w:pPr>
        <w:bidi w:val="0"/>
        <w:jc w:val="both"/>
        <w:rPr>
          <w:rFonts w:ascii="Times New Roman" w:hAnsi="Times New Roman"/>
          <w:bCs/>
        </w:rPr>
      </w:pPr>
      <w:r>
        <w:rPr>
          <w:rFonts w:ascii="Times New Roman" w:hAnsi="Times New Roman"/>
          <w:bCs/>
        </w:rPr>
        <w:t>Ustanovuje</w:t>
      </w:r>
      <w:r w:rsidR="00603A26">
        <w:rPr>
          <w:rFonts w:ascii="Times New Roman" w:hAnsi="Times New Roman"/>
          <w:bCs/>
        </w:rPr>
        <w:t xml:space="preserve"> podmienky pri porušení podmienok živnostenskej licenie.</w:t>
      </w:r>
    </w:p>
    <w:p w:rsidR="001A289B" w:rsidP="002E0C17">
      <w:pPr>
        <w:bidi w:val="0"/>
        <w:jc w:val="both"/>
        <w:rPr>
          <w:rFonts w:ascii="Times New Roman" w:hAnsi="Times New Roman"/>
        </w:rPr>
      </w:pPr>
    </w:p>
    <w:p w:rsidR="001A289B" w:rsidP="001A289B">
      <w:pPr>
        <w:bidi w:val="0"/>
        <w:jc w:val="both"/>
        <w:rPr>
          <w:rFonts w:ascii="Times New Roman" w:hAnsi="Times New Roman"/>
          <w:b/>
          <w:bCs/>
        </w:rPr>
      </w:pPr>
      <w:r>
        <w:rPr>
          <w:rFonts w:ascii="Times New Roman" w:hAnsi="Times New Roman"/>
          <w:b/>
          <w:bCs/>
        </w:rPr>
        <w:t xml:space="preserve">K bodu 4 </w:t>
      </w:r>
    </w:p>
    <w:p w:rsidR="001A289B" w:rsidP="001A289B">
      <w:pPr>
        <w:bidi w:val="0"/>
        <w:jc w:val="both"/>
        <w:rPr>
          <w:rFonts w:ascii="Times New Roman" w:hAnsi="Times New Roman"/>
          <w:b/>
          <w:bCs/>
        </w:rPr>
      </w:pPr>
    </w:p>
    <w:p w:rsidR="001A289B" w:rsidP="002E0C17">
      <w:pPr>
        <w:bidi w:val="0"/>
        <w:jc w:val="both"/>
        <w:rPr>
          <w:rFonts w:ascii="Times New Roman" w:hAnsi="Times New Roman"/>
        </w:rPr>
      </w:pPr>
      <w:r w:rsidR="00603A26">
        <w:rPr>
          <w:rFonts w:ascii="Times New Roman" w:hAnsi="Times New Roman"/>
          <w:bCs/>
        </w:rPr>
        <w:t>Doplňuje podmienky</w:t>
      </w:r>
      <w:r>
        <w:rPr>
          <w:rFonts w:ascii="Times New Roman" w:hAnsi="Times New Roman"/>
          <w:bCs/>
        </w:rPr>
        <w:t xml:space="preserve">, že </w:t>
      </w:r>
      <w:r w:rsidR="00603A26">
        <w:rPr>
          <w:rFonts w:ascii="Times New Roman" w:hAnsi="Times New Roman"/>
          <w:bCs/>
        </w:rPr>
        <w:t>d</w:t>
      </w:r>
      <w:r w:rsidRPr="00603A26" w:rsidR="00603A26">
        <w:rPr>
          <w:rFonts w:ascii="Times New Roman" w:hAnsi="Times New Roman"/>
          <w:bCs/>
        </w:rPr>
        <w:t>aň za zdaňovacie obdobie sa neplatí, ak daňovník v tomto zdaňovacom období zaplatil živnostenskú licenciu, alebo ak daň na úhradu vypočítaná v daňovom priznaní nepresiahne sumu 3, 32 eur</w:t>
      </w:r>
      <w:r w:rsidR="00603A26">
        <w:rPr>
          <w:rFonts w:ascii="Times New Roman" w:hAnsi="Times New Roman"/>
          <w:bCs/>
        </w:rPr>
        <w:t>.</w:t>
      </w:r>
    </w:p>
    <w:p w:rsidR="001A289B" w:rsidP="002E0C17">
      <w:pPr>
        <w:bidi w:val="0"/>
        <w:jc w:val="both"/>
        <w:rPr>
          <w:rFonts w:ascii="Times New Roman" w:hAnsi="Times New Roman"/>
        </w:rPr>
      </w:pPr>
    </w:p>
    <w:p w:rsidR="002E0C17" w:rsidRPr="00833495" w:rsidP="002E0C17">
      <w:pPr>
        <w:bidi w:val="0"/>
        <w:jc w:val="both"/>
        <w:rPr>
          <w:rFonts w:ascii="Times New Roman" w:hAnsi="Times New Roman"/>
          <w:b/>
          <w:bCs/>
        </w:rPr>
      </w:pPr>
      <w:r w:rsidR="001A289B">
        <w:rPr>
          <w:rFonts w:ascii="Times New Roman" w:hAnsi="Times New Roman"/>
          <w:b/>
          <w:bCs/>
        </w:rPr>
        <w:t>K čl. V</w:t>
      </w:r>
    </w:p>
    <w:p w:rsidR="002E0C17" w:rsidP="002E0C17">
      <w:pPr>
        <w:bidi w:val="0"/>
        <w:jc w:val="both"/>
        <w:rPr>
          <w:rFonts w:ascii="Times New Roman" w:hAnsi="Times New Roman"/>
        </w:rPr>
      </w:pPr>
    </w:p>
    <w:p w:rsidR="00FC14C5" w:rsidP="005367E1">
      <w:pPr>
        <w:bidi w:val="0"/>
        <w:jc w:val="both"/>
        <w:rPr>
          <w:rFonts w:ascii="Times New Roman" w:hAnsi="Times New Roman"/>
        </w:rPr>
      </w:pPr>
      <w:r w:rsidR="002E0C17">
        <w:rPr>
          <w:rFonts w:ascii="Times New Roman" w:hAnsi="Times New Roman"/>
        </w:rPr>
        <w:t xml:space="preserve">Ustanovuje sa účinnosť zákona k 1. </w:t>
      </w:r>
      <w:r w:rsidR="001A289B">
        <w:rPr>
          <w:rFonts w:ascii="Times New Roman" w:hAnsi="Times New Roman"/>
        </w:rPr>
        <w:t>decembru 2012</w:t>
      </w:r>
      <w:r w:rsidR="002E0C17">
        <w:rPr>
          <w:rFonts w:ascii="Times New Roman" w:hAnsi="Times New Roman"/>
        </w:rPr>
        <w:t>.</w:t>
      </w:r>
    </w:p>
    <w:p w:rsidR="00767DEC" w:rsidP="005367E1">
      <w:pPr>
        <w:bidi w:val="0"/>
        <w:jc w:val="both"/>
        <w:rPr>
          <w:rFonts w:ascii="Times New Roman" w:hAnsi="Times New Roman"/>
        </w:rPr>
      </w:pPr>
      <w:r w:rsidR="004C12E1">
        <w:rPr>
          <w:rFonts w:ascii="Times New Roman" w:hAnsi="Times New Roman"/>
        </w:rPr>
        <w:br w:type="page"/>
      </w:r>
    </w:p>
    <w:p w:rsidR="00290A63" w:rsidRPr="00DF1A6E" w:rsidP="00FF7681">
      <w:pPr>
        <w:bidi w:val="0"/>
        <w:jc w:val="center"/>
        <w:rPr>
          <w:rFonts w:ascii="Times New Roman" w:hAnsi="Times New Roman"/>
          <w:b/>
          <w:bCs/>
          <w:caps/>
          <w:spacing w:val="30"/>
        </w:rPr>
      </w:pPr>
      <w:r w:rsidRPr="00DF1A6E">
        <w:rPr>
          <w:rFonts w:ascii="Times New Roman" w:hAnsi="Times New Roman"/>
          <w:b/>
          <w:bCs/>
          <w:caps/>
          <w:spacing w:val="30"/>
        </w:rPr>
        <w:t>Doložka zlučiteľnosti</w:t>
      </w:r>
    </w:p>
    <w:p w:rsidR="00290A63" w:rsidRPr="00DF1A6E" w:rsidP="00FF7681">
      <w:pPr>
        <w:bidi w:val="0"/>
        <w:jc w:val="center"/>
        <w:rPr>
          <w:rFonts w:ascii="Times New Roman" w:hAnsi="Times New Roman"/>
          <w:b/>
          <w:bCs/>
        </w:rPr>
      </w:pPr>
      <w:r w:rsidRPr="00DF1A6E">
        <w:rPr>
          <w:rFonts w:ascii="Times New Roman" w:hAnsi="Times New Roman"/>
          <w:b/>
          <w:bCs/>
        </w:rPr>
        <w:t>právneho predpisu</w:t>
      </w:r>
    </w:p>
    <w:p w:rsidR="00290A63" w:rsidRPr="00DF1A6E" w:rsidP="00FF7681">
      <w:pPr>
        <w:bidi w:val="0"/>
        <w:jc w:val="center"/>
        <w:rPr>
          <w:rFonts w:ascii="Times New Roman" w:hAnsi="Times New Roman"/>
          <w:b/>
          <w:bCs/>
        </w:rPr>
      </w:pPr>
      <w:r w:rsidRPr="00DF1A6E">
        <w:rPr>
          <w:rFonts w:ascii="Times New Roman" w:hAnsi="Times New Roman"/>
          <w:b/>
          <w:bCs/>
        </w:rPr>
        <w:t>s právom Európskych spoločenstiev a právom Európskej únie</w:t>
      </w:r>
    </w:p>
    <w:p w:rsidR="00290A63" w:rsidRPr="00DF1A6E" w:rsidP="00290A63">
      <w:pPr>
        <w:bidi w:val="0"/>
        <w:jc w:val="both"/>
        <w:rPr>
          <w:rFonts w:ascii="Times New Roman" w:hAnsi="Times New Roman"/>
        </w:rPr>
      </w:pPr>
    </w:p>
    <w:p w:rsidR="00290A63" w:rsidRPr="00DF1A6E" w:rsidP="00290A63">
      <w:pPr>
        <w:bidi w:val="0"/>
        <w:ind w:left="360" w:hanging="360"/>
        <w:jc w:val="both"/>
        <w:rPr>
          <w:rFonts w:ascii="Times New Roman" w:hAnsi="Times New Roman"/>
          <w:b/>
          <w:bCs/>
        </w:rPr>
      </w:pPr>
      <w:r w:rsidRPr="00DF1A6E">
        <w:rPr>
          <w:rFonts w:ascii="Times New Roman" w:hAnsi="Times New Roman"/>
          <w:b/>
          <w:bCs/>
        </w:rPr>
        <w:t>1.</w:t>
        <w:tab/>
        <w:t xml:space="preserve">  Predkladateľ právneho predpisu:</w:t>
      </w:r>
      <w:r w:rsidR="00FC178C">
        <w:rPr>
          <w:rFonts w:ascii="Times New Roman" w:hAnsi="Times New Roman"/>
        </w:rPr>
        <w:t xml:space="preserve"> poslanci</w:t>
      </w:r>
      <w:r w:rsidRPr="00DF1A6E">
        <w:rPr>
          <w:rFonts w:ascii="Times New Roman" w:hAnsi="Times New Roman"/>
        </w:rPr>
        <w:t xml:space="preserve"> NR SR </w:t>
      </w:r>
      <w:r w:rsidRPr="00DF1A6E" w:rsidR="00F840A0">
        <w:rPr>
          <w:rFonts w:ascii="Times New Roman" w:hAnsi="Times New Roman"/>
        </w:rPr>
        <w:t>Ivan Štefanec</w:t>
      </w:r>
      <w:r w:rsidR="00482B9B">
        <w:rPr>
          <w:rFonts w:ascii="Times New Roman" w:hAnsi="Times New Roman"/>
        </w:rPr>
        <w:t xml:space="preserve"> a Pavol Frešo</w:t>
      </w:r>
    </w:p>
    <w:p w:rsidR="00290A63" w:rsidRPr="00DF1A6E" w:rsidP="00290A63">
      <w:pPr>
        <w:tabs>
          <w:tab w:val="left" w:pos="360"/>
        </w:tabs>
        <w:bidi w:val="0"/>
        <w:ind w:left="360"/>
        <w:jc w:val="both"/>
        <w:rPr>
          <w:rFonts w:ascii="Times New Roman" w:hAnsi="Times New Roman"/>
        </w:rPr>
      </w:pPr>
      <w:r w:rsidRPr="00DF1A6E">
        <w:rPr>
          <w:rFonts w:ascii="Times New Roman" w:hAnsi="Times New Roman"/>
        </w:rPr>
        <w:t xml:space="preserve"> </w:t>
      </w:r>
    </w:p>
    <w:p w:rsidR="00834962" w:rsidRPr="00DF1A6E" w:rsidP="007E0D40">
      <w:pPr>
        <w:bidi w:val="0"/>
        <w:jc w:val="both"/>
        <w:rPr>
          <w:rFonts w:ascii="Times New Roman" w:hAnsi="Times New Roman"/>
          <w:b/>
        </w:rPr>
      </w:pPr>
      <w:r w:rsidRPr="00DF1A6E" w:rsidR="00290A63">
        <w:rPr>
          <w:rFonts w:ascii="Times New Roman" w:hAnsi="Times New Roman"/>
          <w:b/>
          <w:bCs/>
        </w:rPr>
        <w:t xml:space="preserve">2.   Názov návrhu právneho predpisu: </w:t>
      </w:r>
      <w:r w:rsidRPr="007E0D40" w:rsidR="007E0D40">
        <w:rPr>
          <w:rFonts w:ascii="Times New Roman" w:hAnsi="Times New Roman"/>
        </w:rPr>
        <w:t>o Živnostenských licenciách a o zmene a doplnení niektorých zákonov v znení neskorších predpisov</w:t>
      </w:r>
    </w:p>
    <w:p w:rsidR="00290A63" w:rsidRPr="00DF1A6E" w:rsidP="00290A63">
      <w:pPr>
        <w:bidi w:val="0"/>
        <w:ind w:left="540" w:hanging="540"/>
        <w:jc w:val="both"/>
        <w:rPr>
          <w:rFonts w:ascii="Times New Roman" w:hAnsi="Times New Roman"/>
          <w:b/>
          <w:bCs/>
        </w:rPr>
      </w:pPr>
    </w:p>
    <w:p w:rsidR="00290A63" w:rsidRPr="00DF1A6E" w:rsidP="00290A63">
      <w:pPr>
        <w:bidi w:val="0"/>
        <w:ind w:left="540" w:hanging="540"/>
        <w:jc w:val="both"/>
        <w:rPr>
          <w:rFonts w:ascii="Times New Roman" w:hAnsi="Times New Roman"/>
          <w:b/>
          <w:bCs/>
        </w:rPr>
      </w:pPr>
      <w:r w:rsidRPr="00DF1A6E">
        <w:rPr>
          <w:rFonts w:ascii="Times New Roman" w:hAnsi="Times New Roman"/>
          <w:b/>
          <w:bCs/>
        </w:rPr>
        <w:t>3.</w:t>
        <w:tab/>
        <w:t>Problematika návrhu právneho predpisu:</w:t>
      </w:r>
    </w:p>
    <w:p w:rsidR="00290A63" w:rsidRPr="00DF1A6E" w:rsidP="00290A63">
      <w:pPr>
        <w:bidi w:val="0"/>
        <w:ind w:firstLine="360"/>
        <w:jc w:val="both"/>
        <w:rPr>
          <w:rFonts w:ascii="Times New Roman" w:hAnsi="Times New Roman"/>
        </w:rPr>
      </w:pPr>
    </w:p>
    <w:p w:rsidR="00FF7681" w:rsidRPr="00DF1A6E" w:rsidP="00FF7681">
      <w:pPr>
        <w:numPr>
          <w:ilvl w:val="1"/>
          <w:numId w:val="7"/>
        </w:numPr>
        <w:bidi w:val="0"/>
        <w:spacing w:after="120"/>
        <w:rPr>
          <w:rFonts w:ascii="Times New Roman" w:hAnsi="Times New Roman"/>
          <w:lang w:eastAsia="cs-CZ"/>
        </w:rPr>
      </w:pPr>
      <w:r w:rsidRPr="00DF1A6E">
        <w:rPr>
          <w:rFonts w:ascii="Times New Roman" w:hAnsi="Times New Roman"/>
          <w:lang w:eastAsia="cs-CZ"/>
        </w:rPr>
        <w:t>je upravená v práve Európskej únie:</w:t>
      </w:r>
    </w:p>
    <w:p w:rsidR="00FF7681" w:rsidRPr="00DF1A6E" w:rsidP="00FF7681">
      <w:pPr>
        <w:bidi w:val="0"/>
        <w:spacing w:after="120"/>
        <w:ind w:left="900" w:hanging="425"/>
        <w:rPr>
          <w:rFonts w:ascii="Times New Roman" w:hAnsi="Times New Roman"/>
          <w:b/>
          <w:bCs/>
          <w:iCs/>
          <w:lang w:eastAsia="cs-CZ"/>
        </w:rPr>
      </w:pPr>
      <w:r w:rsidRPr="00DF1A6E">
        <w:rPr>
          <w:rFonts w:ascii="Times New Roman" w:hAnsi="Times New Roman"/>
          <w:b/>
          <w:bCs/>
          <w:iCs/>
          <w:lang w:eastAsia="cs-CZ"/>
        </w:rPr>
        <w:t xml:space="preserve">Primárne právo: </w:t>
      </w:r>
    </w:p>
    <w:p w:rsidR="00FF7681" w:rsidRPr="00DF1A6E" w:rsidP="00FF7681">
      <w:pPr>
        <w:numPr>
          <w:numId w:val="8"/>
        </w:numPr>
        <w:bidi w:val="0"/>
        <w:spacing w:after="120"/>
        <w:rPr>
          <w:rFonts w:ascii="Times New Roman" w:hAnsi="Times New Roman"/>
          <w:lang w:eastAsia="cs-CZ"/>
        </w:rPr>
      </w:pPr>
      <w:r w:rsidRPr="00DF1A6E">
        <w:rPr>
          <w:rFonts w:ascii="Times New Roman" w:hAnsi="Times New Roman"/>
          <w:lang w:eastAsia="cs-CZ"/>
        </w:rPr>
        <w:t xml:space="preserve">čl. 110 až 112 Zmluvy o fungovaní Európskej únie, </w:t>
      </w:r>
    </w:p>
    <w:p w:rsidR="00FF7681" w:rsidRPr="00DF1A6E" w:rsidP="00FF7681">
      <w:pPr>
        <w:autoSpaceDE w:val="0"/>
        <w:autoSpaceDN w:val="0"/>
        <w:bidi w:val="0"/>
        <w:adjustRightInd w:val="0"/>
        <w:ind w:left="454"/>
        <w:jc w:val="both"/>
        <w:rPr>
          <w:rFonts w:ascii="Times New Roman" w:hAnsi="Times New Roman"/>
        </w:rPr>
      </w:pPr>
      <w:r w:rsidRPr="00DF1A6E">
        <w:rPr>
          <w:rFonts w:ascii="Times New Roman" w:hAnsi="Times New Roman"/>
          <w:b/>
          <w:bCs/>
          <w:iCs/>
        </w:rPr>
        <w:t xml:space="preserve">Sekundárne právo </w:t>
      </w:r>
      <w:r w:rsidRPr="00DF1A6E">
        <w:rPr>
          <w:rFonts w:ascii="Times New Roman" w:hAnsi="Times New Roman"/>
        </w:rPr>
        <w:t>(prijaté pred nadobudnutím platnosti Lisabonskej zmluvy, ktorou sa mení a dopĺňa Zmluva o Európskom spoločenstve a Zmluva o Európskej únii - do 30. novembra 2009):</w:t>
      </w:r>
    </w:p>
    <w:p w:rsidR="00FF7681" w:rsidRPr="00DF1A6E" w:rsidP="00FF7681">
      <w:pPr>
        <w:autoSpaceDE w:val="0"/>
        <w:autoSpaceDN w:val="0"/>
        <w:bidi w:val="0"/>
        <w:adjustRightInd w:val="0"/>
        <w:ind w:left="454"/>
        <w:rPr>
          <w:rFonts w:ascii="Times New Roman" w:hAnsi="Times New Roman"/>
          <w:b/>
          <w:bCs/>
          <w:iCs/>
        </w:rPr>
      </w:pPr>
    </w:p>
    <w:p w:rsidR="00FF7681" w:rsidRPr="00DF1A6E" w:rsidP="00FF7681">
      <w:pPr>
        <w:numPr>
          <w:numId w:val="9"/>
        </w:numPr>
        <w:bidi w:val="0"/>
        <w:adjustRightInd w:val="0"/>
        <w:spacing w:after="120"/>
        <w:jc w:val="both"/>
        <w:rPr>
          <w:rFonts w:ascii="Times New Roman" w:hAnsi="Times New Roman"/>
        </w:rPr>
      </w:pPr>
      <w:r w:rsidRPr="00DF1A6E">
        <w:rPr>
          <w:rFonts w:ascii="Times New Roman" w:hAnsi="Times New Roman"/>
        </w:rPr>
        <w:t xml:space="preserve">smernica Rady 90/435/EHS z 23. júla 1990 o spoločnom systéme zdaňovania uplatňovanom v prípade materských spoločností a dcérskych spoločností v rozličných členských štátoch v platnom znení </w:t>
      </w:r>
      <w:r w:rsidRPr="00DF1A6E">
        <w:rPr>
          <w:rFonts w:ascii="Times New Roman" w:hAnsi="Times New Roman"/>
        </w:rPr>
        <w:t>(</w:t>
      </w:r>
      <w:r w:rsidRPr="00DF1A6E">
        <w:rPr>
          <w:rFonts w:ascii="Times New Roman" w:hAnsi="Times New Roman"/>
        </w:rPr>
        <w:t xml:space="preserve">Mimoriadne vydanie </w:t>
      </w:r>
      <w:r w:rsidRPr="00DF1A6E">
        <w:rPr>
          <w:rFonts w:ascii="Times New Roman" w:hAnsi="Times New Roman"/>
        </w:rPr>
        <w:t>Ú. v.</w:t>
      </w:r>
      <w:r w:rsidRPr="00DF1A6E">
        <w:rPr>
          <w:rFonts w:ascii="Times New Roman" w:hAnsi="Times New Roman"/>
          <w:i/>
          <w:iCs/>
        </w:rPr>
        <w:t xml:space="preserve"> </w:t>
      </w:r>
      <w:r w:rsidRPr="00DF1A6E">
        <w:rPr>
          <w:rFonts w:ascii="Times New Roman" w:hAnsi="Times New Roman"/>
        </w:rPr>
        <w:t>EÚ, kap.  9/ zv. 1),</w:t>
      </w:r>
    </w:p>
    <w:p w:rsidR="00FF7681" w:rsidRPr="00DF1A6E" w:rsidP="00FF7681">
      <w:pPr>
        <w:numPr>
          <w:numId w:val="10"/>
        </w:numPr>
        <w:bidi w:val="0"/>
        <w:adjustRightInd w:val="0"/>
        <w:spacing w:after="120"/>
        <w:jc w:val="both"/>
        <w:rPr>
          <w:rFonts w:ascii="Times New Roman" w:hAnsi="Times New Roman"/>
        </w:rPr>
      </w:pPr>
      <w:r w:rsidRPr="00DF1A6E">
        <w:rPr>
          <w:rFonts w:ascii="Times New Roman" w:hAnsi="Times New Roman"/>
          <w:bCs/>
        </w:rPr>
        <w:t xml:space="preserve">smernica Rady 2003/48/ES z 3. júna 2003 </w:t>
      </w:r>
      <w:r w:rsidRPr="00DF1A6E">
        <w:rPr>
          <w:rFonts w:ascii="Times New Roman" w:hAnsi="Times New Roman"/>
        </w:rPr>
        <w:t xml:space="preserve">o zdaňovaní príjmu z úspor v podobe výplaty úrokov v platnom znení </w:t>
      </w:r>
      <w:r w:rsidRPr="00DF1A6E">
        <w:rPr>
          <w:rFonts w:ascii="Times New Roman" w:hAnsi="Times New Roman"/>
        </w:rPr>
        <w:t>(</w:t>
      </w:r>
      <w:r w:rsidRPr="00DF1A6E">
        <w:rPr>
          <w:rFonts w:ascii="Times New Roman" w:hAnsi="Times New Roman"/>
        </w:rPr>
        <w:t xml:space="preserve">Mimoriadne vydanie </w:t>
      </w:r>
      <w:r w:rsidRPr="00DF1A6E">
        <w:rPr>
          <w:rFonts w:ascii="Times New Roman" w:hAnsi="Times New Roman"/>
        </w:rPr>
        <w:t>Ú. v.</w:t>
      </w:r>
      <w:r w:rsidRPr="00DF1A6E">
        <w:rPr>
          <w:rFonts w:ascii="Times New Roman" w:hAnsi="Times New Roman"/>
          <w:i/>
          <w:iCs/>
        </w:rPr>
        <w:t xml:space="preserve"> </w:t>
      </w:r>
      <w:r w:rsidRPr="00DF1A6E">
        <w:rPr>
          <w:rFonts w:ascii="Times New Roman" w:hAnsi="Times New Roman"/>
        </w:rPr>
        <w:t>EÚ, kap.  9/ zv. 1),</w:t>
      </w:r>
    </w:p>
    <w:p w:rsidR="00FF7681" w:rsidRPr="00DF1A6E" w:rsidP="00FF7681">
      <w:pPr>
        <w:numPr>
          <w:numId w:val="11"/>
        </w:numPr>
        <w:bidi w:val="0"/>
        <w:adjustRightInd w:val="0"/>
        <w:spacing w:after="120"/>
        <w:jc w:val="both"/>
        <w:rPr>
          <w:rFonts w:ascii="Times New Roman" w:hAnsi="Times New Roman"/>
        </w:rPr>
      </w:pPr>
      <w:r w:rsidRPr="00DF1A6E">
        <w:rPr>
          <w:rFonts w:ascii="Times New Roman" w:hAnsi="Times New Roman"/>
          <w:bCs/>
        </w:rPr>
        <w:t xml:space="preserve">smernica Rady 2003/49/ES z 3. júna 2003 o spoločnom systéme zdaňovania uplatňovanom na výplaty úrokov a licenčných poplatkov medzi združenými spoločnosťami rôznych členských štátov v platnom znení </w:t>
      </w:r>
      <w:r w:rsidRPr="00DF1A6E">
        <w:rPr>
          <w:rFonts w:ascii="Times New Roman" w:hAnsi="Times New Roman"/>
        </w:rPr>
        <w:t>(</w:t>
      </w:r>
      <w:r w:rsidRPr="00DF1A6E">
        <w:rPr>
          <w:rFonts w:ascii="Times New Roman" w:hAnsi="Times New Roman"/>
        </w:rPr>
        <w:t xml:space="preserve">Mimoriadne vydanie </w:t>
      </w:r>
      <w:r w:rsidRPr="00DF1A6E">
        <w:rPr>
          <w:rFonts w:ascii="Times New Roman" w:hAnsi="Times New Roman"/>
        </w:rPr>
        <w:t>Ú. v.</w:t>
      </w:r>
      <w:r w:rsidRPr="00DF1A6E">
        <w:rPr>
          <w:rFonts w:ascii="Times New Roman" w:hAnsi="Times New Roman"/>
          <w:i/>
          <w:iCs/>
        </w:rPr>
        <w:t xml:space="preserve"> </w:t>
      </w:r>
      <w:r w:rsidRPr="00DF1A6E">
        <w:rPr>
          <w:rFonts w:ascii="Times New Roman" w:hAnsi="Times New Roman"/>
        </w:rPr>
        <w:t>EÚ, kap. 9/ zv. 1),</w:t>
      </w:r>
    </w:p>
    <w:p w:rsidR="00FF7681" w:rsidRPr="00DF1A6E" w:rsidP="00FF7681">
      <w:pPr>
        <w:numPr>
          <w:numId w:val="11"/>
        </w:numPr>
        <w:bidi w:val="0"/>
        <w:adjustRightInd w:val="0"/>
        <w:spacing w:after="120"/>
        <w:jc w:val="both"/>
        <w:rPr>
          <w:rFonts w:ascii="Times New Roman" w:hAnsi="Times New Roman"/>
        </w:rPr>
      </w:pPr>
      <w:r w:rsidRPr="00DF1A6E">
        <w:rPr>
          <w:rFonts w:ascii="Times New Roman" w:hAnsi="Times New Roman"/>
        </w:rPr>
        <w:t>smernica Rady 2008/7/ES z 12. februára 2008 o nepriamych daniach z navyšovania kapitálu ( Ú. v. EÚ L 46, 21.2. 2008),</w:t>
      </w:r>
    </w:p>
    <w:p w:rsidR="00FF7681" w:rsidRPr="00DF1A6E" w:rsidP="00FF7681">
      <w:pPr>
        <w:numPr>
          <w:numId w:val="14"/>
        </w:numPr>
        <w:tabs>
          <w:tab w:val="clear" w:pos="360"/>
          <w:tab w:val="num" w:pos="851"/>
        </w:tabs>
        <w:bidi w:val="0"/>
        <w:spacing w:before="150" w:after="150"/>
        <w:ind w:left="851" w:hanging="284"/>
        <w:jc w:val="both"/>
        <w:rPr>
          <w:rFonts w:ascii="Times New Roman" w:hAnsi="Times New Roman"/>
        </w:rPr>
      </w:pPr>
      <w:r w:rsidRPr="00DF1A6E">
        <w:rPr>
          <w:rFonts w:ascii="Times New Roman" w:hAnsi="Times New Roman"/>
        </w:rPr>
        <w:t xml:space="preserve">smernica Rady 2009/133/ES z  19. októbra 2009 o spoločnom systéme zdaňovania, uplatniteľnom pri zlučovaní, rozdeľovaní, čiastočnom rozdeľovaní, prevode aktív a výmene akcií spoločností rôznych členských štátov a pri premiestnení sídla SE alebo SCE medzi členskými štátmi (kodifikované znenie) (Ú. v. EÚ L 310, 25.11. 2009). </w:t>
      </w:r>
    </w:p>
    <w:p w:rsidR="00FF7681" w:rsidRPr="00DF1A6E" w:rsidP="00FF7681">
      <w:pPr>
        <w:numPr>
          <w:ilvl w:val="1"/>
          <w:numId w:val="7"/>
        </w:numPr>
        <w:bidi w:val="0"/>
        <w:spacing w:after="120"/>
        <w:rPr>
          <w:rFonts w:ascii="Times New Roman" w:hAnsi="Times New Roman"/>
          <w:lang w:eastAsia="cs-CZ"/>
        </w:rPr>
      </w:pPr>
      <w:r w:rsidRPr="00DF1A6E">
        <w:rPr>
          <w:rFonts w:ascii="Times New Roman" w:hAnsi="Times New Roman"/>
          <w:lang w:eastAsia="cs-CZ"/>
        </w:rPr>
        <w:t>je obsiahnutá v judikatúre Súdneho dvora Európskej únie:</w:t>
      </w:r>
    </w:p>
    <w:p w:rsidR="00FF7681" w:rsidRPr="00DF1A6E" w:rsidP="00FF7681">
      <w:pPr>
        <w:numPr>
          <w:numId w:val="12"/>
        </w:numPr>
        <w:bidi w:val="0"/>
        <w:spacing w:after="120"/>
        <w:jc w:val="both"/>
        <w:rPr>
          <w:rFonts w:ascii="Times New Roman" w:hAnsi="Times New Roman"/>
        </w:rPr>
      </w:pPr>
      <w:r w:rsidRPr="00DF1A6E">
        <w:rPr>
          <w:rFonts w:ascii="Times New Roman" w:hAnsi="Times New Roman"/>
        </w:rPr>
        <w:t>rozhodnutie Súdneho dvora vo veci C - 522/04, Európska komisia v. Belgické kráľovstvo, rok  2007</w:t>
      </w:r>
      <w:r w:rsidRPr="00DF1A6E">
        <w:rPr>
          <w:rFonts w:ascii="Times New Roman" w:hAnsi="Times New Roman"/>
          <w:lang w:val="cs-CZ"/>
        </w:rPr>
        <w:t>.</w:t>
      </w:r>
    </w:p>
    <w:p w:rsidR="00290A63" w:rsidRPr="00DF1A6E" w:rsidP="00290A63">
      <w:pPr>
        <w:bidi w:val="0"/>
        <w:ind w:left="720"/>
        <w:jc w:val="both"/>
        <w:rPr>
          <w:rFonts w:ascii="Times New Roman" w:hAnsi="Times New Roman"/>
        </w:rPr>
      </w:pPr>
    </w:p>
    <w:p w:rsidR="00290A63" w:rsidRPr="00DF1A6E" w:rsidP="00290A63">
      <w:pPr>
        <w:bidi w:val="0"/>
        <w:ind w:left="360" w:hanging="360"/>
        <w:jc w:val="both"/>
        <w:rPr>
          <w:rFonts w:ascii="Times New Roman" w:hAnsi="Times New Roman"/>
          <w:b/>
          <w:bCs/>
        </w:rPr>
      </w:pPr>
      <w:r w:rsidRPr="00DF1A6E">
        <w:rPr>
          <w:rFonts w:ascii="Times New Roman" w:hAnsi="Times New Roman"/>
          <w:b/>
          <w:bCs/>
        </w:rPr>
        <w:t>4.</w:t>
        <w:tab/>
        <w:t xml:space="preserve">Záväzky Slovenskej republiky vo vzťahu k Európskym spoločenstvám a Európskej únii: </w:t>
      </w:r>
    </w:p>
    <w:p w:rsidR="00290A63" w:rsidRPr="00DF1A6E" w:rsidP="00290A63">
      <w:pPr>
        <w:bidi w:val="0"/>
        <w:jc w:val="both"/>
        <w:rPr>
          <w:rFonts w:ascii="Times New Roman" w:hAnsi="Times New Roman"/>
        </w:rPr>
      </w:pPr>
    </w:p>
    <w:p w:rsidR="00FF7681" w:rsidRPr="00DF1A6E" w:rsidP="00FF7681">
      <w:pPr>
        <w:numPr>
          <w:numId w:val="13"/>
        </w:numPr>
        <w:tabs>
          <w:tab w:val="left" w:pos="425"/>
          <w:tab w:val="clear" w:pos="720"/>
        </w:tabs>
        <w:bidi w:val="0"/>
        <w:spacing w:after="120"/>
        <w:ind w:left="425" w:hanging="425"/>
        <w:jc w:val="both"/>
        <w:rPr>
          <w:rFonts w:ascii="Times New Roman" w:hAnsi="Times New Roman"/>
          <w:lang w:eastAsia="cs-CZ"/>
        </w:rPr>
      </w:pPr>
      <w:r w:rsidRPr="00DF1A6E" w:rsidR="00290A63">
        <w:rPr>
          <w:rFonts w:ascii="Times New Roman" w:hAnsi="Times New Roman"/>
        </w:rPr>
        <w:t>a)</w:t>
        <w:tab/>
      </w:r>
      <w:r w:rsidRPr="00DF1A6E">
        <w:rPr>
          <w:rFonts w:ascii="Times New Roman" w:hAnsi="Times New Roman"/>
          <w:lang w:eastAsia="cs-CZ"/>
        </w:rPr>
        <w:t>Lehota na prebratie smernice: bezpredmetné.</w:t>
      </w:r>
    </w:p>
    <w:p w:rsidR="00FF7681" w:rsidRPr="00DF1A6E" w:rsidP="00FF7681">
      <w:pPr>
        <w:numPr>
          <w:numId w:val="13"/>
        </w:numPr>
        <w:tabs>
          <w:tab w:val="left" w:pos="425"/>
          <w:tab w:val="clear" w:pos="720"/>
        </w:tabs>
        <w:bidi w:val="0"/>
        <w:spacing w:after="120"/>
        <w:ind w:left="425" w:hanging="425"/>
        <w:jc w:val="both"/>
        <w:rPr>
          <w:rFonts w:ascii="Times New Roman" w:hAnsi="Times New Roman"/>
          <w:lang w:eastAsia="cs-CZ"/>
        </w:rPr>
      </w:pPr>
      <w:r w:rsidRPr="00DF1A6E">
        <w:rPr>
          <w:rFonts w:ascii="Times New Roman" w:hAnsi="Times New Roman"/>
          <w:lang w:eastAsia="cs-CZ"/>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w:t>
      </w:r>
    </w:p>
    <w:p w:rsidR="00FF7681" w:rsidRPr="00DF1A6E" w:rsidP="00FF7681">
      <w:pPr>
        <w:numPr>
          <w:numId w:val="13"/>
        </w:numPr>
        <w:tabs>
          <w:tab w:val="left" w:pos="425"/>
          <w:tab w:val="clear" w:pos="720"/>
        </w:tabs>
        <w:bidi w:val="0"/>
        <w:spacing w:after="120"/>
        <w:ind w:left="425" w:hanging="425"/>
        <w:jc w:val="both"/>
        <w:rPr>
          <w:rFonts w:ascii="Times New Roman" w:hAnsi="Times New Roman"/>
          <w:lang w:eastAsia="cs-CZ"/>
        </w:rPr>
      </w:pPr>
      <w:r w:rsidRPr="00DF1A6E">
        <w:rPr>
          <w:rFonts w:ascii="Times New Roman" w:hAnsi="Times New Roman"/>
          <w:lang w:eastAsia="cs-CZ"/>
        </w:rPr>
        <w:t>Proti SR bolo začaté konanie o porušení Zmluvy o fungovaní Európskej únie podľa čl. 258 až 260 Zmluvy o fungovaní Európskej únie, a to konanie č. 2009/2215 a č. 2009/2267.</w:t>
      </w:r>
    </w:p>
    <w:p w:rsidR="00FF7681" w:rsidRPr="00DF1A6E" w:rsidP="00FF7681">
      <w:pPr>
        <w:numPr>
          <w:numId w:val="13"/>
        </w:numPr>
        <w:tabs>
          <w:tab w:val="left" w:pos="425"/>
          <w:tab w:val="clear" w:pos="720"/>
        </w:tabs>
        <w:bidi w:val="0"/>
        <w:ind w:left="425" w:hanging="425"/>
        <w:jc w:val="both"/>
        <w:rPr>
          <w:rFonts w:ascii="Times New Roman" w:hAnsi="Times New Roman"/>
          <w:lang w:eastAsia="cs-CZ"/>
        </w:rPr>
      </w:pPr>
      <w:r w:rsidRPr="00DF1A6E">
        <w:rPr>
          <w:rFonts w:ascii="Times New Roman" w:hAnsi="Times New Roman"/>
          <w:lang w:eastAsia="cs-CZ"/>
        </w:rPr>
        <w:t>Návrhom právneho predpisu sa nepreberá žiadna smernica.</w:t>
      </w:r>
    </w:p>
    <w:p w:rsidR="00290A63" w:rsidRPr="00DF1A6E" w:rsidP="00FF7681">
      <w:pPr>
        <w:bidi w:val="0"/>
        <w:ind w:left="709" w:hanging="349"/>
        <w:jc w:val="both"/>
        <w:rPr>
          <w:rFonts w:ascii="Times New Roman" w:hAnsi="Times New Roman"/>
        </w:rPr>
      </w:pPr>
    </w:p>
    <w:p w:rsidR="00290A63" w:rsidRPr="00DF1A6E" w:rsidP="00290A63">
      <w:pPr>
        <w:bidi w:val="0"/>
        <w:ind w:left="360" w:hanging="360"/>
        <w:jc w:val="both"/>
        <w:rPr>
          <w:rFonts w:ascii="Times New Roman" w:hAnsi="Times New Roman"/>
          <w:b/>
          <w:bCs/>
        </w:rPr>
      </w:pPr>
      <w:r w:rsidRPr="00DF1A6E">
        <w:rPr>
          <w:rFonts w:ascii="Times New Roman" w:hAnsi="Times New Roman"/>
          <w:b/>
          <w:bCs/>
        </w:rPr>
        <w:t>5.</w:t>
        <w:tab/>
        <w:t>Stupeň zlučiteľnosti návrhu právneho predpisu s právom Európskych spoločenstiev alebo právom Európskej únie:</w:t>
      </w:r>
    </w:p>
    <w:p w:rsidR="00290A63" w:rsidRPr="00DF1A6E" w:rsidP="00290A63">
      <w:pPr>
        <w:bidi w:val="0"/>
        <w:jc w:val="both"/>
        <w:rPr>
          <w:rFonts w:ascii="Times New Roman" w:hAnsi="Times New Roman"/>
        </w:rPr>
      </w:pPr>
    </w:p>
    <w:p w:rsidR="00290A63" w:rsidRPr="00DF1A6E" w:rsidP="00262B19">
      <w:pPr>
        <w:bidi w:val="0"/>
        <w:ind w:left="360" w:firstLine="348"/>
        <w:jc w:val="both"/>
        <w:outlineLvl w:val="0"/>
        <w:rPr>
          <w:rFonts w:ascii="Times New Roman" w:hAnsi="Times New Roman"/>
        </w:rPr>
      </w:pPr>
      <w:r w:rsidRPr="00DF1A6E">
        <w:rPr>
          <w:rFonts w:ascii="Times New Roman" w:hAnsi="Times New Roman"/>
        </w:rPr>
        <w:t>Úplný</w:t>
      </w:r>
    </w:p>
    <w:p w:rsidR="00290A63" w:rsidRPr="00DF1A6E" w:rsidP="00290A63">
      <w:pPr>
        <w:bidi w:val="0"/>
        <w:jc w:val="both"/>
        <w:rPr>
          <w:rFonts w:ascii="Times New Roman" w:hAnsi="Times New Roman"/>
        </w:rPr>
      </w:pPr>
    </w:p>
    <w:p w:rsidR="00290A63" w:rsidRPr="00DF1A6E" w:rsidP="00290A63">
      <w:pPr>
        <w:bidi w:val="0"/>
        <w:ind w:left="360" w:hanging="360"/>
        <w:jc w:val="both"/>
        <w:rPr>
          <w:rFonts w:ascii="Times New Roman" w:hAnsi="Times New Roman"/>
          <w:b/>
          <w:bCs/>
        </w:rPr>
      </w:pPr>
      <w:r w:rsidRPr="00DF1A6E">
        <w:rPr>
          <w:rFonts w:ascii="Times New Roman" w:hAnsi="Times New Roman"/>
          <w:b/>
          <w:bCs/>
        </w:rPr>
        <w:t>6.</w:t>
        <w:tab/>
        <w:t xml:space="preserve">Gestor a spolupracujúce rezorty: </w:t>
      </w:r>
    </w:p>
    <w:p w:rsidR="00290A63" w:rsidRPr="00DF1A6E" w:rsidP="00290A63">
      <w:pPr>
        <w:tabs>
          <w:tab w:val="left" w:pos="0"/>
        </w:tabs>
        <w:bidi w:val="0"/>
        <w:adjustRightInd w:val="0"/>
        <w:jc w:val="both"/>
        <w:rPr>
          <w:rFonts w:ascii="Times New Roman" w:hAnsi="Times New Roman"/>
          <w:b/>
          <w:bCs/>
          <w:caps/>
          <w:spacing w:val="30"/>
        </w:rPr>
      </w:pPr>
    </w:p>
    <w:p w:rsidR="00262B19" w:rsidP="00290A63">
      <w:pPr>
        <w:pStyle w:val="NormalWeb"/>
        <w:bidi w:val="0"/>
        <w:spacing w:before="0" w:beforeAutospacing="0" w:after="0" w:afterAutospacing="0"/>
        <w:jc w:val="both"/>
        <w:rPr>
          <w:rFonts w:ascii="Times New Roman" w:hAnsi="Times New Roman"/>
          <w:b/>
          <w:bCs/>
          <w:color w:val="000000"/>
          <w:sz w:val="28"/>
          <w:szCs w:val="28"/>
        </w:rPr>
      </w:pPr>
      <w:r w:rsidR="002E0C17">
        <w:rPr>
          <w:rFonts w:ascii="Times New Roman" w:hAnsi="Times New Roman"/>
          <w:b/>
          <w:bCs/>
          <w:color w:val="000000"/>
          <w:sz w:val="28"/>
          <w:szCs w:val="28"/>
        </w:rPr>
        <w:br w:type="page"/>
      </w:r>
    </w:p>
    <w:p w:rsidR="00290A63" w:rsidRPr="00B705D9" w:rsidP="002E0C17">
      <w:pPr>
        <w:bidi w:val="0"/>
        <w:jc w:val="center"/>
        <w:rPr>
          <w:rFonts w:ascii="Times New Roman" w:hAnsi="Times New Roman"/>
          <w:b/>
          <w:bCs/>
          <w:caps/>
          <w:spacing w:val="30"/>
        </w:rPr>
      </w:pPr>
      <w:r w:rsidRPr="00B705D9">
        <w:rPr>
          <w:rFonts w:ascii="Times New Roman" w:hAnsi="Times New Roman"/>
          <w:b/>
          <w:bCs/>
          <w:caps/>
          <w:spacing w:val="30"/>
        </w:rPr>
        <w:t>D</w:t>
      </w:r>
      <w:r w:rsidRPr="00B705D9" w:rsidR="00262B19">
        <w:rPr>
          <w:rFonts w:ascii="Times New Roman" w:hAnsi="Times New Roman"/>
          <w:b/>
          <w:bCs/>
          <w:caps/>
          <w:spacing w:val="30"/>
        </w:rPr>
        <w:t>OLOŽKA VYBRANÝCH VPLYVOV</w:t>
      </w: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p w:rsidR="00290A63" w:rsidRPr="00D93DAE" w:rsidP="00290A63">
      <w:pPr>
        <w:bidi w:val="0"/>
        <w:jc w:val="both"/>
        <w:rPr>
          <w:rFonts w:ascii="Times New Roman" w:hAnsi="Times New Roman"/>
          <w:b/>
          <w:bCs/>
        </w:rPr>
      </w:pPr>
      <w:r>
        <w:rPr>
          <w:rFonts w:ascii="Times New Roman" w:hAnsi="Times New Roman"/>
          <w:b/>
          <w:bCs/>
          <w:color w:val="000000"/>
          <w:sz w:val="23"/>
          <w:szCs w:val="23"/>
        </w:rPr>
        <w:t xml:space="preserve">A.1. Názov materiálu: </w:t>
      </w:r>
      <w:r w:rsidRPr="00A542DC" w:rsidR="00A542DC">
        <w:rPr>
          <w:rFonts w:ascii="Times New Roman" w:hAnsi="Times New Roman"/>
          <w:bCs/>
          <w:color w:val="000000"/>
        </w:rPr>
        <w:t>návrh</w:t>
      </w:r>
      <w:r w:rsidR="00A542DC">
        <w:rPr>
          <w:rFonts w:ascii="Times New Roman" w:hAnsi="Times New Roman"/>
          <w:b/>
          <w:bCs/>
          <w:color w:val="000000"/>
          <w:sz w:val="23"/>
          <w:szCs w:val="23"/>
        </w:rPr>
        <w:t xml:space="preserve"> </w:t>
      </w:r>
      <w:r w:rsidRPr="00A542DC" w:rsidR="00A542DC">
        <w:rPr>
          <w:rFonts w:ascii="Times New Roman" w:hAnsi="Times New Roman"/>
        </w:rPr>
        <w:t>zákona o Živnostenských licenciách a o zmene a doplnení niektorých zákonov v znení neskorších predpisov</w:t>
      </w:r>
    </w:p>
    <w:p w:rsidR="00290A63" w:rsidRPr="00F4260A" w:rsidP="00290A63">
      <w:pPr>
        <w:bidi w:val="0"/>
        <w:jc w:val="both"/>
        <w:rPr>
          <w:rFonts w:ascii="Times New Roman" w:hAnsi="Times New Roman"/>
        </w:rPr>
      </w:pP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 </w:t>
      </w: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xml:space="preserve">A.2. Vplyvy: </w:t>
      </w:r>
    </w:p>
    <w:tbl>
      <w:tblPr>
        <w:tblStyle w:val="TableNormal"/>
        <w:tblW w:w="0" w:type="auto"/>
        <w:tblCellMar>
          <w:left w:w="0" w:type="dxa"/>
          <w:right w:w="0" w:type="dxa"/>
        </w:tblCellMar>
      </w:tblPr>
      <w:tblGrid>
        <w:gridCol w:w="3535"/>
        <w:gridCol w:w="1433"/>
        <w:gridCol w:w="1440"/>
        <w:gridCol w:w="1440"/>
      </w:tblGrid>
      <w:tr>
        <w:tblPrEx>
          <w:tblW w:w="0" w:type="auto"/>
          <w:tblCellMar>
            <w:left w:w="0" w:type="dxa"/>
            <w:right w:w="0" w:type="dxa"/>
          </w:tblCellMar>
        </w:tblPrEx>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Pozitívne*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Žiadne*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Negatívne*</w:t>
            </w:r>
          </w:p>
        </w:tc>
      </w:tr>
      <w:tr>
        <w:tblPrEx>
          <w:tblW w:w="0" w:type="auto"/>
          <w:tblCellMar>
            <w:left w:w="0" w:type="dxa"/>
            <w:right w:w="0" w:type="dxa"/>
          </w:tblCellMar>
        </w:tblPrEx>
        <w:trPr>
          <w:trHeight w:val="772"/>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1. Vplyvy na rozpočet verejnej správy</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b/>
                <w:bCs/>
                <w:color w:val="000000"/>
                <w:sz w:val="23"/>
                <w:szCs w:val="23"/>
              </w:rPr>
            </w:pPr>
          </w:p>
          <w:p w:rsidR="00290A63" w:rsidP="0041416E">
            <w:pPr>
              <w:pStyle w:val="NormalWeb"/>
              <w:bidi w:val="0"/>
              <w:spacing w:before="0" w:beforeAutospacing="0" w:after="0" w:afterAutospacing="0"/>
              <w:jc w:val="both"/>
              <w:rPr>
                <w:rFonts w:ascii="Times New Roman" w:hAnsi="Times New Roman"/>
              </w:rPr>
            </w:pPr>
          </w:p>
        </w:tc>
      </w:tr>
      <w:tr>
        <w:tblPrEx>
          <w:tblW w:w="0" w:type="auto"/>
          <w:tblCellMar>
            <w:left w:w="0" w:type="dxa"/>
            <w:right w:w="0" w:type="dxa"/>
          </w:tblCellMar>
        </w:tblPrEx>
        <w:trPr>
          <w:trHeight w:val="1068"/>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2. Vplyvy na podnikateľské prostredie – dochádza k zvýšeniu regulačného zaťaženia?</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7E0D40" w:rsidP="0041416E">
            <w:pPr>
              <w:pStyle w:val="NormalWeb"/>
              <w:bidi w:val="0"/>
              <w:spacing w:before="0" w:beforeAutospacing="0" w:after="0" w:afterAutospacing="0"/>
              <w:jc w:val="both"/>
              <w:rPr>
                <w:rFonts w:ascii="Times New Roman" w:hAnsi="Times New Roman"/>
                <w:b/>
                <w:bCs/>
                <w:color w:val="000000"/>
                <w:sz w:val="23"/>
                <w:szCs w:val="23"/>
              </w:rPr>
            </w:pPr>
          </w:p>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r w:rsidR="007E0D40">
              <w:rPr>
                <w:rFonts w:ascii="Times New Roman" w:hAnsi="Times New Roman"/>
                <w:b/>
                <w:bCs/>
                <w:color w:val="000000"/>
                <w:sz w:val="23"/>
                <w:szCs w:val="23"/>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r>
      <w:tr>
        <w:tblPrEx>
          <w:tblW w:w="0" w:type="auto"/>
          <w:tblCellMar>
            <w:left w:w="0" w:type="dxa"/>
            <w:right w:w="0" w:type="dxa"/>
          </w:tblCellMar>
        </w:tblPrEx>
        <w:trPr>
          <w:trHeight w:val="1789"/>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3, Sociálne vplyvy</w:t>
            </w:r>
          </w:p>
          <w:p w:rsidR="00290A63" w:rsidP="0041416E">
            <w:pPr>
              <w:pStyle w:val="NormalWeb"/>
              <w:bidi w:val="0"/>
              <w:spacing w:before="0" w:beforeAutospacing="0" w:after="0" w:afterAutospacing="0"/>
              <w:ind w:left="180" w:hanging="180"/>
              <w:jc w:val="both"/>
              <w:rPr>
                <w:rFonts w:ascii="Times New Roman" w:hAnsi="Times New Roman"/>
              </w:rPr>
            </w:pPr>
            <w:r>
              <w:rPr>
                <w:rFonts w:ascii="Times New Roman" w:hAnsi="Times New Roman"/>
                <w:color w:val="000000"/>
                <w:sz w:val="23"/>
                <w:szCs w:val="23"/>
              </w:rPr>
              <w:t>– vplyvy na hospodárenie    obyvateľstva,</w:t>
            </w:r>
          </w:p>
          <w:p w:rsidR="00290A63" w:rsidP="0041416E">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 sociálnu exklúziu,</w:t>
            </w:r>
          </w:p>
          <w:p w:rsidR="00290A63" w:rsidP="0041416E">
            <w:pPr>
              <w:pStyle w:val="NormalWeb"/>
              <w:bidi w:val="0"/>
              <w:spacing w:before="0" w:beforeAutospacing="0" w:after="0" w:afterAutospacing="0"/>
              <w:ind w:left="180" w:hanging="180"/>
              <w:jc w:val="both"/>
              <w:rPr>
                <w:rFonts w:ascii="Times New Roman" w:hAnsi="Times New Roman"/>
              </w:rPr>
            </w:pPr>
            <w:r>
              <w:rPr>
                <w:rFonts w:ascii="Times New Roman" w:hAnsi="Times New Roman"/>
                <w:color w:val="000000"/>
                <w:sz w:val="23"/>
                <w:szCs w:val="23"/>
              </w:rPr>
              <w:t>– rovnosť príležitostí a rodovú rovnosť a vplyvy na zamestnanosť</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7E0D40" w:rsidP="0041416E">
            <w:pPr>
              <w:pStyle w:val="NormalWeb"/>
              <w:bidi w:val="0"/>
              <w:spacing w:before="0" w:beforeAutospacing="0" w:after="0" w:afterAutospacing="0"/>
              <w:jc w:val="both"/>
              <w:rPr>
                <w:rFonts w:ascii="Times New Roman" w:hAnsi="Times New Roman"/>
                <w:b/>
                <w:bCs/>
                <w:color w:val="000000"/>
                <w:sz w:val="23"/>
                <w:szCs w:val="23"/>
              </w:rPr>
            </w:pPr>
            <w:r w:rsidR="00290A63">
              <w:rPr>
                <w:rFonts w:ascii="Times New Roman" w:hAnsi="Times New Roman"/>
                <w:b/>
                <w:bCs/>
                <w:color w:val="000000"/>
                <w:sz w:val="23"/>
                <w:szCs w:val="23"/>
              </w:rPr>
              <w:t> </w:t>
            </w:r>
          </w:p>
          <w:p w:rsidR="007E0D40" w:rsidP="0041416E">
            <w:pPr>
              <w:pStyle w:val="NormalWeb"/>
              <w:bidi w:val="0"/>
              <w:spacing w:before="0" w:beforeAutospacing="0" w:after="0" w:afterAutospacing="0"/>
              <w:jc w:val="both"/>
              <w:rPr>
                <w:rFonts w:ascii="Times New Roman" w:hAnsi="Times New Roman"/>
                <w:b/>
                <w:bCs/>
                <w:color w:val="000000"/>
                <w:sz w:val="23"/>
                <w:szCs w:val="23"/>
              </w:rPr>
            </w:pPr>
          </w:p>
          <w:p w:rsidR="007E0D40" w:rsidP="0041416E">
            <w:pPr>
              <w:pStyle w:val="NormalWeb"/>
              <w:bidi w:val="0"/>
              <w:spacing w:before="0" w:beforeAutospacing="0" w:after="0" w:afterAutospacing="0"/>
              <w:jc w:val="both"/>
              <w:rPr>
                <w:rFonts w:ascii="Times New Roman" w:hAnsi="Times New Roman"/>
                <w:b/>
                <w:bCs/>
                <w:color w:val="000000"/>
                <w:sz w:val="23"/>
                <w:szCs w:val="23"/>
              </w:rPr>
            </w:pPr>
          </w:p>
          <w:p w:rsidR="00290A63" w:rsidP="0041416E">
            <w:pPr>
              <w:pStyle w:val="NormalWeb"/>
              <w:bidi w:val="0"/>
              <w:spacing w:before="0" w:beforeAutospacing="0" w:after="0" w:afterAutospacing="0"/>
              <w:jc w:val="both"/>
              <w:rPr>
                <w:rFonts w:ascii="Times New Roman" w:hAnsi="Times New Roman"/>
              </w:rPr>
            </w:pPr>
            <w:r w:rsidR="007E0D40">
              <w:rPr>
                <w:rFonts w:ascii="Times New Roman" w:hAnsi="Times New Roman"/>
                <w:b/>
                <w:bCs/>
                <w:color w:val="000000"/>
                <w:sz w:val="23"/>
                <w:szCs w:val="23"/>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r>
      <w:tr>
        <w:tblPrEx>
          <w:tblW w:w="0" w:type="auto"/>
          <w:tblCellMar>
            <w:left w:w="0" w:type="dxa"/>
            <w:right w:w="0" w:type="dxa"/>
          </w:tblCellMar>
        </w:tblPrEx>
        <w:trPr>
          <w:trHeight w:val="525"/>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4. Vplyvy na životné prostredie</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r>
      <w:tr>
        <w:tblPrEx>
          <w:tblW w:w="0" w:type="auto"/>
          <w:tblCellMar>
            <w:left w:w="0" w:type="dxa"/>
            <w:right w:w="0" w:type="dxa"/>
          </w:tblCellMar>
        </w:tblPrEx>
        <w:trPr>
          <w:trHeight w:val="726"/>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5. Vplyvy na informatizáciu spoločnosti</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r>
    </w:tbl>
    <w:p w:rsidR="00290A63" w:rsidP="00290A6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xml:space="preserve">A.3. Poznámky </w:t>
      </w: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rPr>
        <w:t> </w:t>
      </w: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xml:space="preserve">A.4. Alternatívne riešenia </w:t>
      </w: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p w:rsidR="00290A63" w:rsidP="00290A63">
      <w:pPr>
        <w:pStyle w:val="NormalWeb"/>
        <w:bidi w:val="0"/>
        <w:spacing w:before="0" w:beforeAutospacing="0" w:after="0" w:afterAutospacing="0"/>
        <w:jc w:val="both"/>
        <w:rPr>
          <w:rFonts w:ascii="Times New Roman" w:hAnsi="Times New Roman"/>
          <w:b/>
          <w:bCs/>
          <w:color w:val="000000"/>
          <w:sz w:val="23"/>
          <w:szCs w:val="23"/>
        </w:rPr>
      </w:pPr>
      <w:r>
        <w:rPr>
          <w:rFonts w:ascii="Times New Roman" w:hAnsi="Times New Roman"/>
          <w:b/>
          <w:bCs/>
          <w:color w:val="000000"/>
          <w:sz w:val="23"/>
          <w:szCs w:val="23"/>
        </w:rPr>
        <w:t>A.5. Stanovisko gestorov</w:t>
      </w:r>
    </w:p>
    <w:p w:rsidR="00BD28D1" w:rsidP="005367E1">
      <w:pPr>
        <w:bidi w:val="0"/>
        <w:jc w:val="both"/>
        <w:rPr>
          <w:rFonts w:ascii="Times New Roman" w:hAnsi="Times New Roman"/>
        </w:rPr>
      </w:pPr>
    </w:p>
    <w:p w:rsidR="00BD28D1" w:rsidP="005367E1">
      <w:pPr>
        <w:bidi w:val="0"/>
        <w:jc w:val="both"/>
        <w:rPr>
          <w:rFonts w:ascii="Times New Roman" w:hAnsi="Times New Roman"/>
        </w:rPr>
      </w:pPr>
    </w:p>
    <w:p w:rsidR="00BD28D1" w:rsidP="005367E1">
      <w:pPr>
        <w:bidi w:val="0"/>
        <w:jc w:val="both"/>
        <w:rPr>
          <w:rFonts w:ascii="Times New Roman" w:hAnsi="Times New Roman"/>
        </w:rPr>
      </w:pPr>
    </w:p>
    <w:p w:rsidR="00BD28D1" w:rsidP="005367E1">
      <w:pPr>
        <w:bidi w:val="0"/>
        <w:jc w:val="both"/>
        <w:rPr>
          <w:rFonts w:ascii="Times New Roman" w:hAnsi="Times New Roman"/>
        </w:rPr>
      </w:pPr>
    </w:p>
    <w:p w:rsidR="00BD28D1" w:rsidP="005367E1">
      <w:pPr>
        <w:bidi w:val="0"/>
        <w:jc w:val="both"/>
        <w:rPr>
          <w:rFonts w:ascii="Times New Roman" w:hAnsi="Times New Roman"/>
        </w:rPr>
      </w:pPr>
    </w:p>
    <w:p w:rsidR="00BD28D1" w:rsidP="005367E1">
      <w:pPr>
        <w:bidi w:val="0"/>
        <w:jc w:val="both"/>
        <w:rPr>
          <w:rFonts w:ascii="Times New Roman" w:hAnsi="Times New Roman"/>
        </w:rPr>
      </w:pPr>
    </w:p>
    <w:p w:rsidR="00BD28D1" w:rsidP="005367E1">
      <w:pPr>
        <w:bidi w:val="0"/>
        <w:jc w:val="both"/>
        <w:rPr>
          <w:rFonts w:ascii="Times New Roman" w:hAnsi="Times New Roman"/>
        </w:rPr>
      </w:pPr>
    </w:p>
    <w:p w:rsidR="00AD2673" w:rsidP="005367E1">
      <w:pPr>
        <w:pStyle w:val="NormalWeb"/>
        <w:bidi w:val="0"/>
        <w:spacing w:before="0" w:beforeAutospacing="0" w:after="0" w:afterAutospacing="0"/>
        <w:jc w:val="both"/>
        <w:rPr>
          <w:rFonts w:ascii="Times New Roman" w:hAnsi="Times New Roman"/>
          <w:b/>
          <w:bCs/>
          <w:color w:val="000000"/>
          <w:sz w:val="23"/>
          <w:szCs w:val="23"/>
        </w:rPr>
      </w:pPr>
    </w:p>
    <w:p w:rsidR="00AD2673" w:rsidP="005367E1">
      <w:pPr>
        <w:pStyle w:val="NormalWeb"/>
        <w:bidi w:val="0"/>
        <w:spacing w:before="0" w:beforeAutospacing="0" w:after="0" w:afterAutospacing="0"/>
        <w:jc w:val="both"/>
        <w:rPr>
          <w:rFonts w:ascii="Times New Roman" w:hAnsi="Times New Roman"/>
          <w:b/>
          <w:bCs/>
          <w:color w:val="000000"/>
          <w:sz w:val="23"/>
          <w:szCs w:val="23"/>
        </w:rPr>
      </w:pPr>
    </w:p>
    <w:p w:rsidR="00AE088E" w:rsidP="005367E1">
      <w:pPr>
        <w:pStyle w:val="NormalWeb"/>
        <w:bidi w:val="0"/>
        <w:spacing w:before="0" w:beforeAutospacing="0" w:after="0" w:afterAutospacing="0"/>
        <w:jc w:val="both"/>
        <w:rPr>
          <w:rFonts w:ascii="Times New Roman" w:hAnsi="Times New Roman"/>
          <w:b/>
          <w:bCs/>
          <w:color w:val="000000"/>
          <w:sz w:val="23"/>
          <w:szCs w:val="23"/>
        </w:rPr>
      </w:pPr>
    </w:p>
    <w:p w:rsidR="00AE088E" w:rsidP="005367E1">
      <w:pPr>
        <w:pStyle w:val="NormalWeb"/>
        <w:bidi w:val="0"/>
        <w:spacing w:before="0" w:beforeAutospacing="0" w:after="0" w:afterAutospacing="0"/>
        <w:jc w:val="both"/>
        <w:rPr>
          <w:rFonts w:ascii="Times New Roman" w:hAnsi="Times New Roman"/>
          <w:b/>
          <w:bCs/>
          <w:color w:val="000000"/>
          <w:sz w:val="23"/>
          <w:szCs w:val="23"/>
        </w:rPr>
      </w:pPr>
    </w:p>
    <w:p w:rsidR="00AD2673" w:rsidP="005367E1">
      <w:pPr>
        <w:pStyle w:val="NormalWeb"/>
        <w:bidi w:val="0"/>
        <w:spacing w:before="0" w:beforeAutospacing="0" w:after="0" w:afterAutospacing="0"/>
        <w:jc w:val="both"/>
        <w:rPr>
          <w:rFonts w:ascii="Times New Roman" w:hAnsi="Times New Roman"/>
          <w:b/>
          <w:bCs/>
          <w:color w:val="000000"/>
          <w:sz w:val="23"/>
          <w:szCs w:val="23"/>
        </w:rPr>
      </w:pPr>
    </w:p>
    <w:sectPr w:rsidSect="00181BC7">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C81" w:rsidP="00181BC7">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10A80">
      <w:rPr>
        <w:rStyle w:val="PageNumber"/>
        <w:rFonts w:ascii="Times New Roman" w:hAnsi="Times New Roman"/>
        <w:noProof/>
      </w:rPr>
      <w:t>5</w:t>
    </w:r>
    <w:r>
      <w:rPr>
        <w:rStyle w:val="PageNumber"/>
        <w:rFonts w:ascii="Times New Roman" w:hAnsi="Times New Roman"/>
      </w:rPr>
      <w:fldChar w:fldCharType="end"/>
    </w:r>
  </w:p>
  <w:p w:rsidR="00C33C81">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stroked="f">
        <v:imagedata r:id="rId1" o:title=""/>
      </v:shape>
    </w:pict>
  </w:numPicBullet>
  <w:numPicBullet w:numPicBulletId="1">
    <w:pict>
      <v:shape id="_x0000_i1026" type="#_x0000_t75" style="width:3in;height:3in" o:bullet="t" stroked="f">
        <v:imagedata r:id="rId2" o:title=""/>
      </v:shape>
    </w:pict>
  </w:numPicBullet>
  <w:abstractNum w:abstractNumId="0">
    <w:nsid w:val="11342B0A"/>
    <w:multiLevelType w:val="hybridMultilevel"/>
    <w:tmpl w:val="A66E46F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09D563D"/>
    <w:multiLevelType w:val="hybridMultilevel"/>
    <w:tmpl w:val="A0B0ED6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39D26494"/>
    <w:multiLevelType w:val="hybridMultilevel"/>
    <w:tmpl w:val="0002976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3D1A5B15"/>
    <w:multiLevelType w:val="hybridMultilevel"/>
    <w:tmpl w:val="9D66C6CA"/>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44437644"/>
    <w:multiLevelType w:val="hybridMultilevel"/>
    <w:tmpl w:val="B4BC25C6"/>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5">
    <w:nsid w:val="4B6228DB"/>
    <w:multiLevelType w:val="hybridMultilevel"/>
    <w:tmpl w:val="109C6E88"/>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6">
    <w:nsid w:val="4D8A59B9"/>
    <w:multiLevelType w:val="hybridMultilevel"/>
    <w:tmpl w:val="AC364038"/>
    <w:lvl w:ilvl="0">
      <w:start w:val="1"/>
      <w:numFmt w:val="decimal"/>
      <w:lvlText w:val="%1."/>
      <w:lvlJc w:val="left"/>
      <w:pPr>
        <w:tabs>
          <w:tab w:val="num" w:pos="720"/>
        </w:tabs>
        <w:ind w:left="72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160"/>
        </w:tabs>
        <w:ind w:left="216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3">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4">
      <w:start w:val="1"/>
      <w:numFmt w:val="decimal"/>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5">
      <w:start w:val="1"/>
      <w:numFmt w:val="decimal"/>
      <w:lvlText w:val="%6."/>
      <w:lvlJc w:val="left"/>
      <w:pPr>
        <w:tabs>
          <w:tab w:val="num" w:pos="4320"/>
        </w:tabs>
        <w:ind w:left="432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6">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7">
      <w:start w:val="1"/>
      <w:numFmt w:val="decimal"/>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8">
      <w:start w:val="1"/>
      <w:numFmt w:val="decimal"/>
      <w:lvlText w:val="%9."/>
      <w:lvlJc w:val="left"/>
      <w:pPr>
        <w:tabs>
          <w:tab w:val="num" w:pos="6480"/>
        </w:tabs>
        <w:ind w:left="648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abstractNum>
  <w:abstractNum w:abstractNumId="7">
    <w:nsid w:val="5ADE45D2"/>
    <w:multiLevelType w:val="hybridMultilevel"/>
    <w:tmpl w:val="B0789A54"/>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8">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9">
    <w:nsid w:val="5D0B44FF"/>
    <w:multiLevelType w:val="hybridMultilevel"/>
    <w:tmpl w:val="38349D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3DC34B7"/>
    <w:multiLevelType w:val="hybridMultilevel"/>
    <w:tmpl w:val="2C80850C"/>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nsid w:val="67381AF0"/>
    <w:multiLevelType w:val="hybridMultilevel"/>
    <w:tmpl w:val="545C9D60"/>
    <w:lvl w:ilvl="0">
      <w:start w:val="6"/>
      <w:numFmt w:val="bullet"/>
      <w:lvlText w:val="-"/>
      <w:lvlJc w:val="left"/>
      <w:pPr>
        <w:tabs>
          <w:tab w:val="num" w:pos="900"/>
        </w:tabs>
        <w:ind w:left="900" w:hanging="39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2654E1F"/>
    <w:multiLevelType w:val="multilevel"/>
    <w:tmpl w:val="6E728302"/>
    <w:lvl w:ilvl="0">
      <w:start w:val="6"/>
      <w:numFmt w:val="bullet"/>
      <w:lvlText w:val="-"/>
      <w:lvlJc w:val="left"/>
      <w:pPr>
        <w:tabs>
          <w:tab w:val="num" w:pos="360"/>
        </w:tabs>
        <w:ind w:left="360" w:hanging="360"/>
      </w:pPr>
      <w:rPr>
        <w:rFonts w:ascii="Times New Roman" w:eastAsia="Times New Roman" w:hAnsi="Times New Roman" w:hint="default"/>
        <w:sz w:val="20"/>
      </w:rPr>
    </w:lvl>
    <w:lvl w:ilvl="1">
      <w:start w:val="1"/>
      <w:numFmt w:val="bullet"/>
      <w:lvlText w:val="o"/>
      <w:lvlPicBulletId w:val="0"/>
      <w:lvlJc w:val="left"/>
      <w:pPr>
        <w:tabs>
          <w:tab w:val="num" w:pos="1080"/>
        </w:tabs>
        <w:ind w:left="1080" w:hanging="360"/>
      </w:pPr>
      <w:rPr>
        <w:rFonts w:ascii="Courier New" w:hAnsi="Courier New" w:hint="default"/>
        <w:sz w:val="20"/>
      </w:rPr>
    </w:lvl>
    <w:lvl w:ilvl="2">
      <w:start w:val="1"/>
      <w:numFmt w:val="bullet"/>
      <w:lvlText w:val=""/>
      <w:lvlPicBulletId w:val="1"/>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nsid w:val="76847615"/>
    <w:multiLevelType w:val="hybridMultilevel"/>
    <w:tmpl w:val="CF7A37CE"/>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 w:numId="2">
    <w:abstractNumId w:val="1"/>
  </w:num>
  <w:num w:numId="3">
    <w:abstractNumId w:val="13"/>
  </w:num>
  <w:num w:numId="4">
    <w:abstractNumId w:val="2"/>
  </w:num>
  <w:num w:numId="5">
    <w:abstractNumId w:val="3"/>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1"/>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 w:numId="12">
    <w:abstractNumId w:val="4"/>
    <w:lvlOverride w:ilvl="0"/>
    <w:lvlOverride w:ilvl="1"/>
    <w:lvlOverride w:ilvl="2"/>
    <w:lvlOverride w:ilvl="3"/>
    <w:lvlOverride w:ilvl="4"/>
    <w:lvlOverride w:ilvl="5"/>
    <w:lvlOverride w:ilvl="6"/>
    <w:lvlOverride w:ilvl="7"/>
    <w:lvlOverride w:ilvl="8"/>
  </w:num>
  <w:num w:numId="13">
    <w:abstractNumId w:val="9"/>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08"/>
  <w:hyphenationZone w:val="425"/>
  <w:doNotHyphenateCaps/>
  <w:noPunctuationKerning/>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81BC7"/>
    <w:rsid w:val="000238A4"/>
    <w:rsid w:val="00061720"/>
    <w:rsid w:val="00064B44"/>
    <w:rsid w:val="000702CA"/>
    <w:rsid w:val="0008513C"/>
    <w:rsid w:val="000B62F8"/>
    <w:rsid w:val="000C0113"/>
    <w:rsid w:val="000D688B"/>
    <w:rsid w:val="00101668"/>
    <w:rsid w:val="0010671B"/>
    <w:rsid w:val="00111ECF"/>
    <w:rsid w:val="001564F9"/>
    <w:rsid w:val="0016556E"/>
    <w:rsid w:val="0017495E"/>
    <w:rsid w:val="00181BC7"/>
    <w:rsid w:val="00197FAB"/>
    <w:rsid w:val="001A289B"/>
    <w:rsid w:val="001D4269"/>
    <w:rsid w:val="001E2162"/>
    <w:rsid w:val="001E366E"/>
    <w:rsid w:val="001E4B74"/>
    <w:rsid w:val="001E527A"/>
    <w:rsid w:val="002003F2"/>
    <w:rsid w:val="0020764C"/>
    <w:rsid w:val="00225734"/>
    <w:rsid w:val="00231700"/>
    <w:rsid w:val="00243DC2"/>
    <w:rsid w:val="002600A0"/>
    <w:rsid w:val="00262B19"/>
    <w:rsid w:val="00264F81"/>
    <w:rsid w:val="002907BD"/>
    <w:rsid w:val="00290A63"/>
    <w:rsid w:val="00293E22"/>
    <w:rsid w:val="002A0A5B"/>
    <w:rsid w:val="002A7B2E"/>
    <w:rsid w:val="002C6047"/>
    <w:rsid w:val="002D42F3"/>
    <w:rsid w:val="002E0C17"/>
    <w:rsid w:val="003465DC"/>
    <w:rsid w:val="003529B8"/>
    <w:rsid w:val="00357A0D"/>
    <w:rsid w:val="00370C70"/>
    <w:rsid w:val="00374CC5"/>
    <w:rsid w:val="0038076C"/>
    <w:rsid w:val="003A0A70"/>
    <w:rsid w:val="003D245C"/>
    <w:rsid w:val="003D3BF1"/>
    <w:rsid w:val="00411C4B"/>
    <w:rsid w:val="0041416E"/>
    <w:rsid w:val="004142F1"/>
    <w:rsid w:val="004156D1"/>
    <w:rsid w:val="00442C37"/>
    <w:rsid w:val="00445831"/>
    <w:rsid w:val="00447CF4"/>
    <w:rsid w:val="00450208"/>
    <w:rsid w:val="00452447"/>
    <w:rsid w:val="004662D1"/>
    <w:rsid w:val="00482B9B"/>
    <w:rsid w:val="004B4F9D"/>
    <w:rsid w:val="004C02ED"/>
    <w:rsid w:val="004C12E1"/>
    <w:rsid w:val="004C4567"/>
    <w:rsid w:val="004D1FA0"/>
    <w:rsid w:val="004E2AA9"/>
    <w:rsid w:val="004E6A17"/>
    <w:rsid w:val="00505360"/>
    <w:rsid w:val="00517C15"/>
    <w:rsid w:val="0052256E"/>
    <w:rsid w:val="00530E29"/>
    <w:rsid w:val="00534417"/>
    <w:rsid w:val="005367E1"/>
    <w:rsid w:val="00556D04"/>
    <w:rsid w:val="00565420"/>
    <w:rsid w:val="00570CDF"/>
    <w:rsid w:val="00585452"/>
    <w:rsid w:val="0058628A"/>
    <w:rsid w:val="005A238E"/>
    <w:rsid w:val="005A3886"/>
    <w:rsid w:val="005B3B8E"/>
    <w:rsid w:val="005E02FF"/>
    <w:rsid w:val="005E2D84"/>
    <w:rsid w:val="005E36AD"/>
    <w:rsid w:val="00601C08"/>
    <w:rsid w:val="00603A26"/>
    <w:rsid w:val="006176D0"/>
    <w:rsid w:val="00624032"/>
    <w:rsid w:val="00640D1C"/>
    <w:rsid w:val="00641EB1"/>
    <w:rsid w:val="006422FE"/>
    <w:rsid w:val="00661FAA"/>
    <w:rsid w:val="00662171"/>
    <w:rsid w:val="006668F4"/>
    <w:rsid w:val="00672C80"/>
    <w:rsid w:val="00696DC4"/>
    <w:rsid w:val="0069742F"/>
    <w:rsid w:val="006E7B15"/>
    <w:rsid w:val="006F668B"/>
    <w:rsid w:val="0070166F"/>
    <w:rsid w:val="00705DA5"/>
    <w:rsid w:val="00731F44"/>
    <w:rsid w:val="00744D98"/>
    <w:rsid w:val="00746C56"/>
    <w:rsid w:val="00750F81"/>
    <w:rsid w:val="00755F70"/>
    <w:rsid w:val="00767DEC"/>
    <w:rsid w:val="007807DE"/>
    <w:rsid w:val="00780CBD"/>
    <w:rsid w:val="007B71AF"/>
    <w:rsid w:val="007E0D40"/>
    <w:rsid w:val="007F0F51"/>
    <w:rsid w:val="007F438E"/>
    <w:rsid w:val="007F4B6E"/>
    <w:rsid w:val="007F74E6"/>
    <w:rsid w:val="00802427"/>
    <w:rsid w:val="008073B4"/>
    <w:rsid w:val="00807E67"/>
    <w:rsid w:val="00813B44"/>
    <w:rsid w:val="008223F8"/>
    <w:rsid w:val="00833495"/>
    <w:rsid w:val="00834962"/>
    <w:rsid w:val="00834AEF"/>
    <w:rsid w:val="008469CB"/>
    <w:rsid w:val="00882941"/>
    <w:rsid w:val="00890D95"/>
    <w:rsid w:val="008A7798"/>
    <w:rsid w:val="008C63BD"/>
    <w:rsid w:val="008E5AD1"/>
    <w:rsid w:val="008F450C"/>
    <w:rsid w:val="00910A80"/>
    <w:rsid w:val="0091262C"/>
    <w:rsid w:val="0092785E"/>
    <w:rsid w:val="00930CF3"/>
    <w:rsid w:val="0093293F"/>
    <w:rsid w:val="00934B2F"/>
    <w:rsid w:val="00964245"/>
    <w:rsid w:val="00967020"/>
    <w:rsid w:val="00980A48"/>
    <w:rsid w:val="00994F4C"/>
    <w:rsid w:val="009A48B0"/>
    <w:rsid w:val="009D208A"/>
    <w:rsid w:val="009D55F0"/>
    <w:rsid w:val="009E14C3"/>
    <w:rsid w:val="009E4AE9"/>
    <w:rsid w:val="00A17E22"/>
    <w:rsid w:val="00A542DC"/>
    <w:rsid w:val="00A66F83"/>
    <w:rsid w:val="00A74BF6"/>
    <w:rsid w:val="00A75159"/>
    <w:rsid w:val="00A8345B"/>
    <w:rsid w:val="00A9131B"/>
    <w:rsid w:val="00A93A6A"/>
    <w:rsid w:val="00A948CA"/>
    <w:rsid w:val="00AB5301"/>
    <w:rsid w:val="00AC6291"/>
    <w:rsid w:val="00AD2673"/>
    <w:rsid w:val="00AE088E"/>
    <w:rsid w:val="00AE2CD7"/>
    <w:rsid w:val="00B1727B"/>
    <w:rsid w:val="00B35071"/>
    <w:rsid w:val="00B3516B"/>
    <w:rsid w:val="00B43E12"/>
    <w:rsid w:val="00B5673F"/>
    <w:rsid w:val="00B705D9"/>
    <w:rsid w:val="00BB2672"/>
    <w:rsid w:val="00BB4BAB"/>
    <w:rsid w:val="00BD28D1"/>
    <w:rsid w:val="00BE51B5"/>
    <w:rsid w:val="00BF7251"/>
    <w:rsid w:val="00C04729"/>
    <w:rsid w:val="00C20EDB"/>
    <w:rsid w:val="00C33C81"/>
    <w:rsid w:val="00C34E71"/>
    <w:rsid w:val="00C34EFB"/>
    <w:rsid w:val="00C56DE7"/>
    <w:rsid w:val="00C81664"/>
    <w:rsid w:val="00CA6C88"/>
    <w:rsid w:val="00CC0EA2"/>
    <w:rsid w:val="00CD6295"/>
    <w:rsid w:val="00CE74A7"/>
    <w:rsid w:val="00D07A9F"/>
    <w:rsid w:val="00D20A5F"/>
    <w:rsid w:val="00D30EEB"/>
    <w:rsid w:val="00D34969"/>
    <w:rsid w:val="00D46C1A"/>
    <w:rsid w:val="00D62CDC"/>
    <w:rsid w:val="00D67199"/>
    <w:rsid w:val="00D91F21"/>
    <w:rsid w:val="00D93DAE"/>
    <w:rsid w:val="00DC24E4"/>
    <w:rsid w:val="00DC2831"/>
    <w:rsid w:val="00DE5A1D"/>
    <w:rsid w:val="00DF15DD"/>
    <w:rsid w:val="00DF1A6E"/>
    <w:rsid w:val="00E01768"/>
    <w:rsid w:val="00E04072"/>
    <w:rsid w:val="00E079AA"/>
    <w:rsid w:val="00E2083F"/>
    <w:rsid w:val="00E32177"/>
    <w:rsid w:val="00E679EA"/>
    <w:rsid w:val="00E67D8C"/>
    <w:rsid w:val="00EC5FE7"/>
    <w:rsid w:val="00EC761F"/>
    <w:rsid w:val="00EE3BD9"/>
    <w:rsid w:val="00EF3F63"/>
    <w:rsid w:val="00F1063C"/>
    <w:rsid w:val="00F2487A"/>
    <w:rsid w:val="00F3037A"/>
    <w:rsid w:val="00F32768"/>
    <w:rsid w:val="00F33A31"/>
    <w:rsid w:val="00F4260A"/>
    <w:rsid w:val="00F73CB4"/>
    <w:rsid w:val="00F83406"/>
    <w:rsid w:val="00F840A0"/>
    <w:rsid w:val="00FC14C5"/>
    <w:rsid w:val="00FC178C"/>
    <w:rsid w:val="00FE0127"/>
    <w:rsid w:val="00FF768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BC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rsid w:val="00E32177"/>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2177"/>
    <w:rPr>
      <w:rFonts w:ascii="Tahoma" w:hAnsi="Tahoma" w:cs="Tahoma"/>
      <w:sz w:val="16"/>
      <w:szCs w:val="16"/>
      <w:rtl w:val="0"/>
      <w:cs w:val="0"/>
    </w:rPr>
  </w:style>
  <w:style w:type="paragraph" w:styleId="Footer">
    <w:name w:val="footer"/>
    <w:basedOn w:val="Normal"/>
    <w:link w:val="FooterChar"/>
    <w:uiPriority w:val="99"/>
    <w:rsid w:val="00181BC7"/>
    <w:pPr>
      <w:tabs>
        <w:tab w:val="center" w:pos="4536"/>
        <w:tab w:val="right" w:pos="9072"/>
      </w:tabs>
      <w:jc w:val="left"/>
    </w:pPr>
  </w:style>
  <w:style w:type="character" w:customStyle="1" w:styleId="FooterChar">
    <w:name w:val="Footer Char"/>
    <w:basedOn w:val="DefaultParagraphFont"/>
    <w:link w:val="Footer"/>
    <w:uiPriority w:val="99"/>
    <w:semiHidden/>
    <w:locked/>
    <w:rPr>
      <w:rFonts w:cs="Times New Roman"/>
      <w:sz w:val="24"/>
      <w:szCs w:val="24"/>
      <w:rtl w:val="0"/>
      <w:cs w:val="0"/>
    </w:rPr>
  </w:style>
  <w:style w:type="paragraph" w:customStyle="1" w:styleId="CharCharCharCharChar">
    <w:name w:val="Char Char Char Char Char"/>
    <w:basedOn w:val="Normal"/>
    <w:next w:val="Normal"/>
    <w:uiPriority w:val="99"/>
    <w:rsid w:val="008469CB"/>
    <w:pPr>
      <w:spacing w:after="160" w:line="240" w:lineRule="exact"/>
      <w:jc w:val="left"/>
    </w:pPr>
    <w:rPr>
      <w:rFonts w:ascii="Tahoma" w:hAnsi="Tahoma" w:cs="Tahoma"/>
      <w:lang w:val="en-US" w:eastAsia="en-US"/>
    </w:rPr>
  </w:style>
  <w:style w:type="character" w:styleId="PageNumber">
    <w:name w:val="page number"/>
    <w:basedOn w:val="DefaultParagraphFont"/>
    <w:uiPriority w:val="99"/>
    <w:rsid w:val="00181BC7"/>
    <w:rPr>
      <w:rFonts w:cs="Times New Roman"/>
      <w:rtl w:val="0"/>
      <w:cs w:val="0"/>
    </w:rPr>
  </w:style>
  <w:style w:type="paragraph" w:customStyle="1" w:styleId="CharChar">
    <w:name w:val="Char Char"/>
    <w:basedOn w:val="Normal"/>
    <w:uiPriority w:val="99"/>
    <w:rsid w:val="00F4260A"/>
    <w:pPr>
      <w:jc w:val="left"/>
    </w:pPr>
    <w:rPr>
      <w:lang w:val="pl-PL" w:eastAsia="pl-PL"/>
    </w:rPr>
  </w:style>
  <w:style w:type="paragraph" w:styleId="NormalWeb">
    <w:name w:val="Normal (Web)"/>
    <w:basedOn w:val="Normal"/>
    <w:uiPriority w:val="99"/>
    <w:rsid w:val="00AD2673"/>
    <w:pPr>
      <w:spacing w:before="100" w:beforeAutospacing="1" w:after="100" w:afterAutospacing="1"/>
      <w:jc w:val="left"/>
    </w:pPr>
  </w:style>
  <w:style w:type="character" w:styleId="CommentReference">
    <w:name w:val="annotation reference"/>
    <w:basedOn w:val="DefaultParagraphFont"/>
    <w:uiPriority w:val="99"/>
    <w:semiHidden/>
    <w:rsid w:val="009D55F0"/>
    <w:rPr>
      <w:rFonts w:cs="Times New Roman"/>
      <w:sz w:val="16"/>
      <w:szCs w:val="16"/>
      <w:rtl w:val="0"/>
      <w:cs w:val="0"/>
    </w:rPr>
  </w:style>
  <w:style w:type="paragraph" w:styleId="CommentText">
    <w:name w:val="annotation text"/>
    <w:basedOn w:val="Normal"/>
    <w:link w:val="CommentTextChar"/>
    <w:uiPriority w:val="99"/>
    <w:semiHidden/>
    <w:rsid w:val="009D55F0"/>
    <w:pPr>
      <w:jc w:val="left"/>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tl w:val="0"/>
      <w:cs w:val="0"/>
    </w:rPr>
  </w:style>
  <w:style w:type="paragraph" w:styleId="CommentSubject">
    <w:name w:val="annotation subject"/>
    <w:basedOn w:val="CommentText"/>
    <w:next w:val="CommentText"/>
    <w:link w:val="CommentSubjectChar"/>
    <w:uiPriority w:val="99"/>
    <w:semiHidden/>
    <w:rsid w:val="009D55F0"/>
    <w:pPr>
      <w:jc w:val="left"/>
    </w:pPr>
    <w:rPr>
      <w:b/>
      <w:bCs/>
    </w:rPr>
  </w:style>
  <w:style w:type="character" w:customStyle="1" w:styleId="CommentSubjectChar">
    <w:name w:val="Comment Subject Char"/>
    <w:basedOn w:val="CommentTextChar"/>
    <w:link w:val="CommentSubject"/>
    <w:uiPriority w:val="99"/>
    <w:semiHidden/>
    <w:locked/>
    <w:rPr>
      <w:b/>
      <w:bCs/>
    </w:rPr>
  </w:style>
  <w:style w:type="character" w:styleId="PlaceholderText">
    <w:name w:val="Placeholder Text"/>
    <w:basedOn w:val="DefaultParagraphFont"/>
    <w:uiPriority w:val="99"/>
    <w:semiHidden/>
    <w:rsid w:val="00834962"/>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948</Words>
  <Characters>5405</Characters>
  <Application>Microsoft Office Word</Application>
  <DocSecurity>0</DocSecurity>
  <Lines>0</Lines>
  <Paragraphs>0</Paragraphs>
  <ScaleCrop>false</ScaleCrop>
  <Company>MV SR</Company>
  <LinksUpToDate>false</LinksUpToDate>
  <CharactersWithSpaces>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kriska</dc:creator>
  <cp:lastModifiedBy>Gašparíková, Jarmila</cp:lastModifiedBy>
  <cp:revision>2</cp:revision>
  <cp:lastPrinted>2012-07-04T12:43:00Z</cp:lastPrinted>
  <dcterms:created xsi:type="dcterms:W3CDTF">2013-08-15T09:21:00Z</dcterms:created>
  <dcterms:modified xsi:type="dcterms:W3CDTF">2013-08-15T09:21:00Z</dcterms:modified>
</cp:coreProperties>
</file>