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1E24" w:rsidRPr="00C77BDF" w:rsidP="00CD1E24">
      <w:pPr>
        <w:pBdr>
          <w:bottom w:val="single" w:sz="12" w:space="1" w:color="auto"/>
        </w:pBdr>
        <w:bidi w:val="0"/>
        <w:spacing w:line="276" w:lineRule="auto"/>
        <w:jc w:val="center"/>
        <w:rPr>
          <w:rFonts w:ascii="Book Antiqua" w:hAnsi="Book Antiqua"/>
          <w:b/>
          <w:spacing w:val="20"/>
          <w:sz w:val="22"/>
          <w:szCs w:val="22"/>
        </w:rPr>
      </w:pPr>
      <w:r w:rsidRPr="00C77BDF">
        <w:rPr>
          <w:rFonts w:ascii="Book Antiqua" w:hAnsi="Book Antiqua"/>
          <w:b/>
          <w:spacing w:val="20"/>
          <w:sz w:val="22"/>
          <w:szCs w:val="22"/>
        </w:rPr>
        <w:t>NÁRODNÁ  RADA  SLOVENSKEJ  REPUBLIKY</w:t>
      </w:r>
    </w:p>
    <w:p w:rsidR="00CD1E24" w:rsidRPr="00C77BDF" w:rsidP="00CD1E24">
      <w:pPr>
        <w:bidi w:val="0"/>
        <w:spacing w:line="276" w:lineRule="auto"/>
        <w:jc w:val="center"/>
        <w:rPr>
          <w:rFonts w:ascii="Book Antiqua" w:hAnsi="Book Antiqua"/>
          <w:spacing w:val="20"/>
          <w:sz w:val="22"/>
          <w:szCs w:val="22"/>
        </w:rPr>
      </w:pPr>
    </w:p>
    <w:p w:rsidR="00CD1E24" w:rsidRPr="00C77BDF" w:rsidP="00CD1E24">
      <w:pPr>
        <w:bidi w:val="0"/>
        <w:spacing w:line="276" w:lineRule="auto"/>
        <w:jc w:val="center"/>
        <w:rPr>
          <w:rFonts w:ascii="Book Antiqua" w:hAnsi="Book Antiqua"/>
          <w:spacing w:val="20"/>
          <w:sz w:val="22"/>
          <w:szCs w:val="22"/>
        </w:rPr>
      </w:pPr>
      <w:r w:rsidRPr="00C77BDF">
        <w:rPr>
          <w:rFonts w:ascii="Book Antiqua" w:hAnsi="Book Antiqua"/>
          <w:spacing w:val="20"/>
          <w:sz w:val="22"/>
          <w:szCs w:val="22"/>
        </w:rPr>
        <w:t>VI. volebné obdobie</w:t>
      </w:r>
    </w:p>
    <w:p w:rsidR="00CD1E24" w:rsidRPr="00C77BDF" w:rsidP="00CD1E24">
      <w:pPr>
        <w:bidi w:val="0"/>
        <w:spacing w:line="276" w:lineRule="auto"/>
        <w:jc w:val="center"/>
        <w:rPr>
          <w:rFonts w:ascii="Book Antiqua" w:hAnsi="Book Antiqua"/>
          <w:b/>
          <w:spacing w:val="30"/>
          <w:sz w:val="22"/>
          <w:szCs w:val="22"/>
        </w:rPr>
      </w:pPr>
    </w:p>
    <w:p w:rsidR="00CD1E24" w:rsidRPr="00C77BDF" w:rsidP="00CD1E24">
      <w:pPr>
        <w:bidi w:val="0"/>
        <w:spacing w:line="276" w:lineRule="auto"/>
        <w:rPr>
          <w:rFonts w:ascii="Book Antiqua" w:hAnsi="Book Antiqua"/>
          <w:b/>
          <w:spacing w:val="30"/>
          <w:sz w:val="22"/>
          <w:szCs w:val="22"/>
        </w:rPr>
      </w:pPr>
    </w:p>
    <w:p w:rsidR="00CD1E24" w:rsidRPr="00C77BDF" w:rsidP="00CD1E24">
      <w:pPr>
        <w:bidi w:val="0"/>
        <w:spacing w:line="276" w:lineRule="auto"/>
        <w:jc w:val="center"/>
        <w:rPr>
          <w:rFonts w:ascii="Book Antiqua" w:hAnsi="Book Antiqua"/>
          <w:b/>
          <w:spacing w:val="30"/>
          <w:sz w:val="22"/>
          <w:szCs w:val="22"/>
        </w:rPr>
      </w:pPr>
      <w:r w:rsidRPr="00C77BDF">
        <w:rPr>
          <w:rFonts w:ascii="Book Antiqua" w:hAnsi="Book Antiqua"/>
          <w:b/>
          <w:spacing w:val="30"/>
          <w:sz w:val="22"/>
          <w:szCs w:val="22"/>
        </w:rPr>
        <w:t>Návrh</w:t>
      </w:r>
    </w:p>
    <w:p w:rsidR="00CD1E24" w:rsidRPr="00C77BDF" w:rsidP="00CD1E24">
      <w:pPr>
        <w:bidi w:val="0"/>
        <w:spacing w:line="276" w:lineRule="auto"/>
        <w:jc w:val="center"/>
        <w:rPr>
          <w:rFonts w:ascii="Book Antiqua" w:hAnsi="Book Antiqua"/>
          <w:b/>
          <w:caps/>
          <w:spacing w:val="30"/>
          <w:sz w:val="22"/>
          <w:szCs w:val="22"/>
        </w:rPr>
      </w:pPr>
    </w:p>
    <w:p w:rsidR="00CD1E24" w:rsidRPr="00C77BDF" w:rsidP="00CD1E24">
      <w:pPr>
        <w:bidi w:val="0"/>
        <w:spacing w:line="276" w:lineRule="auto"/>
        <w:jc w:val="center"/>
        <w:rPr>
          <w:rFonts w:ascii="Book Antiqua" w:hAnsi="Book Antiqua"/>
          <w:b/>
          <w:caps/>
          <w:spacing w:val="30"/>
          <w:sz w:val="22"/>
          <w:szCs w:val="22"/>
        </w:rPr>
      </w:pPr>
      <w:r w:rsidRPr="00C77BDF">
        <w:rPr>
          <w:rFonts w:ascii="Book Antiqua" w:hAnsi="Book Antiqua"/>
          <w:b/>
          <w:caps/>
          <w:spacing w:val="30"/>
          <w:sz w:val="22"/>
          <w:szCs w:val="22"/>
        </w:rPr>
        <w:t>zákon</w:t>
      </w:r>
    </w:p>
    <w:p w:rsidR="00CD1E24" w:rsidRPr="00C77BDF" w:rsidP="00CD1E24">
      <w:pPr>
        <w:bidi w:val="0"/>
        <w:spacing w:line="276" w:lineRule="auto"/>
        <w:jc w:val="center"/>
        <w:rPr>
          <w:rFonts w:ascii="Book Antiqua" w:hAnsi="Book Antiqua"/>
          <w:sz w:val="22"/>
          <w:szCs w:val="22"/>
        </w:rPr>
      </w:pPr>
    </w:p>
    <w:p w:rsidR="00CD1E24" w:rsidRPr="00C77BDF" w:rsidP="00CD1E24">
      <w:pPr>
        <w:bidi w:val="0"/>
        <w:spacing w:line="276" w:lineRule="auto"/>
        <w:jc w:val="center"/>
        <w:rPr>
          <w:rFonts w:ascii="Book Antiqua" w:hAnsi="Book Antiqua"/>
          <w:sz w:val="22"/>
          <w:szCs w:val="22"/>
        </w:rPr>
      </w:pPr>
      <w:r w:rsidRPr="00C77BDF">
        <w:rPr>
          <w:rFonts w:ascii="Book Antiqua" w:hAnsi="Book Antiqua"/>
          <w:sz w:val="22"/>
          <w:szCs w:val="22"/>
        </w:rPr>
        <w:t>z ... 2013,</w:t>
      </w:r>
    </w:p>
    <w:p w:rsidR="00CD1E24" w:rsidRPr="00C77BDF" w:rsidP="00CD1E24">
      <w:pPr>
        <w:bidi w:val="0"/>
        <w:spacing w:line="276" w:lineRule="auto"/>
        <w:jc w:val="center"/>
        <w:rPr>
          <w:rFonts w:ascii="Book Antiqua" w:hAnsi="Book Antiqua"/>
          <w:sz w:val="22"/>
          <w:szCs w:val="22"/>
        </w:rPr>
      </w:pPr>
    </w:p>
    <w:p w:rsidR="00CD1E24" w:rsidRPr="00C77BDF" w:rsidP="00CD1E24">
      <w:pPr>
        <w:bidi w:val="0"/>
        <w:spacing w:line="276" w:lineRule="auto"/>
        <w:jc w:val="center"/>
        <w:rPr>
          <w:rFonts w:ascii="Book Antiqua" w:hAnsi="Book Antiqua"/>
          <w:sz w:val="22"/>
          <w:szCs w:val="22"/>
        </w:rPr>
      </w:pPr>
      <w:r w:rsidRPr="00C77BDF">
        <w:rPr>
          <w:rFonts w:ascii="Book Antiqua" w:hAnsi="Book Antiqua"/>
          <w:b/>
          <w:sz w:val="22"/>
          <w:szCs w:val="22"/>
        </w:rPr>
        <w:t>ktorým sa mení a dopĺňa zákon č. 251/2012 Z. z. o energetike a o zmene a doplnení niektorých zákonov</w:t>
      </w:r>
      <w:r w:rsidRPr="00C77BDF">
        <w:rPr>
          <w:rFonts w:ascii="Book Antiqua" w:hAnsi="Book Antiqua"/>
          <w:sz w:val="22"/>
          <w:szCs w:val="22"/>
        </w:rPr>
        <w:t xml:space="preserve"> </w:t>
      </w:r>
      <w:r w:rsidRPr="00C77BDF">
        <w:rPr>
          <w:rFonts w:ascii="Book Antiqua" w:hAnsi="Book Antiqua"/>
          <w:b/>
          <w:sz w:val="22"/>
          <w:szCs w:val="22"/>
        </w:rPr>
        <w:t>v znení zákona č. 391/2012 Z. z.</w:t>
      </w:r>
      <w:r w:rsidRPr="00C77BDF">
        <w:rPr>
          <w:rFonts w:ascii="Book Antiqua" w:hAnsi="Book Antiqua"/>
          <w:sz w:val="22"/>
          <w:szCs w:val="22"/>
        </w:rPr>
        <w:t xml:space="preserve"> </w:t>
      </w:r>
      <w:r w:rsidRPr="00C77BDF">
        <w:rPr>
          <w:rFonts w:ascii="Book Antiqua" w:hAnsi="Book Antiqua"/>
          <w:b/>
          <w:sz w:val="22"/>
          <w:szCs w:val="22"/>
        </w:rPr>
        <w:t>a ktorým sa dopĺňa zákon č. 582/2004 Z. z. o miestnych daniach a miestnom poplatku za komunálne odpady a drobné stavebné odpady v znení neskorších predpisov</w:t>
      </w:r>
    </w:p>
    <w:p w:rsidR="00CD1E24" w:rsidRPr="00C77BDF" w:rsidP="00CD1E24">
      <w:pPr>
        <w:bidi w:val="0"/>
        <w:spacing w:line="276" w:lineRule="auto"/>
        <w:jc w:val="both"/>
        <w:rPr>
          <w:rFonts w:ascii="Book Antiqua" w:hAnsi="Book Antiqua"/>
          <w:sz w:val="22"/>
          <w:szCs w:val="22"/>
        </w:rPr>
      </w:pPr>
    </w:p>
    <w:p w:rsidR="00CD1E24" w:rsidRPr="00C77BDF" w:rsidP="00CD1E24">
      <w:pPr>
        <w:bidi w:val="0"/>
        <w:spacing w:line="276" w:lineRule="auto"/>
        <w:jc w:val="both"/>
        <w:rPr>
          <w:rFonts w:ascii="Book Antiqua" w:hAnsi="Book Antiqua"/>
          <w:sz w:val="22"/>
          <w:szCs w:val="22"/>
        </w:rPr>
      </w:pPr>
    </w:p>
    <w:p w:rsidR="00CD1E24" w:rsidRPr="00C77BDF" w:rsidP="00CD1E24">
      <w:pPr>
        <w:bidi w:val="0"/>
        <w:spacing w:line="276" w:lineRule="auto"/>
        <w:jc w:val="both"/>
        <w:rPr>
          <w:rFonts w:ascii="Book Antiqua" w:hAnsi="Book Antiqua"/>
          <w:sz w:val="22"/>
          <w:szCs w:val="22"/>
        </w:rPr>
      </w:pPr>
      <w:r w:rsidRPr="00C77BDF">
        <w:rPr>
          <w:rFonts w:ascii="Book Antiqua" w:hAnsi="Book Antiqua"/>
          <w:sz w:val="22"/>
          <w:szCs w:val="22"/>
        </w:rPr>
        <w:t xml:space="preserve">Národná rada Slovenskej republiky sa uzniesla na tomto zákone: </w:t>
      </w:r>
    </w:p>
    <w:p w:rsidR="00CD1E24" w:rsidRPr="00C77BDF" w:rsidP="00CD1E24">
      <w:pPr>
        <w:bidi w:val="0"/>
        <w:spacing w:line="276" w:lineRule="auto"/>
        <w:jc w:val="both"/>
        <w:rPr>
          <w:rFonts w:ascii="Book Antiqua" w:hAnsi="Book Antiqua"/>
          <w:b/>
          <w:sz w:val="22"/>
          <w:szCs w:val="22"/>
        </w:rPr>
      </w:pPr>
    </w:p>
    <w:p w:rsidR="00CD1E24" w:rsidRPr="00C77BDF" w:rsidP="00CD1E24">
      <w:pPr>
        <w:bidi w:val="0"/>
        <w:spacing w:line="276" w:lineRule="auto"/>
        <w:jc w:val="center"/>
        <w:rPr>
          <w:rFonts w:ascii="Book Antiqua" w:hAnsi="Book Antiqua"/>
          <w:b/>
          <w:sz w:val="22"/>
          <w:szCs w:val="22"/>
        </w:rPr>
      </w:pPr>
    </w:p>
    <w:p w:rsidR="00CD1E24" w:rsidRPr="00C77BDF" w:rsidP="00CD1E24">
      <w:pPr>
        <w:bidi w:val="0"/>
        <w:spacing w:line="276" w:lineRule="auto"/>
        <w:jc w:val="center"/>
        <w:rPr>
          <w:rFonts w:ascii="Book Antiqua" w:hAnsi="Book Antiqua"/>
          <w:b/>
          <w:sz w:val="22"/>
          <w:szCs w:val="22"/>
        </w:rPr>
      </w:pPr>
      <w:r w:rsidRPr="00C77BDF">
        <w:rPr>
          <w:rFonts w:ascii="Book Antiqua" w:hAnsi="Book Antiqua"/>
          <w:b/>
          <w:sz w:val="22"/>
          <w:szCs w:val="22"/>
        </w:rPr>
        <w:t>Čl. I</w:t>
      </w:r>
    </w:p>
    <w:p w:rsidR="00CD1E24" w:rsidRPr="00C77BDF" w:rsidP="00CD1E24">
      <w:pPr>
        <w:bidi w:val="0"/>
        <w:spacing w:line="276" w:lineRule="auto"/>
        <w:jc w:val="both"/>
        <w:rPr>
          <w:rFonts w:ascii="Book Antiqua" w:hAnsi="Book Antiqua"/>
          <w:sz w:val="22"/>
          <w:szCs w:val="22"/>
        </w:rPr>
      </w:pPr>
    </w:p>
    <w:p w:rsidR="00CD1E24" w:rsidRPr="00C77BDF" w:rsidP="00CD1E24">
      <w:pPr>
        <w:bidi w:val="0"/>
        <w:spacing w:line="276" w:lineRule="auto"/>
        <w:jc w:val="both"/>
        <w:rPr>
          <w:rFonts w:ascii="Book Antiqua" w:hAnsi="Book Antiqua"/>
          <w:bCs/>
          <w:sz w:val="22"/>
          <w:szCs w:val="22"/>
        </w:rPr>
      </w:pPr>
      <w:r w:rsidRPr="00C77BDF">
        <w:rPr>
          <w:rFonts w:ascii="Book Antiqua" w:hAnsi="Book Antiqua"/>
          <w:bCs/>
          <w:sz w:val="22"/>
          <w:szCs w:val="22"/>
        </w:rPr>
        <w:t xml:space="preserve">Zákon č. 251/2012 Z. z. o energetike a o zmene a doplnení niektorých zákonov </w:t>
      </w:r>
      <w:r w:rsidRPr="00C77BDF">
        <w:rPr>
          <w:rFonts w:ascii="Book Antiqua" w:hAnsi="Book Antiqua"/>
          <w:sz w:val="22"/>
          <w:szCs w:val="22"/>
        </w:rPr>
        <w:t>v znení zákona č. 391/2012 Z. z.</w:t>
      </w:r>
      <w:r w:rsidRPr="00C77BDF">
        <w:rPr>
          <w:rFonts w:ascii="Book Antiqua" w:hAnsi="Book Antiqua"/>
          <w:b/>
          <w:sz w:val="22"/>
          <w:szCs w:val="22"/>
        </w:rPr>
        <w:t xml:space="preserve"> </w:t>
      </w:r>
      <w:r w:rsidRPr="00C77BDF">
        <w:rPr>
          <w:rFonts w:ascii="Book Antiqua" w:hAnsi="Book Antiqua"/>
          <w:bCs/>
          <w:sz w:val="22"/>
          <w:szCs w:val="22"/>
        </w:rPr>
        <w:t>sa mení a dopĺňa takto:</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numPr>
          <w:numId w:val="1"/>
        </w:numPr>
        <w:bidi w:val="0"/>
        <w:spacing w:line="276" w:lineRule="auto"/>
        <w:jc w:val="both"/>
        <w:rPr>
          <w:rFonts w:ascii="Book Antiqua" w:hAnsi="Book Antiqua"/>
          <w:bCs/>
          <w:sz w:val="22"/>
          <w:szCs w:val="22"/>
        </w:rPr>
      </w:pPr>
      <w:r w:rsidRPr="00C77BDF">
        <w:rPr>
          <w:rFonts w:ascii="Book Antiqua" w:hAnsi="Book Antiqua"/>
          <w:bCs/>
          <w:sz w:val="22"/>
          <w:szCs w:val="22"/>
        </w:rPr>
        <w:t>§ 11 znie:</w:t>
      </w:r>
    </w:p>
    <w:p w:rsidR="00CD1E24" w:rsidRPr="00C77BDF" w:rsidP="00CD1E24">
      <w:pPr>
        <w:bidi w:val="0"/>
        <w:spacing w:line="276" w:lineRule="auto"/>
        <w:jc w:val="both"/>
        <w:rPr>
          <w:rFonts w:ascii="Book Antiqua" w:hAnsi="Book Antiqua"/>
          <w:bCs/>
          <w:sz w:val="22"/>
          <w:szCs w:val="22"/>
        </w:rPr>
      </w:pPr>
    </w:p>
    <w:p w:rsidR="00CD1E24" w:rsidRPr="00C77BDF" w:rsidP="00CD1E24">
      <w:pPr>
        <w:tabs>
          <w:tab w:val="left" w:pos="0"/>
        </w:tabs>
        <w:bidi w:val="0"/>
        <w:spacing w:line="276" w:lineRule="auto"/>
        <w:jc w:val="center"/>
        <w:rPr>
          <w:rFonts w:ascii="Book Antiqua" w:hAnsi="Book Antiqua"/>
          <w:b/>
          <w:sz w:val="22"/>
          <w:szCs w:val="22"/>
        </w:rPr>
      </w:pPr>
      <w:r w:rsidRPr="00C77BDF">
        <w:rPr>
          <w:rFonts w:ascii="Book Antiqua" w:hAnsi="Book Antiqua"/>
          <w:sz w:val="22"/>
          <w:szCs w:val="22"/>
        </w:rPr>
        <w:t>„</w:t>
      </w:r>
      <w:r w:rsidRPr="00C77BDF">
        <w:rPr>
          <w:rFonts w:ascii="Book Antiqua" w:hAnsi="Book Antiqua"/>
          <w:b/>
          <w:sz w:val="22"/>
          <w:szCs w:val="22"/>
        </w:rPr>
        <w:t>§ 11</w:t>
      </w:r>
    </w:p>
    <w:p w:rsidR="00CD1E24" w:rsidRPr="00C77BDF" w:rsidP="00CD1E24">
      <w:pPr>
        <w:tabs>
          <w:tab w:val="left" w:pos="709"/>
        </w:tabs>
        <w:bidi w:val="0"/>
        <w:spacing w:line="276" w:lineRule="auto"/>
        <w:ind w:left="720"/>
        <w:jc w:val="center"/>
        <w:rPr>
          <w:rFonts w:ascii="Book Antiqua" w:hAnsi="Book Antiqua"/>
          <w:b/>
          <w:sz w:val="22"/>
          <w:szCs w:val="22"/>
        </w:rPr>
      </w:pPr>
      <w:r w:rsidRPr="00C77BDF">
        <w:rPr>
          <w:rFonts w:ascii="Book Antiqua" w:hAnsi="Book Antiqua"/>
          <w:b/>
          <w:sz w:val="22"/>
          <w:szCs w:val="22"/>
        </w:rPr>
        <w:t>Práva a povinnosti držiteľa povolenia</w:t>
      </w:r>
    </w:p>
    <w:p w:rsidR="00CD1E24" w:rsidRPr="00C77BDF" w:rsidP="00CD1E24">
      <w:pPr>
        <w:tabs>
          <w:tab w:val="left" w:pos="0"/>
        </w:tabs>
        <w:bidi w:val="0"/>
        <w:spacing w:line="276" w:lineRule="auto"/>
        <w:jc w:val="center"/>
        <w:rPr>
          <w:rFonts w:ascii="Book Antiqua" w:hAnsi="Book Antiqua"/>
          <w:b/>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(1) Držiteľ povolenia alebo ním poverená osoba môže v nevyhnutnom rozsahu a vo verejnom záujme</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ab/>
        <w:t>a) vstupovať na cudzie pozemky a do cudzích objektov a zariadení v rozsahu a spôsobom nevyhnutným na výkon povolenej činnosti,</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b) pri dodržaní podmienok ochrany životného prostredia odstraňovať a okliesňovať stromy a iné porasty, ktoré ohrozujú bezpečnosť alebo spoľahlivosť prevádzky energetických zariadení, ak tak po predchádzajúcej písomnej výzve neurobil ich vlastník; výzva musí byť vlastníkovi doručená podľa odseku 4,</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c) pri dodržaní podmienok ochrany životného prostredia upravovať trávnaté porasty,</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 xml:space="preserve">d) vstupovať po predchádzajúcom súhlase v súlade s osobitnými predpismi </w:t>
      </w:r>
      <w:r w:rsidRPr="00C77BDF">
        <w:rPr>
          <w:rFonts w:ascii="Book Antiqua" w:hAnsi="Book Antiqua"/>
          <w:sz w:val="22"/>
          <w:szCs w:val="22"/>
          <w:vertAlign w:val="superscript"/>
        </w:rPr>
        <w:t>21)</w:t>
      </w:r>
      <w:r w:rsidRPr="00C77BDF">
        <w:rPr>
          <w:rFonts w:ascii="Book Antiqua" w:hAnsi="Book Antiqua"/>
          <w:sz w:val="22"/>
          <w:szCs w:val="22"/>
        </w:rPr>
        <w:t xml:space="preserve"> do uzavretých priestorov a zariadení Ministerstva obrany Slovenskej republiky, Ministerstva vnútra Slovenskej republiky, ozbrojených síl Slovenskej republiky, Policajného zboru, Zboru väzenskej a justičnej stráže Slovenskej republiky, Slovenskej informačnej služby a Železníc Slovenskej republiky,</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e) vstupovať na pozemky alebo do objektov, v ktorých sú umiestnené osobitné telekomunikačné zariadenia</w:t>
      </w:r>
      <w:r w:rsidRPr="00C77BDF">
        <w:rPr>
          <w:rFonts w:ascii="Book Antiqua" w:hAnsi="Book Antiqua"/>
          <w:sz w:val="22"/>
          <w:szCs w:val="22"/>
          <w:vertAlign w:val="superscript"/>
        </w:rPr>
        <w:t>22)</w:t>
      </w:r>
      <w:r w:rsidRPr="00C77BDF">
        <w:rPr>
          <w:rFonts w:ascii="Book Antiqua" w:hAnsi="Book Antiqua"/>
          <w:sz w:val="22"/>
          <w:szCs w:val="22"/>
        </w:rPr>
        <w:t xml:space="preserve"> a pridružené prostriedky</w:t>
      </w:r>
      <w:r w:rsidRPr="00C77BDF">
        <w:rPr>
          <w:rFonts w:ascii="Book Antiqua" w:hAnsi="Book Antiqua"/>
          <w:sz w:val="22"/>
          <w:szCs w:val="22"/>
          <w:vertAlign w:val="superscript"/>
        </w:rPr>
        <w:t>23)</w:t>
      </w:r>
      <w:r w:rsidRPr="00C77BDF">
        <w:rPr>
          <w:rFonts w:ascii="Book Antiqua" w:hAnsi="Book Antiqua"/>
          <w:sz w:val="22"/>
          <w:szCs w:val="22"/>
        </w:rPr>
        <w:t xml:space="preserve"> v rozsahu a spôsobom nevyhnutným na výkon povolenej činnosti,</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f) zriaďovať na cudzích pozemkoch mimo zastavaného územia obce</w:t>
      </w:r>
      <w:r w:rsidRPr="00C77BDF">
        <w:rPr>
          <w:rFonts w:ascii="Book Antiqua" w:hAnsi="Book Antiqua"/>
          <w:sz w:val="22"/>
          <w:szCs w:val="22"/>
          <w:vertAlign w:val="superscript"/>
        </w:rPr>
        <w:t>24)</w:t>
      </w:r>
      <w:r w:rsidRPr="00C77BDF">
        <w:rPr>
          <w:rFonts w:ascii="Book Antiqua" w:hAnsi="Book Antiqua"/>
          <w:sz w:val="22"/>
          <w:szCs w:val="22"/>
        </w:rPr>
        <w:t xml:space="preserve"> elektrické vedenie a elektroenergetické zariadenie prenosovej sústavy a distribučnej sústavy, plynovody</w:t>
      </w:r>
      <w:r w:rsidRPr="00C77BDF">
        <w:rPr>
          <w:rFonts w:ascii="Book Antiqua" w:hAnsi="Book Antiqua"/>
          <w:sz w:val="22"/>
          <w:szCs w:val="22"/>
          <w:vertAlign w:val="superscript"/>
        </w:rPr>
        <w:t>25)</w:t>
      </w:r>
      <w:r w:rsidRPr="00C77BDF">
        <w:rPr>
          <w:rFonts w:ascii="Book Antiqua" w:hAnsi="Book Antiqua"/>
          <w:sz w:val="22"/>
          <w:szCs w:val="22"/>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takejto stavby stavebný úrad rozhodne o podmienkach, za akých možno stavbu uskutočniť a prevádzkovať na cudzom pozemku; oprávnenia stavebníka na uskutočnenie stavby vznikajú nadobudnutím právoplatnosti takého rozhodnutia,</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g) 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ab/>
        <w:t>(2) Činnosti podľa odseku 1 písm. a), b), c) a e) je držiteľ povolenia alebo ním poverená osoba povinná vopred písomne oznámiť vlastníkovi, to neplatí, ak ide o</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a) bezprostredné ohrozenie života, zdravia alebo majetku osôb a pri likvidácii týchto stavov,</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b) stav núdze alebo predchádzanie jeho vzniku,</w:t>
      </w:r>
    </w:p>
    <w:p w:rsidR="00CD1E24" w:rsidRPr="00C77BDF" w:rsidP="00CD1E24">
      <w:pPr>
        <w:tabs>
          <w:tab w:val="left" w:pos="0"/>
        </w:tabs>
        <w:bidi w:val="0"/>
        <w:spacing w:line="276" w:lineRule="auto"/>
        <w:ind w:left="698"/>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c) poruchy, údržbu alebo havárie na zariadeniach sústavy alebo siete a počas ich odstraňovania.</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(3)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takto spôsobenú škodu.</w:t>
      </w:r>
    </w:p>
    <w:p w:rsidR="00CD1E24" w:rsidRPr="00C77BDF" w:rsidP="00CD1E24">
      <w:pPr>
        <w:tabs>
          <w:tab w:val="left" w:pos="0"/>
        </w:tabs>
        <w:bidi w:val="0"/>
        <w:spacing w:line="276" w:lineRule="auto"/>
        <w:jc w:val="both"/>
        <w:rPr>
          <w:rFonts w:ascii="Book Antiqua" w:hAnsi="Book Antiqua"/>
          <w:sz w:val="22"/>
          <w:szCs w:val="22"/>
        </w:rPr>
      </w:pPr>
      <w:r w:rsidRPr="00C77BDF">
        <w:rPr>
          <w:rFonts w:ascii="Book Antiqua" w:hAnsi="Book Antiqua"/>
          <w:sz w:val="22"/>
          <w:szCs w:val="22"/>
        </w:rPr>
        <w:tab/>
      </w: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ab/>
        <w:t>(4) Výzvu podľa odseku 1 písm. b) alebo oznámenie podľa odseku 2 doručí držiteľ povolenia alebo ním poverená osoba vlastníkovi, správcovi aj nájomcovi najmenej 15 dní pred plánovaným začatím činnosti. Doručenie verejnou vyhláškou sa použije v prípade veľkého počtu vlastníkov, správcov alebo nájomcov alebo ak pobyt vlastníka, správcu alebo nájomcu nie je známy. Doručenie verejnou vyhláškou sa vykoná tak, že sa oznámenie vyvesí počas najmenej 30 dní na úradnej tabuli obce, ktorej katastrálne územie bude činnosťou priamo dotknuté. V tomto prípade sa oznámenie zverejní aj spôsobom v mieste obvyklým.</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(5)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Ak vznikne vlastníkovi nehnuteľnosti v dôsledku výkonu práv držiteľa povolenia alebo ním poverenej osoby majetková ujma, má nárok na náhradu škody. Na konanie o náhrade škody sa vzťahujú ustanovenia Občianskeho zákonníka.</w:t>
      </w:r>
    </w:p>
    <w:p w:rsidR="00CD1E24" w:rsidRPr="00C77BDF" w:rsidP="00CD1E24">
      <w:pPr>
        <w:tabs>
          <w:tab w:val="left" w:pos="0"/>
        </w:tabs>
        <w:bidi w:val="0"/>
        <w:spacing w:line="276" w:lineRule="auto"/>
        <w:ind w:left="698" w:firstLine="11"/>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(6) Na účely odsekov 1 až 3 a odseku 5 sa vlastníkom rozumie vlastník, správca alebo nájomca nehnuteľnosti.</w:t>
      </w:r>
    </w:p>
    <w:p w:rsidR="00CD1E24" w:rsidRPr="00C77BDF" w:rsidP="00CD1E24">
      <w:pPr>
        <w:tabs>
          <w:tab w:val="left" w:pos="0"/>
        </w:tabs>
        <w:bidi w:val="0"/>
        <w:spacing w:line="276" w:lineRule="auto"/>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E6783F">
        <w:rPr>
          <w:rFonts w:ascii="Book Antiqua" w:hAnsi="Book Antiqua"/>
          <w:sz w:val="22"/>
          <w:szCs w:val="22"/>
        </w:rPr>
        <w:t>(7) Povinnosti zodpovedajúce oprávneniam podľa odseku 1 sú vecnými bremenami</w:t>
      </w:r>
      <w:r w:rsidRPr="00E6783F">
        <w:rPr>
          <w:rFonts w:ascii="Book Antiqua" w:hAnsi="Book Antiqua"/>
          <w:sz w:val="22"/>
          <w:szCs w:val="22"/>
          <w:vertAlign w:val="superscript"/>
        </w:rPr>
        <w:t>26)</w:t>
      </w:r>
      <w:r w:rsidRPr="00E6783F">
        <w:rPr>
          <w:rFonts w:ascii="Book Antiqua" w:hAnsi="Book Antiqua"/>
          <w:sz w:val="22"/>
          <w:szCs w:val="22"/>
        </w:rPr>
        <w:t xml:space="preserve"> spojenými s vlastníctvom nehnuteľnosti. </w:t>
      </w:r>
      <w:r w:rsidRPr="00E6783F" w:rsidR="002D6F9A">
        <w:rPr>
          <w:rFonts w:ascii="Book Antiqua" w:hAnsi="Book Antiqua"/>
          <w:sz w:val="22"/>
          <w:szCs w:val="22"/>
        </w:rPr>
        <w:t>Držiteľ povolenia je povinný podať n</w:t>
      </w:r>
      <w:r w:rsidRPr="00E6783F" w:rsidR="009C4762">
        <w:rPr>
          <w:rFonts w:ascii="Book Antiqua" w:hAnsi="Book Antiqua"/>
          <w:sz w:val="22"/>
          <w:szCs w:val="22"/>
        </w:rPr>
        <w:t>ávrh na vykonanie záznamu vecného bremena do katastra nehnuteľností</w:t>
      </w:r>
      <w:r w:rsidRPr="00E6783F" w:rsidR="009C4762">
        <w:rPr>
          <w:rFonts w:ascii="Book Antiqua" w:hAnsi="Book Antiqua"/>
          <w:sz w:val="22"/>
          <w:szCs w:val="22"/>
          <w:vertAlign w:val="superscript"/>
        </w:rPr>
        <w:t>27)</w:t>
      </w:r>
      <w:r w:rsidRPr="00E6783F" w:rsidR="009C4762">
        <w:rPr>
          <w:rFonts w:ascii="Book Antiqua" w:hAnsi="Book Antiqua"/>
          <w:sz w:val="22"/>
          <w:szCs w:val="22"/>
        </w:rPr>
        <w:t xml:space="preserve"> </w:t>
      </w:r>
      <w:r w:rsidRPr="00E6783F" w:rsidR="002D6F9A">
        <w:rPr>
          <w:rFonts w:ascii="Book Antiqua" w:hAnsi="Book Antiqua"/>
          <w:sz w:val="22"/>
          <w:szCs w:val="22"/>
        </w:rPr>
        <w:t xml:space="preserve">do 30 dní odo dňa </w:t>
      </w:r>
      <w:r w:rsidRPr="00E6783F" w:rsidR="009C4762">
        <w:rPr>
          <w:rFonts w:ascii="Book Antiqua" w:hAnsi="Book Antiqua"/>
          <w:sz w:val="22"/>
          <w:szCs w:val="22"/>
        </w:rPr>
        <w:t>uplatnen</w:t>
      </w:r>
      <w:r w:rsidRPr="00E6783F" w:rsidR="002D6F9A">
        <w:rPr>
          <w:rFonts w:ascii="Book Antiqua" w:hAnsi="Book Antiqua"/>
          <w:sz w:val="22"/>
          <w:szCs w:val="22"/>
        </w:rPr>
        <w:t>ia</w:t>
      </w:r>
      <w:r w:rsidRPr="00E6783F" w:rsidR="009C4762">
        <w:rPr>
          <w:rFonts w:ascii="Book Antiqua" w:hAnsi="Book Antiqua"/>
          <w:sz w:val="22"/>
          <w:szCs w:val="22"/>
        </w:rPr>
        <w:t xml:space="preserve"> zákonného</w:t>
      </w:r>
      <w:r w:rsidRPr="00C77BDF" w:rsidR="009C4762">
        <w:rPr>
          <w:rFonts w:ascii="Book Antiqua" w:hAnsi="Book Antiqua"/>
          <w:sz w:val="22"/>
          <w:szCs w:val="22"/>
        </w:rPr>
        <w:t xml:space="preserve"> vecného bremena. </w:t>
      </w:r>
      <w:r w:rsidRPr="00C77BDF">
        <w:rPr>
          <w:rFonts w:ascii="Book Antiqua" w:hAnsi="Book Antiqua"/>
          <w:sz w:val="22"/>
          <w:szCs w:val="22"/>
        </w:rPr>
        <w:t>K návrhu na vykonanie záznamu vecného bremena</w:t>
      </w:r>
      <w:r w:rsidRPr="00C77BDF" w:rsidR="00052C9C">
        <w:rPr>
          <w:rFonts w:ascii="Book Antiqua" w:hAnsi="Book Antiqua"/>
          <w:sz w:val="22"/>
          <w:szCs w:val="22"/>
        </w:rPr>
        <w:t xml:space="preserve"> k</w:t>
      </w:r>
      <w:r w:rsidRPr="00C77BDF">
        <w:rPr>
          <w:rFonts w:ascii="Book Antiqua" w:hAnsi="Book Antiqua"/>
          <w:sz w:val="22"/>
          <w:szCs w:val="22"/>
        </w:rPr>
        <w:t xml:space="preserve"> časti nehnuteľnosti do katastra nehnuteľností je držiteľ povolenia povinný priložiť geometrický plán podľa osobitného predpisu.</w:t>
      </w:r>
      <w:r w:rsidRPr="00C77BDF">
        <w:rPr>
          <w:rFonts w:ascii="Book Antiqua" w:hAnsi="Book Antiqua"/>
          <w:sz w:val="22"/>
          <w:szCs w:val="22"/>
          <w:vertAlign w:val="superscript"/>
        </w:rPr>
        <w:t>27</w:t>
      </w:r>
      <w:r w:rsidRPr="00C77BDF" w:rsidR="002D6F9A">
        <w:rPr>
          <w:rFonts w:ascii="Book Antiqua" w:hAnsi="Book Antiqua"/>
          <w:sz w:val="22"/>
          <w:szCs w:val="22"/>
          <w:vertAlign w:val="superscript"/>
        </w:rPr>
        <w:t>a</w:t>
      </w:r>
      <w:r w:rsidRPr="00C77BDF">
        <w:rPr>
          <w:rFonts w:ascii="Book Antiqua" w:hAnsi="Book Antiqua"/>
          <w:sz w:val="22"/>
          <w:szCs w:val="22"/>
          <w:vertAlign w:val="superscript"/>
        </w:rPr>
        <w:t>)</w:t>
      </w:r>
    </w:p>
    <w:p w:rsidR="00CD1E24" w:rsidRPr="00C77BDF" w:rsidP="00CD1E24">
      <w:pPr>
        <w:tabs>
          <w:tab w:val="left" w:pos="0"/>
        </w:tabs>
        <w:bidi w:val="0"/>
        <w:spacing w:line="276" w:lineRule="auto"/>
        <w:ind w:left="698" w:firstLine="11"/>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(8) Držiteľ povolenia je povinný do 20 dní odo dňa vykonania záznamu podľa odseku 7 túto skutočnosť písomne oznámiť vlastníkovi nehnuteľnosti. K písomnému oznámeniu o vykonaní  záznamu vecného bremena k časti nehnuteľnosti je držiteľ povolenia povinný priložiť geometrický plán podľa odseku 7 alebo jeho kópiu overenú príslušnou správou katastra.</w:t>
      </w:r>
    </w:p>
    <w:p w:rsidR="00CD1E24" w:rsidRPr="00C77BDF" w:rsidP="00CD1E24">
      <w:pPr>
        <w:tabs>
          <w:tab w:val="left" w:pos="0"/>
        </w:tabs>
        <w:bidi w:val="0"/>
        <w:spacing w:line="276" w:lineRule="auto"/>
        <w:jc w:val="both"/>
        <w:rPr>
          <w:rFonts w:ascii="Book Antiqua" w:hAnsi="Book Antiqua"/>
          <w:i/>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(9)  Práva zodpovedajúce vecným bremenám patria držiteľovi povolenia. Ak dôjde k zmene držiteľa povolenia, práva zodpovedajúce vecným bremenám prechádzajú na nového držiteľa povolenia.</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left="698"/>
        <w:jc w:val="both"/>
        <w:rPr>
          <w:rFonts w:ascii="Book Antiqua" w:hAnsi="Book Antiqua"/>
          <w:sz w:val="22"/>
          <w:szCs w:val="22"/>
        </w:rPr>
      </w:pPr>
      <w:r w:rsidRPr="00C77BDF">
        <w:rPr>
          <w:rFonts w:ascii="Book Antiqua" w:hAnsi="Book Antiqua"/>
          <w:sz w:val="22"/>
          <w:szCs w:val="22"/>
        </w:rPr>
        <w:t>(10) Vlastník nehnuteľnosti má za zriadenie vecného bremena nárok na primeranú jednorazovú náhradu, ktorú je povinný uhradiť držiteľ povolenia. Náhrada sa poskytuje za výmeru, v ktorej je vlastník obmedzený pri užívaní nehnuteľnosti v dôsledku uplatnenia zákonného vecného bremena držiteľom povolenia okrem výmery pozemku alebo časti pozemku nachádzajúcich sa v ochrannom pásme podľa § 43, § 79, § 87 a v bezpečnostnom pásme podľa § 80, za ktorú sa vlastníkovi poskytuje osobitná primeraná jednorazová náhrada za zriadenie vecného bremena. Primeraná jednorazová náhrada za zriadenie vecného bremena sa poskytuje vo výške, ktorú vopred písomne odsúhlasí vlastník nehnuteľnosti. Ak sa držiteľ povolenia a vlastník nehnuteľnosti na výške primeranej jednorazovej náhrady za zriadenie vecného bremena nedohodnú, náhrada sa určí podľa všeobecnej hodnoty nehnuteľnosti alebo pozemku stanovenej v znaleckom posudku podľa osobitného predpisu</w:t>
      </w:r>
      <w:r w:rsidRPr="00C77BDF" w:rsidR="005F229E">
        <w:rPr>
          <w:rFonts w:ascii="Book Antiqua" w:hAnsi="Book Antiqua"/>
          <w:sz w:val="22"/>
          <w:szCs w:val="22"/>
        </w:rPr>
        <w:t>.</w:t>
      </w:r>
      <w:r w:rsidRPr="00C77BDF">
        <w:rPr>
          <w:rFonts w:ascii="Book Antiqua" w:hAnsi="Book Antiqua"/>
          <w:sz w:val="22"/>
          <w:szCs w:val="22"/>
          <w:vertAlign w:val="superscript"/>
        </w:rPr>
        <w:t>27</w:t>
      </w:r>
      <w:r w:rsidRPr="00C77BDF" w:rsidR="002D6F9A">
        <w:rPr>
          <w:rFonts w:ascii="Book Antiqua" w:hAnsi="Book Antiqua"/>
          <w:sz w:val="22"/>
          <w:szCs w:val="22"/>
          <w:vertAlign w:val="superscript"/>
        </w:rPr>
        <w:t>b</w:t>
      </w:r>
      <w:r w:rsidRPr="00C77BDF">
        <w:rPr>
          <w:rFonts w:ascii="Book Antiqua" w:hAnsi="Book Antiqua"/>
          <w:sz w:val="22"/>
          <w:szCs w:val="22"/>
          <w:vertAlign w:val="superscript"/>
        </w:rPr>
        <w:t>)</w:t>
      </w:r>
      <w:r w:rsidRPr="00C77BDF">
        <w:rPr>
          <w:rFonts w:ascii="Book Antiqua" w:hAnsi="Book Antiqua"/>
          <w:sz w:val="22"/>
          <w:szCs w:val="22"/>
        </w:rPr>
        <w:t xml:space="preserve"> Náklady na vyhotovenie znaleckého posudku je povinný uhradiť držiteľ povolenia.</w:t>
      </w:r>
    </w:p>
    <w:p w:rsidR="00CD1E24" w:rsidRPr="00C77BDF" w:rsidP="00CD1E24">
      <w:pPr>
        <w:tabs>
          <w:tab w:val="left" w:pos="0"/>
        </w:tabs>
        <w:bidi w:val="0"/>
        <w:spacing w:line="276" w:lineRule="auto"/>
        <w:ind w:left="698" w:firstLine="11"/>
        <w:jc w:val="both"/>
        <w:rPr>
          <w:rFonts w:ascii="Book Antiqua" w:hAnsi="Book Antiqua"/>
          <w:i/>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 xml:space="preserve">(11) Držiteľ povolenia je povinný do troch mesiacov odo dňa uplatnenia zákonného vecného bremena uhradiť vlastníkovi nehnuteľnosti primeranú jednorazovú náhradu za zriadenie vecného bremena, ktorej výška sa určí podľa odseku 10.  </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(12) Ak je vlastník nehnuteľnosti obmedzený pri obvyklom užívaní nehnuteľnosti, má nárok na primeranú náhradu za nútené obmedzenie užívania nehnuteľnosti, ktorú je povinný uhradiť držiteľ povolenia. Nárok na primeranú náhradu za nútené obmedzenie užívania nehnuteľnosti zodpovedá miere obmedzenia obvyklého užívania dotknutej nehnuteľnosti.</w:t>
      </w:r>
    </w:p>
    <w:p w:rsidR="00CD1E24" w:rsidRPr="00C77BDF" w:rsidP="00CD1E24">
      <w:pPr>
        <w:tabs>
          <w:tab w:val="left" w:pos="0"/>
        </w:tabs>
        <w:bidi w:val="0"/>
        <w:spacing w:line="276" w:lineRule="auto"/>
        <w:ind w:left="698" w:firstLine="11"/>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(13) Ak je vlastník pozemku obmedzený v užívaní pozemku v ochrannom pásme podľa § 43, § 79, § 87 a v bezpečnostnom pásme podľa § 80, má nárok na primeranú náhradu za nútené obmedzenie užívania pozemku, ktorú je povinný uhradiť držiteľ povolenia. Nárok na primeranú náhradu za nútené obmedzenie užívania pozemku zodpovedá miere obmedzenia obvyklého užívania dotknutého pozemku.</w:t>
      </w:r>
    </w:p>
    <w:p w:rsidR="00CD1E24" w:rsidRPr="00C77BDF" w:rsidP="00CD1E24">
      <w:pPr>
        <w:tabs>
          <w:tab w:val="left" w:pos="0"/>
        </w:tabs>
        <w:bidi w:val="0"/>
        <w:spacing w:line="276" w:lineRule="auto"/>
        <w:jc w:val="both"/>
        <w:rPr>
          <w:rFonts w:ascii="Book Antiqua" w:hAnsi="Book Antiqua"/>
          <w:b/>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(14) Primeranú náhradu za nútené obmedzenie užívania nehnuteľnosti podľa odseku 12 a primeranú náhradu za nútené obmedzenie užívania pozemku podľa odseku 13 je držiteľ povolenia povinný uhrádzať za celú dobu núteného obmedzenia vlastníka nehnuteľnosti v užívaní nehnuteľnosti alebo núteného obmedzenia vlastníka pozemku v užívaní pozemku , a to každoročne do 31. januára za predchádzajúci rok.</w:t>
      </w:r>
    </w:p>
    <w:p w:rsidR="00CD1E24" w:rsidRPr="00C77BDF" w:rsidP="00CD1E24">
      <w:pPr>
        <w:tabs>
          <w:tab w:val="left" w:pos="0"/>
        </w:tabs>
        <w:bidi w:val="0"/>
        <w:spacing w:line="276" w:lineRule="auto"/>
        <w:ind w:firstLine="709"/>
        <w:jc w:val="both"/>
        <w:rPr>
          <w:rFonts w:ascii="Book Antiqua" w:hAnsi="Book Antiqua"/>
          <w:i/>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(15) Výška primeranej náhrady za nútené obmedzenie užívania nehnuteľnosti podľa odseku 12 a primeranej náhrady za nútené obmedzenie užívania pozemku podľa odseku 13 sa určí podľa všeobecnej hodnoty nehnuteľnosti alebo pozemku stanovenej v znaleckom posudku podľa osobitného predpisu.</w:t>
      </w:r>
      <w:r w:rsidRPr="00C77BDF">
        <w:rPr>
          <w:rFonts w:ascii="Book Antiqua" w:hAnsi="Book Antiqua"/>
          <w:sz w:val="22"/>
          <w:szCs w:val="22"/>
          <w:vertAlign w:val="superscript"/>
        </w:rPr>
        <w:t>27</w:t>
      </w:r>
      <w:r w:rsidRPr="00C77BDF" w:rsidR="00DD315E">
        <w:rPr>
          <w:rFonts w:ascii="Book Antiqua" w:hAnsi="Book Antiqua"/>
          <w:sz w:val="22"/>
          <w:szCs w:val="22"/>
          <w:vertAlign w:val="superscript"/>
        </w:rPr>
        <w:t>b</w:t>
      </w:r>
      <w:r w:rsidRPr="00C77BDF">
        <w:rPr>
          <w:rFonts w:ascii="Book Antiqua" w:hAnsi="Book Antiqua"/>
          <w:sz w:val="22"/>
          <w:szCs w:val="22"/>
          <w:vertAlign w:val="superscript"/>
        </w:rPr>
        <w:t xml:space="preserve">) </w:t>
      </w:r>
      <w:r w:rsidRPr="00C77BDF">
        <w:rPr>
          <w:rFonts w:ascii="Book Antiqua" w:hAnsi="Book Antiqua"/>
          <w:sz w:val="22"/>
          <w:szCs w:val="22"/>
        </w:rPr>
        <w:t>Náklady na vyhotovenie znaleckého posudku je povinný uhradiť držiteľ povolenia.</w:t>
      </w:r>
    </w:p>
    <w:p w:rsidR="00CD1E24" w:rsidRPr="00C77BDF" w:rsidP="00CD1E24">
      <w:pPr>
        <w:tabs>
          <w:tab w:val="left" w:pos="0"/>
        </w:tabs>
        <w:bidi w:val="0"/>
        <w:spacing w:line="276" w:lineRule="auto"/>
        <w:ind w:left="698" w:firstLine="11"/>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 xml:space="preserve"> (16) Vlastník nehnuteľnosti je oprávnený požiadať úrad o vydanie rozhodnutia o zániku oprávnení podľa odseku </w:t>
      </w:r>
      <w:smartTag w:uri="urn:schemas-microsoft-com:office:smarttags" w:element="metricconverter">
        <w:smartTagPr>
          <w:attr w:name="ProductID" w:val="1 a"/>
        </w:smartTagPr>
        <w:r w:rsidRPr="00C77BDF">
          <w:rPr>
            <w:rFonts w:ascii="Book Antiqua" w:hAnsi="Book Antiqua"/>
            <w:sz w:val="22"/>
            <w:szCs w:val="22"/>
          </w:rPr>
          <w:t>1 a</w:t>
        </w:r>
      </w:smartTag>
      <w:r w:rsidRPr="00C77BDF">
        <w:rPr>
          <w:rFonts w:ascii="Book Antiqua" w:hAnsi="Book Antiqua"/>
          <w:sz w:val="22"/>
          <w:szCs w:val="22"/>
        </w:rPr>
        <w:t xml:space="preserve">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 </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 xml:space="preserve">(17) Úrad vydá rozhodnutie podľa odseku 16,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takéhoto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 </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sz w:val="22"/>
          <w:szCs w:val="22"/>
        </w:rPr>
        <w:t xml:space="preserve">(18) Oprávnenia podľa odseku </w:t>
      </w:r>
      <w:smartTag w:uri="urn:schemas-microsoft-com:office:smarttags" w:element="metricconverter">
        <w:smartTagPr>
          <w:attr w:name="ProductID" w:val="1 a"/>
        </w:smartTagPr>
        <w:r w:rsidRPr="00C77BDF">
          <w:rPr>
            <w:rFonts w:ascii="Book Antiqua" w:hAnsi="Book Antiqua"/>
            <w:sz w:val="22"/>
            <w:szCs w:val="22"/>
          </w:rPr>
          <w:t>1 a</w:t>
        </w:r>
      </w:smartTag>
      <w:r w:rsidRPr="00C77BDF">
        <w:rPr>
          <w:rFonts w:ascii="Book Antiqua" w:hAnsi="Book Antiqua"/>
          <w:sz w:val="22"/>
          <w:szCs w:val="22"/>
        </w:rPr>
        <w:t xml:space="preserve">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firstLine="709"/>
        <w:jc w:val="both"/>
        <w:rPr>
          <w:rFonts w:ascii="Book Antiqua" w:hAnsi="Book Antiqua"/>
          <w:sz w:val="22"/>
          <w:szCs w:val="22"/>
        </w:rPr>
      </w:pPr>
      <w:r w:rsidRPr="00C77BDF">
        <w:rPr>
          <w:rFonts w:ascii="Book Antiqua" w:hAnsi="Book Antiqua"/>
          <w:sz w:val="22"/>
          <w:szCs w:val="22"/>
        </w:rPr>
        <w:t>(19) Držiteľ povolenia alebo ním poverená osoba je povinná</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poskytovať ministerstvu informácie nevyhnutné na výkon štátnej správy,</w:t>
      </w:r>
    </w:p>
    <w:p w:rsidR="00CD1E24" w:rsidRPr="00C77BDF" w:rsidP="00CD1E24">
      <w:pPr>
        <w:tabs>
          <w:tab w:val="left" w:pos="1134"/>
        </w:tabs>
        <w:bidi w:val="0"/>
        <w:spacing w:line="276" w:lineRule="auto"/>
        <w:ind w:left="1134"/>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umožniť osobám povereným orgánom vykonávajúcim štátnu správu vstup do objektov, v ktorých sa vykonáva povolená činnosť podľa tohto zákona,</w:t>
      </w:r>
    </w:p>
    <w:p w:rsidR="00CD1E24" w:rsidRPr="00C77BDF" w:rsidP="00CD1E24">
      <w:pPr>
        <w:tabs>
          <w:tab w:val="left" w:pos="1134"/>
        </w:tabs>
        <w:bidi w:val="0"/>
        <w:spacing w:line="276" w:lineRule="auto"/>
        <w:ind w:left="1134"/>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zabezpečiť, aby práce spojené s výkonom povolenej činnosti vyžadujúce odbornú spôsobilosť vykonávali len osoby, ktoré sú na tieto práce odborne spôsobilé,</w:t>
      </w:r>
    </w:p>
    <w:p w:rsidR="00CD1E24" w:rsidRPr="00C77BDF" w:rsidP="00CD1E24">
      <w:pPr>
        <w:tabs>
          <w:tab w:val="left" w:pos="1134"/>
        </w:tabs>
        <w:bidi w:val="0"/>
        <w:spacing w:line="276" w:lineRule="auto"/>
        <w:ind w:left="1134"/>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CD1E24" w:rsidRPr="00C77BDF" w:rsidP="00CD1E24">
      <w:pPr>
        <w:tabs>
          <w:tab w:val="left" w:pos="1134"/>
        </w:tabs>
        <w:bidi w:val="0"/>
        <w:spacing w:line="276" w:lineRule="auto"/>
        <w:ind w:left="1134"/>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CD1E24" w:rsidRPr="00C77BDF" w:rsidP="00CD1E24">
      <w:pPr>
        <w:tabs>
          <w:tab w:val="left" w:pos="1134"/>
        </w:tabs>
        <w:bidi w:val="0"/>
        <w:spacing w:line="276" w:lineRule="auto"/>
        <w:ind w:left="1134"/>
        <w:jc w:val="both"/>
        <w:rPr>
          <w:rFonts w:ascii="Book Antiqua" w:hAnsi="Book Antiqua"/>
          <w:sz w:val="22"/>
          <w:szCs w:val="22"/>
        </w:rPr>
      </w:pPr>
    </w:p>
    <w:p w:rsidR="00CD1E24" w:rsidRPr="00C77BDF" w:rsidP="00CD1E24">
      <w:pPr>
        <w:numPr>
          <w:numId w:val="2"/>
        </w:numPr>
        <w:tabs>
          <w:tab w:val="left" w:pos="1134"/>
        </w:tabs>
        <w:bidi w:val="0"/>
        <w:spacing w:line="276" w:lineRule="auto"/>
        <w:ind w:left="1134"/>
        <w:jc w:val="both"/>
        <w:rPr>
          <w:rFonts w:ascii="Book Antiqua" w:hAnsi="Book Antiqua"/>
          <w:sz w:val="22"/>
          <w:szCs w:val="22"/>
        </w:rPr>
      </w:pPr>
      <w:r w:rsidRPr="00C77BDF">
        <w:rPr>
          <w:rFonts w:ascii="Book Antiqua" w:hAnsi="Book Antiqua"/>
          <w:sz w:val="22"/>
          <w:szCs w:val="22"/>
        </w:rPr>
        <w:t>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r w:rsidRPr="00C77BDF">
        <w:rPr>
          <w:rFonts w:ascii="Book Antiqua" w:hAnsi="Book Antiqua"/>
          <w:sz w:val="22"/>
          <w:szCs w:val="22"/>
          <w:vertAlign w:val="superscript"/>
        </w:rPr>
        <w:t>28</w:t>
      </w:r>
      <w:r w:rsidRPr="00C77BDF">
        <w:rPr>
          <w:rFonts w:ascii="Book Antiqua" w:hAnsi="Book Antiqua"/>
          <w:sz w:val="22"/>
          <w:szCs w:val="22"/>
        </w:rPr>
        <w:t>).“.</w:t>
      </w:r>
    </w:p>
    <w:p w:rsidR="00CD1E24" w:rsidRPr="00C77BDF" w:rsidP="00CD1E24">
      <w:pPr>
        <w:tabs>
          <w:tab w:val="left" w:pos="0"/>
        </w:tabs>
        <w:bidi w:val="0"/>
        <w:spacing w:line="276" w:lineRule="auto"/>
        <w:ind w:firstLine="709"/>
        <w:jc w:val="both"/>
        <w:rPr>
          <w:rFonts w:ascii="Book Antiqua" w:hAnsi="Book Antiqua"/>
          <w:sz w:val="22"/>
          <w:szCs w:val="22"/>
        </w:rPr>
      </w:pPr>
    </w:p>
    <w:p w:rsidR="00CD1E24" w:rsidRPr="00C77BDF" w:rsidP="00CD1E24">
      <w:pPr>
        <w:tabs>
          <w:tab w:val="left" w:pos="0"/>
        </w:tabs>
        <w:bidi w:val="0"/>
        <w:spacing w:line="276" w:lineRule="auto"/>
        <w:ind w:left="708"/>
        <w:jc w:val="both"/>
        <w:rPr>
          <w:rFonts w:ascii="Book Antiqua" w:hAnsi="Book Antiqua"/>
          <w:sz w:val="22"/>
          <w:szCs w:val="22"/>
        </w:rPr>
      </w:pPr>
      <w:r w:rsidRPr="00C77BDF">
        <w:rPr>
          <w:rFonts w:ascii="Book Antiqua" w:hAnsi="Book Antiqua"/>
          <w:sz w:val="22"/>
          <w:szCs w:val="22"/>
        </w:rPr>
        <w:t>Pozn</w:t>
      </w:r>
      <w:r w:rsidRPr="00C77BDF" w:rsidR="00DD315E">
        <w:rPr>
          <w:rFonts w:ascii="Book Antiqua" w:hAnsi="Book Antiqua"/>
          <w:sz w:val="22"/>
          <w:szCs w:val="22"/>
        </w:rPr>
        <w:t>ámky pod čiarou k odkazom 27a a 27b</w:t>
      </w:r>
      <w:r w:rsidRPr="00C77BDF">
        <w:rPr>
          <w:rFonts w:ascii="Book Antiqua" w:hAnsi="Book Antiqua"/>
          <w:sz w:val="22"/>
          <w:szCs w:val="22"/>
        </w:rPr>
        <w:t xml:space="preserve"> znejú:</w:t>
      </w:r>
    </w:p>
    <w:p w:rsidR="00CD1E24" w:rsidRPr="00C77BDF" w:rsidP="00CD1E24">
      <w:pPr>
        <w:tabs>
          <w:tab w:val="left" w:pos="0"/>
        </w:tabs>
        <w:bidi w:val="0"/>
        <w:spacing w:line="276" w:lineRule="auto"/>
        <w:ind w:left="708"/>
        <w:jc w:val="both"/>
        <w:rPr>
          <w:rFonts w:ascii="Book Antiqua" w:hAnsi="Book Antiqua"/>
          <w:sz w:val="22"/>
          <w:szCs w:val="22"/>
        </w:rPr>
      </w:pPr>
    </w:p>
    <w:p w:rsidR="00CD1E24" w:rsidRPr="00C77BDF" w:rsidP="00CD1E24">
      <w:pPr>
        <w:tabs>
          <w:tab w:val="left" w:pos="0"/>
        </w:tabs>
        <w:bidi w:val="0"/>
        <w:spacing w:line="276" w:lineRule="auto"/>
        <w:ind w:left="708"/>
        <w:jc w:val="both"/>
        <w:rPr>
          <w:rFonts w:ascii="Book Antiqua" w:hAnsi="Book Antiqua"/>
          <w:sz w:val="22"/>
          <w:szCs w:val="22"/>
        </w:rPr>
      </w:pPr>
      <w:r w:rsidRPr="00C77BDF">
        <w:rPr>
          <w:rFonts w:ascii="Book Antiqua" w:hAnsi="Book Antiqua"/>
          <w:sz w:val="22"/>
          <w:szCs w:val="22"/>
        </w:rPr>
        <w:t>„</w:t>
      </w:r>
      <w:r w:rsidRPr="00C77BDF">
        <w:rPr>
          <w:rFonts w:ascii="Book Antiqua" w:hAnsi="Book Antiqua"/>
          <w:sz w:val="22"/>
          <w:szCs w:val="22"/>
          <w:vertAlign w:val="superscript"/>
        </w:rPr>
        <w:t>27</w:t>
      </w:r>
      <w:r w:rsidRPr="00C77BDF" w:rsidR="00DD315E">
        <w:rPr>
          <w:rFonts w:ascii="Book Antiqua" w:hAnsi="Book Antiqua"/>
          <w:sz w:val="22"/>
          <w:szCs w:val="22"/>
          <w:vertAlign w:val="superscript"/>
        </w:rPr>
        <w:t>a</w:t>
      </w:r>
      <w:r w:rsidRPr="00C77BDF">
        <w:rPr>
          <w:rFonts w:ascii="Book Antiqua" w:hAnsi="Book Antiqua"/>
          <w:sz w:val="22"/>
          <w:szCs w:val="22"/>
          <w:vertAlign w:val="superscript"/>
        </w:rPr>
        <w:t>)</w:t>
      </w:r>
      <w:r w:rsidRPr="00C77BDF">
        <w:rPr>
          <w:rFonts w:ascii="Book Antiqua" w:hAnsi="Book Antiqua"/>
          <w:sz w:val="22"/>
          <w:szCs w:val="22"/>
        </w:rPr>
        <w:t xml:space="preserve"> § 46 ods. 1 zákona Národnej rady Slovenskej republiky č. 162/1995 Z. z. v znení neskorších predpisov.</w:t>
      </w:r>
    </w:p>
    <w:p w:rsidR="00CD1E24" w:rsidRPr="00C77BDF" w:rsidP="00CD1E24">
      <w:pPr>
        <w:tabs>
          <w:tab w:val="left" w:pos="0"/>
        </w:tabs>
        <w:bidi w:val="0"/>
        <w:spacing w:line="276" w:lineRule="auto"/>
        <w:ind w:left="708"/>
        <w:jc w:val="both"/>
        <w:rPr>
          <w:rFonts w:ascii="Book Antiqua" w:hAnsi="Book Antiqua"/>
          <w:strike/>
          <w:sz w:val="22"/>
          <w:szCs w:val="22"/>
        </w:rPr>
      </w:pPr>
      <w:r w:rsidRPr="00C77BDF">
        <w:rPr>
          <w:rFonts w:ascii="Book Antiqua" w:hAnsi="Book Antiqua"/>
          <w:sz w:val="22"/>
          <w:szCs w:val="22"/>
          <w:vertAlign w:val="superscript"/>
        </w:rPr>
        <w:t>27</w:t>
      </w:r>
      <w:r w:rsidRPr="00C77BDF" w:rsidR="00DD315E">
        <w:rPr>
          <w:rFonts w:ascii="Book Antiqua" w:hAnsi="Book Antiqua"/>
          <w:sz w:val="22"/>
          <w:szCs w:val="22"/>
          <w:vertAlign w:val="superscript"/>
        </w:rPr>
        <w:t>b</w:t>
      </w:r>
      <w:r w:rsidRPr="00C77BDF">
        <w:rPr>
          <w:rFonts w:ascii="Book Antiqua" w:hAnsi="Book Antiqua"/>
          <w:sz w:val="22"/>
          <w:szCs w:val="22"/>
          <w:vertAlign w:val="superscript"/>
        </w:rPr>
        <w:t>)</w:t>
      </w:r>
      <w:r w:rsidRPr="00C77BDF" w:rsidR="00DD315E">
        <w:rPr>
          <w:rFonts w:ascii="Book Antiqua" w:hAnsi="Book Antiqua"/>
          <w:sz w:val="22"/>
          <w:szCs w:val="22"/>
        </w:rPr>
        <w:t xml:space="preserve"> </w:t>
      </w:r>
      <w:r w:rsidRPr="00C77BDF">
        <w:rPr>
          <w:rFonts w:ascii="Book Antiqua" w:hAnsi="Book Antiqua"/>
          <w:sz w:val="22"/>
          <w:szCs w:val="22"/>
        </w:rPr>
        <w:t>Príloha č. 3 k vyhláške Ministerstva spravodlivosti Slovenskej republiky                  č. 492/2004 Z. z. o stanovení všeobecnej hodnoty majetku v znení neskorších predpisov.“.</w:t>
      </w:r>
    </w:p>
    <w:p w:rsidR="00CD1E24" w:rsidRPr="00C77BDF" w:rsidP="00CD1E24">
      <w:pPr>
        <w:bidi w:val="0"/>
        <w:spacing w:line="276" w:lineRule="auto"/>
        <w:jc w:val="both"/>
        <w:rPr>
          <w:rFonts w:ascii="Book Antiqua" w:hAnsi="Book Antiqua"/>
          <w:sz w:val="22"/>
          <w:szCs w:val="22"/>
        </w:rPr>
      </w:pPr>
    </w:p>
    <w:p w:rsidR="00CD1E24" w:rsidRPr="00C77BDF" w:rsidP="00CD1E24">
      <w:pPr>
        <w:bidi w:val="0"/>
        <w:spacing w:line="276" w:lineRule="auto"/>
        <w:jc w:val="both"/>
        <w:rPr>
          <w:rFonts w:ascii="Book Antiqua" w:hAnsi="Book Antiqua"/>
          <w:bCs/>
          <w:sz w:val="22"/>
          <w:szCs w:val="22"/>
        </w:rPr>
      </w:pPr>
    </w:p>
    <w:p w:rsidR="00CD1E24" w:rsidRPr="00C77BDF" w:rsidP="00CD1E24">
      <w:pPr>
        <w:numPr>
          <w:numId w:val="1"/>
        </w:numPr>
        <w:bidi w:val="0"/>
        <w:spacing w:line="276" w:lineRule="auto"/>
        <w:jc w:val="both"/>
        <w:rPr>
          <w:rFonts w:ascii="Book Antiqua" w:hAnsi="Book Antiqua"/>
          <w:bCs/>
          <w:sz w:val="22"/>
          <w:szCs w:val="22"/>
        </w:rPr>
      </w:pPr>
      <w:r w:rsidRPr="00C77BDF">
        <w:rPr>
          <w:rFonts w:ascii="Book Antiqua" w:hAnsi="Book Antiqua"/>
          <w:bCs/>
          <w:sz w:val="22"/>
          <w:szCs w:val="22"/>
        </w:rPr>
        <w:t>V § 35 ods. 1 písm. c) sa slová „§ 11 ods. 13 až 15“ nahrádzajú slovami „§ 11 ods. 16 až 18“.</w:t>
      </w:r>
    </w:p>
    <w:p w:rsidR="00CD1E24" w:rsidRPr="00C77BDF" w:rsidP="00CD1E24">
      <w:pPr>
        <w:bidi w:val="0"/>
        <w:spacing w:line="276" w:lineRule="auto"/>
        <w:ind w:left="720"/>
        <w:jc w:val="both"/>
        <w:rPr>
          <w:rFonts w:ascii="Book Antiqua" w:hAnsi="Book Antiqua"/>
          <w:bCs/>
          <w:sz w:val="22"/>
          <w:szCs w:val="22"/>
        </w:rPr>
      </w:pPr>
      <w:r w:rsidRPr="00C77BDF">
        <w:rPr>
          <w:rFonts w:ascii="Book Antiqua" w:hAnsi="Book Antiqua"/>
          <w:bCs/>
          <w:sz w:val="22"/>
          <w:szCs w:val="22"/>
        </w:rPr>
        <w:t xml:space="preserve">   </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numPr>
          <w:numId w:val="1"/>
        </w:numPr>
        <w:bidi w:val="0"/>
        <w:spacing w:line="276" w:lineRule="auto"/>
        <w:jc w:val="both"/>
        <w:rPr>
          <w:rFonts w:ascii="Book Antiqua" w:hAnsi="Book Antiqua"/>
          <w:bCs/>
          <w:sz w:val="22"/>
          <w:szCs w:val="22"/>
        </w:rPr>
      </w:pPr>
      <w:r w:rsidRPr="00C77BDF">
        <w:rPr>
          <w:rFonts w:ascii="Book Antiqua" w:hAnsi="Book Antiqua"/>
          <w:bCs/>
          <w:sz w:val="22"/>
          <w:szCs w:val="22"/>
        </w:rPr>
        <w:t>V § 90 písm. a) sa slová „§ 11 ods. 16 písm. e)“ nahrádzajú slovami „§ 11 ods. 19 písm. e)“.</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bidi w:val="0"/>
        <w:spacing w:line="276" w:lineRule="auto"/>
        <w:jc w:val="both"/>
        <w:rPr>
          <w:rFonts w:ascii="Book Antiqua" w:hAnsi="Book Antiqua"/>
          <w:bCs/>
          <w:sz w:val="22"/>
          <w:szCs w:val="22"/>
        </w:rPr>
      </w:pPr>
    </w:p>
    <w:p w:rsidR="00CD1E24" w:rsidRPr="00C77BDF" w:rsidP="00CD1E24">
      <w:pPr>
        <w:numPr>
          <w:numId w:val="1"/>
        </w:numPr>
        <w:bidi w:val="0"/>
        <w:spacing w:line="276" w:lineRule="auto"/>
        <w:jc w:val="both"/>
        <w:rPr>
          <w:rFonts w:ascii="Book Antiqua" w:hAnsi="Book Antiqua"/>
          <w:bCs/>
          <w:sz w:val="22"/>
          <w:szCs w:val="22"/>
        </w:rPr>
      </w:pPr>
      <w:r w:rsidRPr="00C77BDF">
        <w:rPr>
          <w:rFonts w:ascii="Book Antiqua" w:hAnsi="Book Antiqua"/>
          <w:bCs/>
          <w:sz w:val="22"/>
          <w:szCs w:val="22"/>
        </w:rPr>
        <w:t>V § 91 ods. 2 písm. d) sa slová „§ 11 ods. 16 písm. e)“ nahrádzajú slovami „§ 11 ods. . 19  písm. e)“.</w:t>
      </w:r>
    </w:p>
    <w:p w:rsidR="00CD1E24" w:rsidRPr="00C77BDF" w:rsidP="00CD1E24">
      <w:pPr>
        <w:bidi w:val="0"/>
        <w:spacing w:line="276" w:lineRule="auto"/>
        <w:jc w:val="both"/>
        <w:rPr>
          <w:rFonts w:ascii="Book Antiqua" w:hAnsi="Book Antiqua"/>
          <w:bCs/>
          <w:strike/>
          <w:sz w:val="22"/>
          <w:szCs w:val="22"/>
        </w:rPr>
      </w:pPr>
    </w:p>
    <w:p w:rsidR="00CD1E24" w:rsidRPr="00C77BDF" w:rsidP="00CD1E24">
      <w:pPr>
        <w:bidi w:val="0"/>
        <w:spacing w:line="276" w:lineRule="auto"/>
        <w:jc w:val="both"/>
        <w:rPr>
          <w:rFonts w:ascii="Book Antiqua" w:hAnsi="Book Antiqua"/>
          <w:bCs/>
          <w:sz w:val="22"/>
          <w:szCs w:val="22"/>
        </w:rPr>
      </w:pPr>
    </w:p>
    <w:p w:rsidR="00CD1E24" w:rsidRPr="00C77BDF" w:rsidP="00CD1E24">
      <w:pPr>
        <w:numPr>
          <w:numId w:val="1"/>
        </w:numPr>
        <w:bidi w:val="0"/>
        <w:spacing w:line="276" w:lineRule="auto"/>
        <w:jc w:val="both"/>
        <w:rPr>
          <w:rFonts w:ascii="Book Antiqua" w:hAnsi="Book Antiqua"/>
          <w:bCs/>
          <w:sz w:val="22"/>
          <w:szCs w:val="22"/>
        </w:rPr>
      </w:pPr>
      <w:r w:rsidRPr="00C77BDF">
        <w:rPr>
          <w:rFonts w:ascii="Book Antiqua" w:hAnsi="Book Antiqua"/>
          <w:bCs/>
          <w:sz w:val="22"/>
          <w:szCs w:val="22"/>
        </w:rPr>
        <w:t>Za § 96 sa vkladá § 96a, ktorý vrátane nadpisu znie:</w:t>
      </w:r>
    </w:p>
    <w:p w:rsidR="00CD1E24" w:rsidRPr="00C77BDF" w:rsidP="00CD1E24">
      <w:pPr>
        <w:bidi w:val="0"/>
        <w:spacing w:line="276" w:lineRule="auto"/>
        <w:ind w:left="720"/>
        <w:jc w:val="center"/>
        <w:rPr>
          <w:rFonts w:ascii="Book Antiqua" w:hAnsi="Book Antiqua"/>
          <w:bCs/>
          <w:sz w:val="22"/>
          <w:szCs w:val="22"/>
        </w:rPr>
      </w:pPr>
    </w:p>
    <w:p w:rsidR="00CD1E24" w:rsidRPr="00C77BDF" w:rsidP="00CD1E24">
      <w:pPr>
        <w:bidi w:val="0"/>
        <w:spacing w:line="276" w:lineRule="auto"/>
        <w:ind w:left="720"/>
        <w:jc w:val="center"/>
        <w:rPr>
          <w:rFonts w:ascii="Book Antiqua" w:hAnsi="Book Antiqua"/>
          <w:b/>
          <w:bCs/>
          <w:sz w:val="22"/>
          <w:szCs w:val="22"/>
        </w:rPr>
      </w:pPr>
      <w:r w:rsidRPr="00C77BDF">
        <w:rPr>
          <w:rFonts w:ascii="Book Antiqua" w:hAnsi="Book Antiqua"/>
          <w:bCs/>
          <w:sz w:val="22"/>
          <w:szCs w:val="22"/>
        </w:rPr>
        <w:t>„</w:t>
      </w:r>
      <w:r w:rsidRPr="00C77BDF">
        <w:rPr>
          <w:rFonts w:ascii="Book Antiqua" w:hAnsi="Book Antiqua"/>
          <w:b/>
          <w:bCs/>
          <w:sz w:val="22"/>
          <w:szCs w:val="22"/>
        </w:rPr>
        <w:t>§</w:t>
      </w:r>
      <w:r w:rsidRPr="00C77BDF">
        <w:rPr>
          <w:rFonts w:ascii="Book Antiqua" w:hAnsi="Book Antiqua"/>
          <w:bCs/>
          <w:sz w:val="22"/>
          <w:szCs w:val="22"/>
        </w:rPr>
        <w:t xml:space="preserve"> </w:t>
      </w:r>
      <w:r w:rsidRPr="00C77BDF">
        <w:rPr>
          <w:rFonts w:ascii="Book Antiqua" w:hAnsi="Book Antiqua"/>
          <w:b/>
          <w:bCs/>
          <w:sz w:val="22"/>
          <w:szCs w:val="22"/>
        </w:rPr>
        <w:t>96a</w:t>
      </w:r>
    </w:p>
    <w:p w:rsidR="00CD1E24" w:rsidRPr="00C77BDF" w:rsidP="00CD1E24">
      <w:pPr>
        <w:bidi w:val="0"/>
        <w:spacing w:line="276" w:lineRule="auto"/>
        <w:ind w:left="720"/>
        <w:jc w:val="center"/>
        <w:rPr>
          <w:rFonts w:ascii="Book Antiqua" w:hAnsi="Book Antiqua"/>
          <w:b/>
          <w:bCs/>
          <w:sz w:val="22"/>
          <w:szCs w:val="22"/>
        </w:rPr>
      </w:pPr>
      <w:r w:rsidRPr="00C77BDF">
        <w:rPr>
          <w:rFonts w:ascii="Book Antiqua" w:hAnsi="Book Antiqua"/>
          <w:b/>
          <w:bCs/>
          <w:sz w:val="22"/>
          <w:szCs w:val="22"/>
        </w:rPr>
        <w:t>Prechodné ustanovenia účinné od 1. januára 2014</w:t>
      </w:r>
    </w:p>
    <w:p w:rsidR="00CD1E24" w:rsidRPr="00C77BDF" w:rsidP="00CD1E24">
      <w:pPr>
        <w:bidi w:val="0"/>
        <w:spacing w:line="276" w:lineRule="auto"/>
        <w:ind w:left="720"/>
        <w:jc w:val="center"/>
        <w:rPr>
          <w:rFonts w:ascii="Book Antiqua" w:hAnsi="Book Antiqua"/>
          <w:b/>
          <w:bCs/>
          <w:sz w:val="22"/>
          <w:szCs w:val="22"/>
        </w:rPr>
      </w:pPr>
    </w:p>
    <w:p w:rsidR="00CD1E24" w:rsidRPr="00C77BDF" w:rsidP="00CD1E24">
      <w:pPr>
        <w:bidi w:val="0"/>
        <w:spacing w:line="276" w:lineRule="auto"/>
        <w:ind w:left="720"/>
        <w:jc w:val="both"/>
        <w:rPr>
          <w:rFonts w:ascii="Book Antiqua" w:hAnsi="Book Antiqua"/>
          <w:bCs/>
          <w:sz w:val="22"/>
          <w:szCs w:val="22"/>
        </w:rPr>
      </w:pPr>
      <w:r w:rsidRPr="00C77BDF">
        <w:rPr>
          <w:rFonts w:ascii="Book Antiqua" w:hAnsi="Book Antiqua"/>
          <w:bCs/>
          <w:sz w:val="22"/>
          <w:szCs w:val="22"/>
        </w:rPr>
        <w:t xml:space="preserve">(1) </w:t>
      </w:r>
      <w:r w:rsidRPr="00C77BDF">
        <w:rPr>
          <w:rFonts w:ascii="Book Antiqua" w:hAnsi="Book Antiqua"/>
          <w:sz w:val="22"/>
          <w:szCs w:val="22"/>
        </w:rPr>
        <w:t xml:space="preserve">Na počítanie lehôt na uplatnenie nároku na primeranú jednorazovú náhradu </w:t>
      </w:r>
      <w:r w:rsidRPr="00C77BDF">
        <w:rPr>
          <w:rFonts w:ascii="Book Antiqua" w:hAnsi="Book Antiqua"/>
          <w:bCs/>
          <w:sz w:val="22"/>
          <w:szCs w:val="22"/>
        </w:rPr>
        <w:t>za zriadenie vecného bremena</w:t>
      </w:r>
      <w:r w:rsidRPr="00C77BDF">
        <w:rPr>
          <w:rFonts w:ascii="Book Antiqua" w:hAnsi="Book Antiqua"/>
          <w:sz w:val="22"/>
          <w:szCs w:val="22"/>
        </w:rPr>
        <w:t xml:space="preserve">, ktoré začali plynúť podľa doterajších predpisov, sa použijú doterajšie predpisy; vlastník nehnuteľnosti môže po nadobudnutí účinnosti tohto zákona v takejto lehote uplatniť u držiteľa povolenia nárok na primeranú jednorazovú náhradu </w:t>
      </w:r>
      <w:r w:rsidRPr="00C77BDF">
        <w:rPr>
          <w:rFonts w:ascii="Book Antiqua" w:hAnsi="Book Antiqua"/>
          <w:bCs/>
          <w:sz w:val="22"/>
          <w:szCs w:val="22"/>
        </w:rPr>
        <w:t xml:space="preserve">za zriadenie vecného bremena podľa doterajších predpisov. Ustanovenia § 11 </w:t>
      </w:r>
      <w:r w:rsidRPr="00C77BDF" w:rsidR="00D20B94">
        <w:rPr>
          <w:rFonts w:ascii="Book Antiqua" w:hAnsi="Book Antiqua"/>
          <w:bCs/>
          <w:sz w:val="22"/>
          <w:szCs w:val="22"/>
        </w:rPr>
        <w:t>v znení účinnom od 1. januára 2014</w:t>
      </w:r>
      <w:r w:rsidRPr="00C77BDF" w:rsidR="00D20B94">
        <w:rPr>
          <w:rFonts w:ascii="Book Antiqua" w:hAnsi="Book Antiqua"/>
          <w:sz w:val="22"/>
          <w:szCs w:val="22"/>
        </w:rPr>
        <w:t xml:space="preserve"> týkajúce sa </w:t>
      </w:r>
      <w:r w:rsidRPr="00C77BDF" w:rsidR="00D20B94">
        <w:rPr>
          <w:rFonts w:ascii="Book Antiqua" w:hAnsi="Book Antiqua"/>
          <w:bCs/>
          <w:sz w:val="22"/>
          <w:szCs w:val="22"/>
        </w:rPr>
        <w:t xml:space="preserve">primeranej  </w:t>
      </w:r>
      <w:r w:rsidRPr="00C77BDF" w:rsidR="00D20B94">
        <w:rPr>
          <w:rFonts w:ascii="Book Antiqua" w:hAnsi="Book Antiqua"/>
          <w:sz w:val="22"/>
          <w:szCs w:val="22"/>
        </w:rPr>
        <w:t xml:space="preserve">jednorazovej náhrady </w:t>
      </w:r>
      <w:r w:rsidRPr="00C77BDF" w:rsidR="00D20B94">
        <w:rPr>
          <w:rFonts w:ascii="Book Antiqua" w:hAnsi="Book Antiqua"/>
          <w:bCs/>
          <w:sz w:val="22"/>
          <w:szCs w:val="22"/>
        </w:rPr>
        <w:t xml:space="preserve">za zriadenie vecného bremena </w:t>
      </w:r>
      <w:r w:rsidRPr="00C77BDF">
        <w:rPr>
          <w:rFonts w:ascii="Book Antiqua" w:hAnsi="Book Antiqua"/>
          <w:bCs/>
          <w:sz w:val="22"/>
          <w:szCs w:val="22"/>
        </w:rPr>
        <w:t>sa vzťahujú na zákonné vecné bremená uplatnené držiteľom povolenia po nadobudnutí účinnosti tohto zákona.</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bidi w:val="0"/>
        <w:spacing w:line="276" w:lineRule="auto"/>
        <w:ind w:left="720"/>
        <w:jc w:val="both"/>
        <w:rPr>
          <w:rFonts w:ascii="Book Antiqua" w:hAnsi="Book Antiqua"/>
          <w:bCs/>
          <w:sz w:val="22"/>
          <w:szCs w:val="22"/>
        </w:rPr>
      </w:pPr>
      <w:r w:rsidRPr="00C77BDF">
        <w:rPr>
          <w:rFonts w:ascii="Book Antiqua" w:hAnsi="Book Antiqua"/>
          <w:bCs/>
          <w:sz w:val="22"/>
          <w:szCs w:val="22"/>
        </w:rPr>
        <w:t xml:space="preserve">(2) Konania vo veci nároku na primeranú jednorazovú náhradu za zriadenie vecného bremena, nároku na primeranú jednorazovú náhradu za nútené obmedzenie užívania nehnuteľnosti a nároku na primeranú jednorazovú náhradu za nútené obmedzenie užívania pozemku v ochrannom pásme a v bezpečnostnom pásme začaté pred nadobudnutím účinnosti tohto zákona sa dokončia podľa doterajších predpisov. Konania vo veci nároku na primeranú jednorazovú náhradu za zriadenie vecného bremena začaté na základe odseku 2 sa uskutočnia podľa doterajších predpisov. V konaniach podľa tohto odseku rozhodujú orgány príslušné podľa doterajších predpisov. </w:t>
      </w:r>
    </w:p>
    <w:p w:rsidR="00CD1E24" w:rsidRPr="00C77BDF" w:rsidP="00CD1E24">
      <w:pPr>
        <w:bidi w:val="0"/>
        <w:spacing w:line="276" w:lineRule="auto"/>
        <w:jc w:val="both"/>
        <w:rPr>
          <w:rFonts w:ascii="Book Antiqua" w:hAnsi="Book Antiqua"/>
          <w:bCs/>
          <w:sz w:val="22"/>
          <w:szCs w:val="22"/>
        </w:rPr>
      </w:pPr>
    </w:p>
    <w:p w:rsidR="00CD1E24" w:rsidRPr="00C77BDF" w:rsidP="00CD1E24">
      <w:pPr>
        <w:tabs>
          <w:tab w:val="left" w:pos="0"/>
        </w:tabs>
        <w:bidi w:val="0"/>
        <w:spacing w:line="276" w:lineRule="auto"/>
        <w:ind w:left="698" w:firstLine="11"/>
        <w:jc w:val="both"/>
        <w:rPr>
          <w:rFonts w:ascii="Book Antiqua" w:hAnsi="Book Antiqua"/>
          <w:sz w:val="22"/>
          <w:szCs w:val="22"/>
        </w:rPr>
      </w:pPr>
      <w:r w:rsidRPr="00C77BDF">
        <w:rPr>
          <w:rFonts w:ascii="Book Antiqua" w:hAnsi="Book Antiqua"/>
          <w:bCs/>
          <w:sz w:val="22"/>
          <w:szCs w:val="22"/>
        </w:rPr>
        <w:t xml:space="preserve">(3) Držiteľ povolenia je povinný prvýkrát uhradiť </w:t>
      </w:r>
      <w:r w:rsidRPr="00C77BDF">
        <w:rPr>
          <w:rFonts w:ascii="Book Antiqua" w:hAnsi="Book Antiqua"/>
          <w:sz w:val="22"/>
          <w:szCs w:val="22"/>
        </w:rPr>
        <w:t xml:space="preserve">primeranú náhradu za nútené obmedzenie užívania nehnuteľnosti podľa § 11 ods. 12 </w:t>
      </w:r>
      <w:r w:rsidRPr="00C77BDF">
        <w:rPr>
          <w:rFonts w:ascii="Book Antiqua" w:hAnsi="Book Antiqua"/>
          <w:bCs/>
          <w:sz w:val="22"/>
          <w:szCs w:val="22"/>
        </w:rPr>
        <w:t>v znení účinnom od 1. januára 2014</w:t>
      </w:r>
      <w:r w:rsidRPr="00C77BDF">
        <w:rPr>
          <w:rFonts w:ascii="Book Antiqua" w:hAnsi="Book Antiqua"/>
          <w:sz w:val="22"/>
          <w:szCs w:val="22"/>
        </w:rPr>
        <w:t xml:space="preserve"> a primeranú náhradu za nútené obmedzenie užívania pozemku podľa § 11 ods. 13 </w:t>
      </w:r>
      <w:r w:rsidRPr="00C77BDF">
        <w:rPr>
          <w:rFonts w:ascii="Book Antiqua" w:hAnsi="Book Antiqua"/>
          <w:bCs/>
          <w:sz w:val="22"/>
          <w:szCs w:val="22"/>
        </w:rPr>
        <w:t>v znení účinnom od 1. januára 2014</w:t>
      </w:r>
      <w:r w:rsidRPr="00C77BDF">
        <w:rPr>
          <w:rFonts w:ascii="Book Antiqua" w:hAnsi="Book Antiqua"/>
          <w:sz w:val="22"/>
          <w:szCs w:val="22"/>
        </w:rPr>
        <w:t xml:space="preserve"> do 31. januára 2015, a to za celú dobu núteného obmedzenia vlastníka v užívaní tejto nehnuteľnosti alebo tohto pozemku v roku 2014.</w:t>
      </w:r>
    </w:p>
    <w:p w:rsidR="00CD1E24" w:rsidRPr="00C77BDF" w:rsidP="00CD1E24">
      <w:pPr>
        <w:bidi w:val="0"/>
        <w:spacing w:line="276" w:lineRule="auto"/>
        <w:jc w:val="both"/>
        <w:rPr>
          <w:rFonts w:ascii="Book Antiqua" w:hAnsi="Book Antiqua"/>
          <w:bCs/>
          <w:i/>
          <w:sz w:val="22"/>
          <w:szCs w:val="22"/>
          <w:u w:val="single"/>
        </w:rPr>
      </w:pPr>
    </w:p>
    <w:p w:rsidR="00CD1E24" w:rsidRPr="00C77BDF" w:rsidP="00CD1E24">
      <w:pPr>
        <w:bidi w:val="0"/>
        <w:spacing w:line="276" w:lineRule="auto"/>
        <w:ind w:left="720"/>
        <w:jc w:val="both"/>
        <w:rPr>
          <w:rFonts w:ascii="Book Antiqua" w:hAnsi="Book Antiqua"/>
          <w:bCs/>
          <w:sz w:val="22"/>
          <w:szCs w:val="22"/>
        </w:rPr>
      </w:pPr>
      <w:r w:rsidRPr="00C77BDF">
        <w:rPr>
          <w:rFonts w:ascii="Book Antiqua" w:hAnsi="Book Antiqua"/>
          <w:bCs/>
          <w:sz w:val="22"/>
          <w:szCs w:val="22"/>
        </w:rPr>
        <w:t xml:space="preserve">(4) Vlastník nehnuteľnosti, ktorý je </w:t>
      </w:r>
      <w:r w:rsidRPr="00C77BDF">
        <w:rPr>
          <w:rFonts w:ascii="Book Antiqua" w:hAnsi="Book Antiqua"/>
          <w:sz w:val="22"/>
          <w:szCs w:val="22"/>
        </w:rPr>
        <w:t>ku dňu nadobudnutia účinnosti tohto zákona</w:t>
      </w:r>
      <w:r w:rsidRPr="00C77BDF">
        <w:rPr>
          <w:rFonts w:ascii="Book Antiqua" w:hAnsi="Book Antiqua"/>
          <w:bCs/>
          <w:sz w:val="22"/>
          <w:szCs w:val="22"/>
        </w:rPr>
        <w:t xml:space="preserve"> nútene obmedzený v užívaní nehnuteľnosti podľa § 11 ods. 12 v znení účinnom od 1. januára 2014, </w:t>
      </w:r>
      <w:r w:rsidRPr="00C77BDF">
        <w:rPr>
          <w:rFonts w:ascii="Book Antiqua" w:hAnsi="Book Antiqua"/>
          <w:sz w:val="22"/>
          <w:szCs w:val="22"/>
        </w:rPr>
        <w:t xml:space="preserve">má od 1. januára 2014 nárok na </w:t>
      </w:r>
      <w:r w:rsidRPr="00C77BDF">
        <w:rPr>
          <w:rFonts w:ascii="Book Antiqua" w:hAnsi="Book Antiqua"/>
          <w:bCs/>
          <w:sz w:val="22"/>
          <w:szCs w:val="22"/>
        </w:rPr>
        <w:t>primeranú náhradu za</w:t>
      </w:r>
      <w:r w:rsidRPr="00C77BDF">
        <w:rPr>
          <w:rFonts w:ascii="Book Antiqua" w:hAnsi="Book Antiqua"/>
          <w:sz w:val="22"/>
          <w:szCs w:val="22"/>
        </w:rPr>
        <w:t xml:space="preserve"> nútené obmedzenie užívania nehnuteľnosti</w:t>
      </w:r>
      <w:r w:rsidRPr="00C77BDF">
        <w:rPr>
          <w:rFonts w:ascii="Book Antiqua" w:hAnsi="Book Antiqua"/>
          <w:bCs/>
          <w:sz w:val="22"/>
          <w:szCs w:val="22"/>
        </w:rPr>
        <w:t xml:space="preserve"> podľa § 11 ods. 12 v znení účinnom od 1. januára 2014; tento nárok má vlastník nehnuteľnosti bez ohľadu na dátum vzniku núteného obmedzenia </w:t>
      </w:r>
      <w:r w:rsidRPr="00C77BDF">
        <w:rPr>
          <w:rFonts w:ascii="Book Antiqua" w:hAnsi="Book Antiqua"/>
          <w:sz w:val="22"/>
          <w:szCs w:val="22"/>
        </w:rPr>
        <w:t>užívania nehnuteľnosti</w:t>
      </w:r>
      <w:r w:rsidRPr="00C77BDF">
        <w:rPr>
          <w:rFonts w:ascii="Book Antiqua" w:hAnsi="Book Antiqua"/>
          <w:bCs/>
          <w:sz w:val="22"/>
          <w:szCs w:val="22"/>
        </w:rPr>
        <w:t xml:space="preserve"> a bez ohľadu na to, či mu bola priznaná jednorazová náhrada za</w:t>
      </w:r>
      <w:r w:rsidRPr="00C77BDF">
        <w:rPr>
          <w:rFonts w:ascii="Book Antiqua" w:hAnsi="Book Antiqua"/>
          <w:sz w:val="22"/>
          <w:szCs w:val="22"/>
        </w:rPr>
        <w:t xml:space="preserve"> nútené obmedzenie užívania nehnuteľnosti </w:t>
      </w:r>
      <w:r w:rsidRPr="00C77BDF">
        <w:rPr>
          <w:rFonts w:ascii="Book Antiqua" w:hAnsi="Book Antiqua"/>
          <w:bCs/>
          <w:sz w:val="22"/>
          <w:szCs w:val="22"/>
        </w:rPr>
        <w:t>podľa doterajších predpisov alebo či si na ňu podľa doterajších predpisov uplatnil nárok.</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bidi w:val="0"/>
        <w:spacing w:line="276" w:lineRule="auto"/>
        <w:ind w:left="720"/>
        <w:jc w:val="both"/>
        <w:rPr>
          <w:rFonts w:ascii="Book Antiqua" w:hAnsi="Book Antiqua"/>
          <w:bCs/>
          <w:sz w:val="22"/>
          <w:szCs w:val="22"/>
        </w:rPr>
      </w:pPr>
      <w:r w:rsidRPr="00C77BDF">
        <w:rPr>
          <w:rFonts w:ascii="Book Antiqua" w:hAnsi="Book Antiqua"/>
          <w:bCs/>
          <w:sz w:val="22"/>
          <w:szCs w:val="22"/>
        </w:rPr>
        <w:t xml:space="preserve">(5) Vlastník pozemku, ktorý je </w:t>
      </w:r>
      <w:r w:rsidRPr="00C77BDF">
        <w:rPr>
          <w:rFonts w:ascii="Book Antiqua" w:hAnsi="Book Antiqua"/>
          <w:sz w:val="22"/>
          <w:szCs w:val="22"/>
        </w:rPr>
        <w:t xml:space="preserve">ku dňu nadobudnutia účinnosti tohto zákona nútene obmedzený v užívaní pozemku </w:t>
      </w:r>
      <w:r w:rsidRPr="00C77BDF">
        <w:rPr>
          <w:rFonts w:ascii="Book Antiqua" w:hAnsi="Book Antiqua"/>
          <w:bCs/>
          <w:sz w:val="22"/>
          <w:szCs w:val="22"/>
        </w:rPr>
        <w:t>podľa § 11 ods. 13 v znení účinnom od 1. januára 2014</w:t>
      </w:r>
      <w:r w:rsidRPr="00C77BDF">
        <w:rPr>
          <w:rFonts w:ascii="Book Antiqua" w:hAnsi="Book Antiqua"/>
          <w:sz w:val="22"/>
          <w:szCs w:val="22"/>
        </w:rPr>
        <w:t xml:space="preserve">, má od 1. januára 2014 nárok na </w:t>
      </w:r>
      <w:r w:rsidRPr="00C77BDF">
        <w:rPr>
          <w:rFonts w:ascii="Book Antiqua" w:hAnsi="Book Antiqua"/>
          <w:bCs/>
          <w:sz w:val="22"/>
          <w:szCs w:val="22"/>
        </w:rPr>
        <w:t>primeranú náhradu za</w:t>
      </w:r>
      <w:r w:rsidRPr="00C77BDF">
        <w:rPr>
          <w:rFonts w:ascii="Book Antiqua" w:hAnsi="Book Antiqua"/>
          <w:sz w:val="22"/>
          <w:szCs w:val="22"/>
        </w:rPr>
        <w:t xml:space="preserve"> nútené obmedzenie užívania pozemku</w:t>
      </w:r>
      <w:r w:rsidRPr="00C77BDF">
        <w:rPr>
          <w:rFonts w:ascii="Book Antiqua" w:hAnsi="Book Antiqua"/>
          <w:bCs/>
          <w:sz w:val="22"/>
          <w:szCs w:val="22"/>
        </w:rPr>
        <w:t xml:space="preserve"> v ochrannom pásme a v bezpečnostnom pásme podľa § 11 ods. 13 v znení účinnom od 1. januára 2014; tento nárok má vlastník pozemku bez ohľadu na dátum vzniku núteného obmedzenia </w:t>
      </w:r>
      <w:r w:rsidRPr="00C77BDF">
        <w:rPr>
          <w:rFonts w:ascii="Book Antiqua" w:hAnsi="Book Antiqua"/>
          <w:sz w:val="22"/>
          <w:szCs w:val="22"/>
        </w:rPr>
        <w:t xml:space="preserve">užívania pozemku </w:t>
      </w:r>
      <w:r w:rsidRPr="00C77BDF">
        <w:rPr>
          <w:rFonts w:ascii="Book Antiqua" w:hAnsi="Book Antiqua"/>
          <w:bCs/>
          <w:sz w:val="22"/>
          <w:szCs w:val="22"/>
        </w:rPr>
        <w:t>a bez ohľadu na to, či mu podľa doterajších predpisov bola priznaná jednorazová náhrada za</w:t>
      </w:r>
      <w:r w:rsidRPr="00C77BDF">
        <w:rPr>
          <w:rFonts w:ascii="Book Antiqua" w:hAnsi="Book Antiqua"/>
          <w:sz w:val="22"/>
          <w:szCs w:val="22"/>
        </w:rPr>
        <w:t xml:space="preserve"> nútené obmedzenie užívania pozemku </w:t>
      </w:r>
      <w:r w:rsidRPr="00C77BDF">
        <w:rPr>
          <w:rFonts w:ascii="Book Antiqua" w:hAnsi="Book Antiqua"/>
          <w:bCs/>
          <w:sz w:val="22"/>
          <w:szCs w:val="22"/>
        </w:rPr>
        <w:t>v ochrannom pásme a v bezpečnostnom pásme</w:t>
      </w:r>
      <w:r w:rsidRPr="00C77BDF">
        <w:rPr>
          <w:rFonts w:ascii="Book Antiqua" w:hAnsi="Book Antiqua"/>
          <w:sz w:val="22"/>
          <w:szCs w:val="22"/>
        </w:rPr>
        <w:t xml:space="preserve"> </w:t>
      </w:r>
      <w:r w:rsidRPr="00C77BDF">
        <w:rPr>
          <w:rFonts w:ascii="Book Antiqua" w:hAnsi="Book Antiqua"/>
          <w:bCs/>
          <w:sz w:val="22"/>
          <w:szCs w:val="22"/>
        </w:rPr>
        <w:t>alebo či si na ňu podľa doterajších predpisov uplatnil nárok.</w:t>
      </w:r>
    </w:p>
    <w:p w:rsidR="00CD1E24" w:rsidRPr="00C77BDF" w:rsidP="00CD1E24">
      <w:pPr>
        <w:bidi w:val="0"/>
        <w:spacing w:line="276" w:lineRule="auto"/>
        <w:ind w:left="720"/>
        <w:jc w:val="both"/>
        <w:rPr>
          <w:rFonts w:ascii="Book Antiqua" w:hAnsi="Book Antiqua"/>
          <w:bCs/>
          <w:sz w:val="22"/>
          <w:szCs w:val="22"/>
        </w:rPr>
      </w:pPr>
    </w:p>
    <w:p w:rsidR="00CD1E24" w:rsidRPr="00C77BDF" w:rsidP="00CD1E24">
      <w:pPr>
        <w:bidi w:val="0"/>
        <w:spacing w:line="276" w:lineRule="auto"/>
        <w:ind w:left="720"/>
        <w:jc w:val="both"/>
        <w:rPr>
          <w:rFonts w:ascii="Book Antiqua" w:hAnsi="Book Antiqua"/>
          <w:sz w:val="22"/>
          <w:szCs w:val="22"/>
        </w:rPr>
      </w:pPr>
      <w:r w:rsidRPr="00C77BDF">
        <w:rPr>
          <w:rFonts w:ascii="Book Antiqua" w:hAnsi="Book Antiqua"/>
          <w:bCs/>
          <w:sz w:val="22"/>
          <w:szCs w:val="22"/>
        </w:rPr>
        <w:t xml:space="preserve">(6) Držiteľ povolenia, ktorý ku dňu nadobudnutia účinnosti tohto zákona uplatňuje </w:t>
      </w:r>
      <w:r w:rsidRPr="00C77BDF">
        <w:rPr>
          <w:rFonts w:ascii="Book Antiqua" w:hAnsi="Book Antiqua"/>
          <w:sz w:val="22"/>
          <w:szCs w:val="22"/>
        </w:rPr>
        <w:t>zákonné vecné bremeno zriadené pred nadobudnutím účinnosti tohto zákona, ku ktorému nebol do nadobudnutia účinnosti tohto zákona podaný návrh na vykonanie záznamu do katastra nehnuteľností, je povinný podať tento návrh do 30 dní odo dňa nadobudnutia účinnosti tohto zákona.</w:t>
      </w:r>
      <w:r w:rsidRPr="00C77BDF">
        <w:rPr>
          <w:rFonts w:ascii="Book Antiqua" w:hAnsi="Book Antiqua"/>
          <w:bCs/>
          <w:sz w:val="22"/>
          <w:szCs w:val="22"/>
        </w:rPr>
        <w:t>“.</w:t>
      </w:r>
    </w:p>
    <w:p w:rsidR="00CD1E24" w:rsidRPr="00C77BDF" w:rsidP="00CD1E24">
      <w:pPr>
        <w:bidi w:val="0"/>
        <w:spacing w:line="276" w:lineRule="auto"/>
        <w:jc w:val="both"/>
        <w:rPr>
          <w:rFonts w:ascii="Book Antiqua" w:hAnsi="Book Antiqua"/>
          <w:bCs/>
          <w:i/>
          <w:sz w:val="22"/>
          <w:szCs w:val="22"/>
        </w:rPr>
      </w:pPr>
    </w:p>
    <w:p w:rsidR="00CD1E24" w:rsidRPr="00C77BDF" w:rsidP="00CD1E24">
      <w:pPr>
        <w:bidi w:val="0"/>
        <w:spacing w:line="276" w:lineRule="auto"/>
        <w:jc w:val="center"/>
        <w:rPr>
          <w:rFonts w:ascii="Book Antiqua" w:hAnsi="Book Antiqua"/>
          <w:b/>
          <w:bCs/>
          <w:sz w:val="22"/>
          <w:szCs w:val="22"/>
        </w:rPr>
      </w:pPr>
    </w:p>
    <w:p w:rsidR="00CD1E24" w:rsidRPr="00C77BDF" w:rsidP="00CD1E24">
      <w:pPr>
        <w:bidi w:val="0"/>
        <w:spacing w:line="276" w:lineRule="auto"/>
        <w:jc w:val="center"/>
        <w:rPr>
          <w:rFonts w:ascii="Book Antiqua" w:hAnsi="Book Antiqua"/>
          <w:b/>
          <w:bCs/>
          <w:sz w:val="22"/>
          <w:szCs w:val="22"/>
        </w:rPr>
      </w:pPr>
      <w:r w:rsidRPr="00C77BDF">
        <w:rPr>
          <w:rFonts w:ascii="Book Antiqua" w:hAnsi="Book Antiqua"/>
          <w:b/>
          <w:bCs/>
          <w:sz w:val="22"/>
          <w:szCs w:val="22"/>
        </w:rPr>
        <w:t>Čl. II</w:t>
      </w:r>
    </w:p>
    <w:p w:rsidR="00CD1E24" w:rsidRPr="00C77BDF" w:rsidP="00CD1E24">
      <w:pPr>
        <w:bidi w:val="0"/>
        <w:spacing w:line="276" w:lineRule="auto"/>
        <w:jc w:val="both"/>
        <w:rPr>
          <w:rFonts w:ascii="Book Antiqua" w:hAnsi="Book Antiqua"/>
          <w:bCs/>
          <w:sz w:val="22"/>
          <w:szCs w:val="22"/>
        </w:rPr>
      </w:pPr>
    </w:p>
    <w:p w:rsidR="00CD1E24" w:rsidRPr="00C77BDF" w:rsidP="00CD1E24">
      <w:pPr>
        <w:bidi w:val="0"/>
        <w:spacing w:line="276" w:lineRule="auto"/>
        <w:jc w:val="both"/>
        <w:rPr>
          <w:rFonts w:ascii="Book Antiqua" w:hAnsi="Book Antiqua"/>
          <w:bCs/>
          <w:sz w:val="22"/>
          <w:szCs w:val="22"/>
        </w:rPr>
      </w:pPr>
      <w:r w:rsidRPr="00C77BDF">
        <w:rPr>
          <w:rFonts w:ascii="Book Antiqua" w:hAnsi="Book Antiqua"/>
          <w:bCs/>
          <w:sz w:val="22"/>
          <w:szCs w:val="22"/>
        </w:rPr>
        <w:t>Zákon č. 582/2004 Z. z. o miestnych daniach a miestnom poplatku za komunálne odpady a drobné stavebné odpady v znení zákona č. 582/2004 Z. z., zákona č. 733/2004 Z. z., zákona    č. 747/2004 Z. z., zákona č. 171/2005 Z. z., zákona č. 517/2005 Z. z., zákona č. 120/2006 Z. z., zákona č. 538/2007 Z. z., zákona č. 460/2007 Z. z., zákona č. 465/2008 Z. z., zákona                č. 535/2008 Z. z., zákona č. 467/2009 Z. z., zákona č. 527/2010 Z. z., zákona č. 406/2011 Z. z., zákona č. 460/2011 Z. z., zákona č. 548/2011 Z. z., zákona č. 68/2012 Z. z., zákona                  č. 286/2012 Z. z. a zákona č. 343/2012 Z. z. sa dopĺňa takto:</w:t>
      </w:r>
    </w:p>
    <w:p w:rsidR="00CD1E24" w:rsidRPr="00C77BDF" w:rsidP="00CD1E24">
      <w:pPr>
        <w:bidi w:val="0"/>
        <w:spacing w:line="276" w:lineRule="auto"/>
        <w:ind w:left="709"/>
        <w:jc w:val="both"/>
        <w:rPr>
          <w:rFonts w:ascii="Book Antiqua" w:hAnsi="Book Antiqua"/>
          <w:bCs/>
          <w:sz w:val="22"/>
          <w:szCs w:val="22"/>
        </w:rPr>
      </w:pPr>
    </w:p>
    <w:p w:rsidR="00CD1E24" w:rsidRPr="00C77BDF" w:rsidP="00CD1E24">
      <w:pPr>
        <w:bidi w:val="0"/>
        <w:spacing w:line="276" w:lineRule="auto"/>
        <w:ind w:left="709"/>
        <w:jc w:val="both"/>
        <w:rPr>
          <w:rFonts w:ascii="Book Antiqua" w:hAnsi="Book Antiqua"/>
          <w:bCs/>
          <w:sz w:val="22"/>
          <w:szCs w:val="22"/>
        </w:rPr>
      </w:pPr>
      <w:r w:rsidRPr="00C77BDF">
        <w:rPr>
          <w:rFonts w:ascii="Book Antiqua" w:hAnsi="Book Antiqua"/>
          <w:bCs/>
          <w:sz w:val="22"/>
          <w:szCs w:val="22"/>
        </w:rPr>
        <w:t>V § 6 sa odsek 2 dopĺňa písmenom d), ktoré znie:</w:t>
      </w:r>
    </w:p>
    <w:p w:rsidR="00CD1E24" w:rsidRPr="00C77BDF" w:rsidP="00CD1E24">
      <w:pPr>
        <w:bidi w:val="0"/>
        <w:spacing w:line="276" w:lineRule="auto"/>
        <w:ind w:left="709"/>
        <w:jc w:val="both"/>
        <w:rPr>
          <w:rFonts w:ascii="Book Antiqua" w:hAnsi="Book Antiqua"/>
          <w:bCs/>
          <w:sz w:val="22"/>
          <w:szCs w:val="22"/>
        </w:rPr>
      </w:pPr>
      <w:r w:rsidRPr="00C77BDF">
        <w:rPr>
          <w:rFonts w:ascii="Book Antiqua" w:hAnsi="Book Antiqua"/>
          <w:bCs/>
          <w:sz w:val="22"/>
          <w:szCs w:val="22"/>
        </w:rPr>
        <w:t>„d) pozemky alebo ich časti, na ktorých je zriadené vecné bremeno podľa osobitného zákona.</w:t>
      </w:r>
      <w:r w:rsidRPr="00C77BDF">
        <w:rPr>
          <w:rFonts w:ascii="Book Antiqua" w:hAnsi="Book Antiqua"/>
          <w:bCs/>
          <w:sz w:val="22"/>
          <w:szCs w:val="22"/>
          <w:vertAlign w:val="superscript"/>
        </w:rPr>
        <w:t>8a)</w:t>
      </w:r>
      <w:r w:rsidRPr="00C77BDF">
        <w:rPr>
          <w:rFonts w:ascii="Book Antiqua" w:hAnsi="Book Antiqua"/>
          <w:bCs/>
          <w:sz w:val="22"/>
          <w:szCs w:val="22"/>
        </w:rPr>
        <w:t>“.</w:t>
      </w:r>
    </w:p>
    <w:p w:rsidR="00CD1E24" w:rsidRPr="00C77BDF" w:rsidP="00CD1E24">
      <w:pPr>
        <w:bidi w:val="0"/>
        <w:spacing w:line="276" w:lineRule="auto"/>
        <w:ind w:left="709"/>
        <w:jc w:val="both"/>
        <w:rPr>
          <w:rFonts w:ascii="Book Antiqua" w:hAnsi="Book Antiqua"/>
          <w:bCs/>
          <w:sz w:val="22"/>
          <w:szCs w:val="22"/>
        </w:rPr>
      </w:pPr>
    </w:p>
    <w:p w:rsidR="00CD1E24" w:rsidRPr="00C77BDF" w:rsidP="00CD1E24">
      <w:pPr>
        <w:bidi w:val="0"/>
        <w:spacing w:line="276" w:lineRule="auto"/>
        <w:ind w:left="709"/>
        <w:jc w:val="both"/>
        <w:rPr>
          <w:rFonts w:ascii="Book Antiqua" w:hAnsi="Book Antiqua"/>
          <w:bCs/>
          <w:sz w:val="22"/>
          <w:szCs w:val="22"/>
        </w:rPr>
      </w:pPr>
      <w:r w:rsidRPr="00C77BDF">
        <w:rPr>
          <w:rFonts w:ascii="Book Antiqua" w:hAnsi="Book Antiqua"/>
          <w:bCs/>
          <w:sz w:val="22"/>
          <w:szCs w:val="22"/>
        </w:rPr>
        <w:t>Poznámka pod čiarou k odkazu 8a znie:</w:t>
      </w:r>
    </w:p>
    <w:p w:rsidR="00CD1E24" w:rsidRPr="00C77BDF" w:rsidP="00CD1E24">
      <w:pPr>
        <w:bidi w:val="0"/>
        <w:spacing w:line="276" w:lineRule="auto"/>
        <w:ind w:left="709"/>
        <w:jc w:val="both"/>
        <w:rPr>
          <w:rFonts w:ascii="Book Antiqua" w:hAnsi="Book Antiqua"/>
          <w:bCs/>
          <w:sz w:val="22"/>
          <w:szCs w:val="22"/>
        </w:rPr>
      </w:pPr>
      <w:r w:rsidRPr="00C77BDF">
        <w:rPr>
          <w:rFonts w:ascii="Book Antiqua" w:hAnsi="Book Antiqua"/>
          <w:bCs/>
          <w:sz w:val="22"/>
          <w:szCs w:val="22"/>
        </w:rPr>
        <w:t>„</w:t>
      </w:r>
      <w:r w:rsidRPr="00C77BDF">
        <w:rPr>
          <w:rFonts w:ascii="Book Antiqua" w:hAnsi="Book Antiqua"/>
          <w:bCs/>
          <w:sz w:val="22"/>
          <w:szCs w:val="22"/>
          <w:vertAlign w:val="superscript"/>
        </w:rPr>
        <w:t>8a)</w:t>
      </w:r>
      <w:r w:rsidRPr="00C77BDF">
        <w:rPr>
          <w:rFonts w:ascii="Book Antiqua" w:hAnsi="Book Antiqua"/>
          <w:bCs/>
          <w:sz w:val="22"/>
          <w:szCs w:val="22"/>
        </w:rPr>
        <w:t xml:space="preserve"> § 11 zákona č. 251/2012 Z. z. o energetike a o zmene a doplnení niektorých zákonov v znení zákona č. .../2013 Z. z.“.</w:t>
      </w:r>
    </w:p>
    <w:p w:rsidR="00CD1E24" w:rsidRPr="00C77BDF" w:rsidP="00CD1E24">
      <w:pPr>
        <w:bidi w:val="0"/>
        <w:spacing w:line="276" w:lineRule="auto"/>
        <w:jc w:val="both"/>
        <w:rPr>
          <w:rFonts w:ascii="Book Antiqua" w:hAnsi="Book Antiqua"/>
          <w:sz w:val="22"/>
          <w:szCs w:val="22"/>
        </w:rPr>
      </w:pPr>
    </w:p>
    <w:p w:rsidR="00CD1E24" w:rsidRPr="00C77BDF" w:rsidP="00CD1E24">
      <w:pPr>
        <w:bidi w:val="0"/>
        <w:spacing w:line="276" w:lineRule="auto"/>
        <w:jc w:val="center"/>
        <w:rPr>
          <w:rFonts w:ascii="Book Antiqua" w:hAnsi="Book Antiqua"/>
          <w:b/>
          <w:sz w:val="22"/>
          <w:szCs w:val="22"/>
        </w:rPr>
      </w:pPr>
    </w:p>
    <w:p w:rsidR="00CD1E24" w:rsidRPr="00C77BDF" w:rsidP="00CD1E24">
      <w:pPr>
        <w:bidi w:val="0"/>
        <w:spacing w:line="276" w:lineRule="auto"/>
        <w:jc w:val="center"/>
        <w:rPr>
          <w:rFonts w:ascii="Book Antiqua" w:hAnsi="Book Antiqua"/>
          <w:b/>
          <w:sz w:val="22"/>
          <w:szCs w:val="22"/>
        </w:rPr>
      </w:pPr>
      <w:r w:rsidRPr="00C77BDF">
        <w:rPr>
          <w:rFonts w:ascii="Book Antiqua" w:hAnsi="Book Antiqua"/>
          <w:b/>
          <w:sz w:val="22"/>
          <w:szCs w:val="22"/>
        </w:rPr>
        <w:t>Čl. III</w:t>
      </w:r>
    </w:p>
    <w:p w:rsidR="00CD1E24" w:rsidRPr="00C77BDF" w:rsidP="00CD1E24">
      <w:pPr>
        <w:bidi w:val="0"/>
        <w:spacing w:line="276" w:lineRule="auto"/>
        <w:jc w:val="center"/>
        <w:rPr>
          <w:rFonts w:ascii="Book Antiqua" w:hAnsi="Book Antiqua"/>
          <w:b/>
          <w:sz w:val="22"/>
          <w:szCs w:val="22"/>
        </w:rPr>
      </w:pPr>
    </w:p>
    <w:p w:rsidR="00CD1E24" w:rsidRPr="00CD1E24" w:rsidP="00CD1E24">
      <w:pPr>
        <w:bidi w:val="0"/>
        <w:spacing w:line="276" w:lineRule="auto"/>
        <w:jc w:val="both"/>
        <w:rPr>
          <w:rFonts w:ascii="Book Antiqua" w:hAnsi="Book Antiqua"/>
          <w:sz w:val="22"/>
          <w:szCs w:val="22"/>
        </w:rPr>
      </w:pPr>
      <w:r w:rsidRPr="00C77BDF">
        <w:rPr>
          <w:rFonts w:ascii="Book Antiqua" w:hAnsi="Book Antiqua"/>
          <w:sz w:val="22"/>
          <w:szCs w:val="22"/>
        </w:rPr>
        <w:t>Tento zákon nadobúda účinnosť 1. januára 2014.</w:t>
      </w:r>
    </w:p>
    <w:p w:rsidR="00CD1E24" w:rsidRPr="00CD1E24" w:rsidP="00CD1E24">
      <w:pPr>
        <w:bidi w:val="0"/>
        <w:spacing w:line="276" w:lineRule="auto"/>
        <w:jc w:val="both"/>
        <w:rPr>
          <w:rFonts w:ascii="Book Antiqua" w:hAnsi="Book Antiqua"/>
          <w:sz w:val="22"/>
          <w:szCs w:val="22"/>
        </w:rPr>
      </w:pPr>
    </w:p>
    <w:p w:rsidR="00A7167D" w:rsidRPr="00CD1E24">
      <w:pPr>
        <w:bidi w:val="0"/>
        <w:rPr>
          <w:rFonts w:ascii="Book Antiqua" w:hAnsi="Book Antiqua"/>
          <w:sz w:val="22"/>
          <w:szCs w:val="22"/>
        </w:rPr>
      </w:pPr>
    </w:p>
    <w:sectPr w:rsidSect="007A76C9">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Book Antiqua">
    <w:altName w:val="Palatino"/>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3D" w:rsidP="00395EFC">
    <w:pPr>
      <w:pStyle w:val="Footer"/>
      <w:framePr w:wrap="around" w:vAnchor="text" w:hAnchor="margin" w:xAlign="right"/>
      <w:bidi w:val="0"/>
      <w:rPr>
        <w:rStyle w:val="PageNumber"/>
        <w:rFonts w:ascii="Times New Roman" w:hAnsi="Times New Roman"/>
      </w:rPr>
    </w:pPr>
    <w:r w:rsidR="00CD1E24">
      <w:rPr>
        <w:rStyle w:val="PageNumber"/>
        <w:rFonts w:ascii="Times New Roman" w:hAnsi="Times New Roman"/>
      </w:rPr>
      <w:fldChar w:fldCharType="begin"/>
    </w:r>
    <w:r w:rsidR="00CD1E24">
      <w:rPr>
        <w:rStyle w:val="PageNumber"/>
        <w:rFonts w:ascii="Times New Roman" w:hAnsi="Times New Roman"/>
      </w:rPr>
      <w:instrText xml:space="preserve">PAGE  </w:instrText>
    </w:r>
    <w:r w:rsidR="00CD1E24">
      <w:rPr>
        <w:rStyle w:val="PageNumber"/>
        <w:rFonts w:ascii="Times New Roman" w:hAnsi="Times New Roman"/>
      </w:rPr>
      <w:fldChar w:fldCharType="separate"/>
    </w:r>
    <w:r w:rsidR="00CD1E24">
      <w:rPr>
        <w:rStyle w:val="PageNumber"/>
        <w:rFonts w:ascii="Times New Roman" w:hAnsi="Times New Roman"/>
      </w:rPr>
      <w:fldChar w:fldCharType="end"/>
    </w:r>
  </w:p>
  <w:p w:rsidR="00BA7D3D" w:rsidP="00BA7D3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3D" w:rsidP="00395EFC">
    <w:pPr>
      <w:pStyle w:val="Footer"/>
      <w:framePr w:wrap="around" w:vAnchor="text" w:hAnchor="margin" w:xAlign="right"/>
      <w:bidi w:val="0"/>
      <w:rPr>
        <w:rStyle w:val="PageNumber"/>
        <w:rFonts w:ascii="Times New Roman" w:hAnsi="Times New Roman"/>
      </w:rPr>
    </w:pPr>
    <w:r w:rsidR="00CD1E24">
      <w:rPr>
        <w:rStyle w:val="PageNumber"/>
        <w:rFonts w:ascii="Times New Roman" w:hAnsi="Times New Roman"/>
      </w:rPr>
      <w:fldChar w:fldCharType="begin"/>
    </w:r>
    <w:r w:rsidR="00CD1E24">
      <w:rPr>
        <w:rStyle w:val="PageNumber"/>
        <w:rFonts w:ascii="Times New Roman" w:hAnsi="Times New Roman"/>
      </w:rPr>
      <w:instrText xml:space="preserve">PAGE  </w:instrText>
    </w:r>
    <w:r w:rsidR="00CD1E24">
      <w:rPr>
        <w:rStyle w:val="PageNumber"/>
        <w:rFonts w:ascii="Times New Roman" w:hAnsi="Times New Roman"/>
      </w:rPr>
      <w:fldChar w:fldCharType="separate"/>
    </w:r>
    <w:r w:rsidR="00F76494">
      <w:rPr>
        <w:rStyle w:val="PageNumber"/>
        <w:rFonts w:ascii="Times New Roman" w:hAnsi="Times New Roman"/>
        <w:noProof/>
      </w:rPr>
      <w:t>1</w:t>
    </w:r>
    <w:r w:rsidR="00CD1E24">
      <w:rPr>
        <w:rStyle w:val="PageNumber"/>
        <w:rFonts w:ascii="Times New Roman" w:hAnsi="Times New Roman"/>
      </w:rPr>
      <w:fldChar w:fldCharType="end"/>
    </w:r>
  </w:p>
  <w:p w:rsidR="00C57E9D" w:rsidRPr="00C57E9D" w:rsidP="00BA7D3D">
    <w:pPr>
      <w:pStyle w:val="Footer"/>
      <w:bidi w:val="0"/>
      <w:ind w:right="360"/>
      <w:jc w:val="center"/>
      <w:rPr>
        <w:rFonts w:ascii="Times New Roman" w:hAnsi="Times New Roman"/>
        <w:sz w:val="20"/>
        <w:szCs w:val="20"/>
      </w:rPr>
    </w:pPr>
  </w:p>
  <w:p w:rsidR="00C57E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785"/>
    <w:multiLevelType w:val="hybridMultilevel"/>
    <w:tmpl w:val="BEDA403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4E1F30A5"/>
    <w:multiLevelType w:val="hybridMultilevel"/>
    <w:tmpl w:val="F5A8D0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D1E24"/>
    <w:rsid w:val="00010C5A"/>
    <w:rsid w:val="00014766"/>
    <w:rsid w:val="00052C9C"/>
    <w:rsid w:val="000B0DE4"/>
    <w:rsid w:val="00160071"/>
    <w:rsid w:val="00187883"/>
    <w:rsid w:val="00211DFD"/>
    <w:rsid w:val="002D6F9A"/>
    <w:rsid w:val="00395EFC"/>
    <w:rsid w:val="003F7844"/>
    <w:rsid w:val="00477020"/>
    <w:rsid w:val="00570D06"/>
    <w:rsid w:val="005F1894"/>
    <w:rsid w:val="005F229E"/>
    <w:rsid w:val="00643846"/>
    <w:rsid w:val="006B6656"/>
    <w:rsid w:val="006F1455"/>
    <w:rsid w:val="00704898"/>
    <w:rsid w:val="00783B70"/>
    <w:rsid w:val="009C4762"/>
    <w:rsid w:val="00A24006"/>
    <w:rsid w:val="00A71145"/>
    <w:rsid w:val="00A7167D"/>
    <w:rsid w:val="00AF319F"/>
    <w:rsid w:val="00BA7D3D"/>
    <w:rsid w:val="00BE6EE4"/>
    <w:rsid w:val="00C57E9D"/>
    <w:rsid w:val="00C77BDF"/>
    <w:rsid w:val="00CD1E24"/>
    <w:rsid w:val="00D20B94"/>
    <w:rsid w:val="00DD315E"/>
    <w:rsid w:val="00E6783F"/>
    <w:rsid w:val="00EC7E14"/>
    <w:rsid w:val="00EF217C"/>
    <w:rsid w:val="00F753A4"/>
    <w:rsid w:val="00F76494"/>
    <w:rsid w:val="00FB019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CD1E24"/>
    <w:pPr>
      <w:tabs>
        <w:tab w:val="center" w:pos="4536"/>
        <w:tab w:val="right" w:pos="9072"/>
      </w:tabs>
      <w:jc w:val="left"/>
    </w:pPr>
  </w:style>
  <w:style w:type="character" w:customStyle="1" w:styleId="FooterChar">
    <w:name w:val="Footer Char"/>
    <w:basedOn w:val="DefaultParagraphFont"/>
    <w:link w:val="Footer"/>
    <w:uiPriority w:val="99"/>
    <w:locked/>
    <w:rsid w:val="00CD1E24"/>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CD1E2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7671-CDB0-43CB-BDD9-12F96C25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2615</Words>
  <Characters>14908</Characters>
  <Application>Microsoft Office Word</Application>
  <DocSecurity>0</DocSecurity>
  <Lines>0</Lines>
  <Paragraphs>0</Paragraphs>
  <ScaleCrop>false</ScaleCrop>
  <Company>Kancelaria NR SR</Company>
  <LinksUpToDate>false</LinksUpToDate>
  <CharactersWithSpaces>17489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Peter_Pollak</dc:creator>
  <cp:lastModifiedBy>Gašparíková, Jarmila</cp:lastModifiedBy>
  <cp:revision>2</cp:revision>
  <cp:lastPrinted>2013-07-26T10:10:00Z</cp:lastPrinted>
  <dcterms:created xsi:type="dcterms:W3CDTF">2013-08-08T19:18:00Z</dcterms:created>
  <dcterms:modified xsi:type="dcterms:W3CDTF">2013-08-08T19:18:00Z</dcterms:modified>
</cp:coreProperties>
</file>