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984"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
      <w:tblGrid>
        <w:gridCol w:w="709"/>
        <w:gridCol w:w="5680"/>
        <w:gridCol w:w="557"/>
        <w:gridCol w:w="759"/>
        <w:gridCol w:w="573"/>
        <w:gridCol w:w="3299"/>
        <w:gridCol w:w="573"/>
        <w:gridCol w:w="755"/>
        <w:gridCol w:w="1336"/>
        <w:gridCol w:w="743"/>
      </w:tblGrid>
      <w:tr>
        <w:tblPrEx>
          <w:tblW w:w="14984"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Ex>
        <w:trPr>
          <w:cantSplit/>
        </w:trPr>
        <w:tc>
          <w:tcPr>
            <w:tcW w:w="14984" w:type="dxa"/>
            <w:gridSpan w:val="10"/>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pStyle w:val="Heading1"/>
              <w:bidi w:val="0"/>
              <w:spacing w:before="0" w:after="0" w:line="240" w:lineRule="auto"/>
              <w:jc w:val="center"/>
              <w:rPr>
                <w:rFonts w:ascii="Times New Roman" w:hAnsi="Times New Roman"/>
                <w:sz w:val="20"/>
              </w:rPr>
            </w:pPr>
            <w:r w:rsidRPr="00CB481C">
              <w:rPr>
                <w:rFonts w:ascii="Times New Roman" w:hAnsi="Times New Roman"/>
                <w:sz w:val="20"/>
              </w:rPr>
              <w:t>TABUĽKA  ZHODY</w:t>
            </w:r>
          </w:p>
          <w:p w:rsidR="00944BB5" w:rsidRPr="00CB481C" w:rsidP="00496EE8">
            <w:pPr>
              <w:pStyle w:val="Heading8"/>
              <w:bidi w:val="0"/>
              <w:spacing w:after="0" w:line="240" w:lineRule="auto"/>
              <w:rPr>
                <w:rFonts w:ascii="Times New Roman" w:hAnsi="Times New Roman"/>
                <w:sz w:val="20"/>
                <w:szCs w:val="20"/>
              </w:rPr>
            </w:pPr>
            <w:r w:rsidRPr="00CB481C">
              <w:rPr>
                <w:rFonts w:ascii="Times New Roman" w:hAnsi="Times New Roman"/>
                <w:b/>
                <w:sz w:val="20"/>
                <w:szCs w:val="20"/>
              </w:rPr>
              <w:t>smernice ES/EÚ s ustanoveniami všetkých všeobecne záväzných právnych predpisov, ktoré danú smernicu preberajú</w:t>
            </w:r>
          </w:p>
        </w:tc>
      </w:tr>
      <w:tr>
        <w:tblPrEx>
          <w:tblW w:w="14984" w:type="dxa"/>
          <w:tblInd w:w="-72" w:type="dxa"/>
          <w:tblLayout w:type="fixed"/>
          <w:tblCellMar>
            <w:left w:w="70" w:type="dxa"/>
            <w:right w:w="70" w:type="dxa"/>
          </w:tblCellMar>
        </w:tblPrEx>
        <w:tc>
          <w:tcPr>
            <w:tcW w:w="6946" w:type="dxa"/>
            <w:gridSpan w:val="3"/>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pStyle w:val="Heading4"/>
              <w:bidi w:val="0"/>
              <w:spacing w:after="0" w:line="240" w:lineRule="auto"/>
              <w:jc w:val="center"/>
              <w:rPr>
                <w:rFonts w:ascii="Times New Roman" w:hAnsi="Times New Roman"/>
              </w:rPr>
            </w:pPr>
            <w:r w:rsidRPr="00CB481C">
              <w:rPr>
                <w:rFonts w:ascii="Times New Roman" w:hAnsi="Times New Roman"/>
              </w:rPr>
              <w:t>Smernica ES/EÚ</w:t>
            </w:r>
          </w:p>
          <w:p w:rsidR="00944BB5" w:rsidRPr="00CB481C" w:rsidP="00496EE8">
            <w:pPr>
              <w:bidi w:val="0"/>
              <w:spacing w:after="0" w:line="240" w:lineRule="auto"/>
              <w:jc w:val="both"/>
              <w:rPr>
                <w:rFonts w:ascii="Times New Roman" w:hAnsi="Times New Roman"/>
                <w:b/>
                <w:sz w:val="20"/>
                <w:lang w:eastAsia="cs-CZ"/>
              </w:rPr>
            </w:pPr>
            <w:r w:rsidRPr="00CB481C">
              <w:rPr>
                <w:rFonts w:ascii="Times New Roman" w:hAnsi="Times New Roman"/>
                <w:b/>
                <w:sz w:val="20"/>
                <w:lang w:eastAsia="cs-CZ"/>
              </w:rPr>
              <w:t xml:space="preserve">Smernica Európskeho parlamentu a Rady 2009/28/ES z 23. apríla 2009 o podpore využívania  energie z obnoviteľných zdrojov energie a o zmene  a doplnení  a následnom zrušení  smerníc 2001/77/ES a 2003/30/ES </w:t>
            </w:r>
          </w:p>
          <w:p w:rsidR="00944BB5" w:rsidRPr="00CB481C" w:rsidP="00496EE8">
            <w:pPr>
              <w:pStyle w:val="BodyText3"/>
              <w:bidi w:val="0"/>
              <w:spacing w:after="0" w:line="240" w:lineRule="auto"/>
              <w:jc w:val="left"/>
              <w:rPr>
                <w:rFonts w:ascii="Times New Roman" w:hAnsi="Times New Roman"/>
                <w:sz w:val="20"/>
              </w:rPr>
            </w:pPr>
          </w:p>
        </w:tc>
        <w:tc>
          <w:tcPr>
            <w:tcW w:w="8038" w:type="dxa"/>
            <w:gridSpan w:val="7"/>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pStyle w:val="Heading4"/>
              <w:bidi w:val="0"/>
              <w:spacing w:after="0" w:line="240" w:lineRule="auto"/>
              <w:jc w:val="center"/>
              <w:rPr>
                <w:rFonts w:ascii="Times New Roman" w:hAnsi="Times New Roman"/>
              </w:rPr>
            </w:pPr>
            <w:r w:rsidRPr="00CB481C">
              <w:rPr>
                <w:rFonts w:ascii="Times New Roman" w:hAnsi="Times New Roman"/>
              </w:rPr>
              <w:t>Všeobecne záväzné právne predpisy Slovenskej republiky</w:t>
            </w:r>
          </w:p>
          <w:p w:rsidR="00944BB5" w:rsidRPr="00036CE3" w:rsidP="00496EE8">
            <w:pPr>
              <w:pStyle w:val="Header"/>
              <w:tabs>
                <w:tab w:val="left" w:pos="709"/>
              </w:tabs>
              <w:bidi w:val="0"/>
              <w:spacing w:after="0" w:line="240" w:lineRule="auto"/>
              <w:jc w:val="both"/>
              <w:rPr>
                <w:rFonts w:ascii="Times New Roman" w:hAnsi="Times New Roman"/>
                <w:b/>
                <w:sz w:val="20"/>
              </w:rPr>
            </w:pPr>
            <w:r w:rsidRPr="00036CE3">
              <w:rPr>
                <w:rFonts w:ascii="Times New Roman" w:hAnsi="Times New Roman"/>
                <w:b/>
                <w:sz w:val="20"/>
              </w:rPr>
              <w:t>Návrh zákona, ktorým sa mení a dopĺňa zákon č. 309/2009 Z. z. o podpore obnoviteľných zdrojov energie a vysoko účinnej kombinovanej výroby a  o zmene a doplnení niektorých zákonov v znení neskorších predpisov a ktorým sa mení zákon č. 251/2012 Z. z. o energetike a o zmene a doplnení niektorých zákonov v znení zákona č. 391/2012 Z. z.</w:t>
            </w:r>
          </w:p>
        </w:tc>
      </w:tr>
      <w:tr>
        <w:tblPrEx>
          <w:tblW w:w="14984" w:type="dxa"/>
          <w:tblInd w:w="-72" w:type="dxa"/>
          <w:tblLayout w:type="fixed"/>
          <w:tblCellMar>
            <w:left w:w="70" w:type="dxa"/>
            <w:right w:w="70" w:type="dxa"/>
          </w:tblCellMar>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bidi w:val="0"/>
              <w:spacing w:after="0" w:line="240" w:lineRule="auto"/>
              <w:jc w:val="center"/>
              <w:rPr>
                <w:rFonts w:ascii="Times New Roman" w:hAnsi="Times New Roman"/>
                <w:sz w:val="20"/>
                <w:lang w:eastAsia="cs-CZ"/>
              </w:rPr>
            </w:pPr>
            <w:r w:rsidRPr="00CB481C">
              <w:rPr>
                <w:rFonts w:ascii="Times New Roman" w:hAnsi="Times New Roman"/>
                <w:sz w:val="20"/>
              </w:rPr>
              <w:t>1</w:t>
            </w:r>
          </w:p>
        </w:tc>
        <w:tc>
          <w:tcPr>
            <w:tcW w:w="5680"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bidi w:val="0"/>
              <w:spacing w:after="0" w:line="240" w:lineRule="auto"/>
              <w:jc w:val="center"/>
              <w:rPr>
                <w:rFonts w:ascii="Times New Roman" w:hAnsi="Times New Roman"/>
                <w:sz w:val="20"/>
                <w:lang w:eastAsia="cs-CZ"/>
              </w:rPr>
            </w:pPr>
            <w:r w:rsidRPr="00CB481C">
              <w:rPr>
                <w:rFonts w:ascii="Times New Roman" w:hAnsi="Times New Roman"/>
                <w:sz w:val="20"/>
              </w:rPr>
              <w:t>2</w:t>
            </w:r>
          </w:p>
        </w:tc>
        <w:tc>
          <w:tcPr>
            <w:tcW w:w="557"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bidi w:val="0"/>
              <w:spacing w:after="0" w:line="240" w:lineRule="auto"/>
              <w:jc w:val="center"/>
              <w:rPr>
                <w:rFonts w:ascii="Times New Roman" w:hAnsi="Times New Roman"/>
                <w:sz w:val="20"/>
                <w:lang w:eastAsia="cs-CZ"/>
              </w:rPr>
            </w:pPr>
            <w:r w:rsidRPr="00CB481C">
              <w:rPr>
                <w:rFonts w:ascii="Times New Roman" w:hAnsi="Times New Roman"/>
                <w:sz w:val="20"/>
              </w:rPr>
              <w:t>3</w:t>
            </w:r>
          </w:p>
        </w:tc>
        <w:tc>
          <w:tcPr>
            <w:tcW w:w="759"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bidi w:val="0"/>
              <w:spacing w:after="0" w:line="240" w:lineRule="auto"/>
              <w:jc w:val="center"/>
              <w:rPr>
                <w:rFonts w:ascii="Times New Roman" w:hAnsi="Times New Roman"/>
                <w:sz w:val="20"/>
                <w:lang w:eastAsia="cs-CZ"/>
              </w:rPr>
            </w:pPr>
            <w:r w:rsidRPr="00CB481C">
              <w:rPr>
                <w:rFonts w:ascii="Times New Roman" w:hAnsi="Times New Roman"/>
                <w:sz w:val="20"/>
              </w:rPr>
              <w:t>4</w:t>
            </w: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bidi w:val="0"/>
              <w:spacing w:after="0" w:line="240" w:lineRule="auto"/>
              <w:jc w:val="center"/>
              <w:rPr>
                <w:rFonts w:ascii="Times New Roman" w:hAnsi="Times New Roman"/>
                <w:sz w:val="20"/>
                <w:lang w:eastAsia="cs-CZ"/>
              </w:rPr>
            </w:pPr>
            <w:r w:rsidRPr="00CB481C">
              <w:rPr>
                <w:rFonts w:ascii="Times New Roman" w:hAnsi="Times New Roman"/>
                <w:sz w:val="20"/>
              </w:rPr>
              <w:t>5</w:t>
            </w:r>
          </w:p>
        </w:tc>
        <w:tc>
          <w:tcPr>
            <w:tcW w:w="3299"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bidi w:val="0"/>
              <w:spacing w:after="0" w:line="240" w:lineRule="auto"/>
              <w:jc w:val="center"/>
              <w:rPr>
                <w:rFonts w:ascii="Times New Roman" w:hAnsi="Times New Roman"/>
                <w:sz w:val="20"/>
                <w:lang w:eastAsia="cs-CZ"/>
              </w:rPr>
            </w:pPr>
            <w:r w:rsidRPr="00CB481C">
              <w:rPr>
                <w:rFonts w:ascii="Times New Roman" w:hAnsi="Times New Roman"/>
                <w:sz w:val="20"/>
              </w:rPr>
              <w:t>6</w:t>
            </w: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bidi w:val="0"/>
              <w:spacing w:after="0" w:line="240" w:lineRule="auto"/>
              <w:jc w:val="center"/>
              <w:rPr>
                <w:rFonts w:ascii="Times New Roman" w:hAnsi="Times New Roman"/>
                <w:sz w:val="20"/>
                <w:lang w:eastAsia="cs-CZ"/>
              </w:rPr>
            </w:pPr>
            <w:r w:rsidRPr="00CB481C">
              <w:rPr>
                <w:rFonts w:ascii="Times New Roman" w:hAnsi="Times New Roman"/>
                <w:sz w:val="20"/>
              </w:rPr>
              <w:t>7</w:t>
            </w:r>
          </w:p>
        </w:tc>
        <w:tc>
          <w:tcPr>
            <w:tcW w:w="755"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bidi w:val="0"/>
              <w:spacing w:after="0" w:line="240" w:lineRule="auto"/>
              <w:jc w:val="center"/>
              <w:rPr>
                <w:rFonts w:ascii="Times New Roman" w:hAnsi="Times New Roman"/>
                <w:sz w:val="20"/>
                <w:lang w:eastAsia="cs-CZ"/>
              </w:rPr>
            </w:pPr>
            <w:r w:rsidRPr="00CB481C">
              <w:rPr>
                <w:rFonts w:ascii="Times New Roman" w:hAnsi="Times New Roman"/>
                <w:sz w:val="20"/>
              </w:rPr>
              <w:t>8</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bidi w:val="0"/>
              <w:spacing w:after="0" w:line="240" w:lineRule="auto"/>
              <w:jc w:val="center"/>
              <w:rPr>
                <w:rFonts w:ascii="Times New Roman" w:hAnsi="Times New Roman"/>
                <w:sz w:val="20"/>
                <w:lang w:eastAsia="cs-CZ"/>
              </w:rPr>
            </w:pPr>
            <w:r w:rsidRPr="00CB481C">
              <w:rPr>
                <w:rFonts w:ascii="Times New Roman" w:hAnsi="Times New Roman"/>
                <w:sz w:val="20"/>
              </w:rPr>
              <w:t>9</w:t>
            </w:r>
          </w:p>
        </w:tc>
        <w:tc>
          <w:tcPr>
            <w:tcW w:w="743"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bidi w:val="0"/>
              <w:spacing w:after="0" w:line="240" w:lineRule="auto"/>
              <w:jc w:val="center"/>
              <w:rPr>
                <w:rFonts w:ascii="Times New Roman" w:hAnsi="Times New Roman"/>
                <w:sz w:val="20"/>
                <w:lang w:eastAsia="cs-CZ"/>
              </w:rPr>
            </w:pPr>
            <w:r w:rsidRPr="00CB481C">
              <w:rPr>
                <w:rFonts w:ascii="Times New Roman" w:hAnsi="Times New Roman"/>
                <w:sz w:val="20"/>
              </w:rPr>
              <w:t>10</w:t>
            </w:r>
          </w:p>
        </w:tc>
      </w:tr>
      <w:tr>
        <w:tblPrEx>
          <w:tblW w:w="14984" w:type="dxa"/>
          <w:tblInd w:w="-72" w:type="dxa"/>
          <w:tblLayout w:type="fixed"/>
          <w:tblCellMar>
            <w:left w:w="70" w:type="dxa"/>
            <w:right w:w="70" w:type="dxa"/>
          </w:tblCellMar>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pStyle w:val="NormalWeb"/>
              <w:bidi w:val="0"/>
              <w:spacing w:before="0" w:beforeAutospacing="0" w:after="0" w:afterAutospacing="0" w:line="240" w:lineRule="auto"/>
              <w:rPr>
                <w:rFonts w:ascii="Times New Roman" w:hAnsi="Times New Roman"/>
                <w:sz w:val="20"/>
                <w:szCs w:val="20"/>
              </w:rPr>
            </w:pPr>
            <w:r w:rsidRPr="00CB481C">
              <w:rPr>
                <w:rFonts w:ascii="Times New Roman" w:hAnsi="Times New Roman"/>
                <w:sz w:val="20"/>
                <w:szCs w:val="20"/>
              </w:rPr>
              <w:t>Článok</w:t>
            </w:r>
          </w:p>
          <w:p w:rsidR="00944BB5" w:rsidRPr="00CB481C" w:rsidP="00496EE8">
            <w:pPr>
              <w:pStyle w:val="NormalWeb"/>
              <w:bidi w:val="0"/>
              <w:spacing w:before="0" w:beforeAutospacing="0" w:after="0" w:afterAutospacing="0" w:line="240" w:lineRule="auto"/>
              <w:rPr>
                <w:rFonts w:ascii="Times New Roman" w:hAnsi="Times New Roman"/>
                <w:sz w:val="20"/>
                <w:szCs w:val="20"/>
              </w:rPr>
            </w:pPr>
            <w:r w:rsidRPr="00CB481C">
              <w:rPr>
                <w:rFonts w:ascii="Times New Roman" w:hAnsi="Times New Roman"/>
                <w:sz w:val="20"/>
                <w:szCs w:val="20"/>
              </w:rPr>
              <w:t>(Č, O,</w:t>
            </w:r>
          </w:p>
          <w:p w:rsidR="00944BB5" w:rsidRPr="00CB481C" w:rsidP="00496EE8">
            <w:pPr>
              <w:pStyle w:val="NormalWeb"/>
              <w:bidi w:val="0"/>
              <w:spacing w:before="0" w:beforeAutospacing="0" w:after="0" w:afterAutospacing="0" w:line="240" w:lineRule="auto"/>
              <w:rPr>
                <w:rFonts w:ascii="Times New Roman" w:hAnsi="Times New Roman"/>
                <w:sz w:val="20"/>
                <w:szCs w:val="20"/>
              </w:rPr>
            </w:pPr>
            <w:r w:rsidRPr="00CB481C">
              <w:rPr>
                <w:rFonts w:ascii="Times New Roman" w:hAnsi="Times New Roman"/>
                <w:sz w:val="20"/>
                <w:szCs w:val="20"/>
              </w:rPr>
              <w:t>V, P)</w:t>
            </w:r>
          </w:p>
        </w:tc>
        <w:tc>
          <w:tcPr>
            <w:tcW w:w="5680"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pStyle w:val="NormalWeb"/>
              <w:bidi w:val="0"/>
              <w:spacing w:before="0" w:beforeAutospacing="0" w:after="0" w:afterAutospacing="0" w:line="240" w:lineRule="auto"/>
              <w:jc w:val="center"/>
              <w:rPr>
                <w:rFonts w:ascii="Times New Roman" w:hAnsi="Times New Roman"/>
                <w:sz w:val="20"/>
                <w:szCs w:val="20"/>
              </w:rPr>
            </w:pPr>
            <w:r w:rsidRPr="00CB481C">
              <w:rPr>
                <w:rFonts w:ascii="Times New Roman" w:hAnsi="Times New Roman"/>
                <w:sz w:val="20"/>
                <w:szCs w:val="20"/>
              </w:rPr>
              <w:t>Text</w:t>
            </w:r>
          </w:p>
        </w:tc>
        <w:tc>
          <w:tcPr>
            <w:tcW w:w="557"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pStyle w:val="Normlny"/>
              <w:bidi w:val="0"/>
              <w:spacing w:after="0" w:line="240" w:lineRule="auto"/>
              <w:rPr>
                <w:rFonts w:ascii="Times New Roman" w:hAnsi="Times New Roman"/>
              </w:rPr>
            </w:pPr>
            <w:r w:rsidRPr="00CB481C">
              <w:rPr>
                <w:rFonts w:ascii="Times New Roman" w:hAnsi="Times New Roman"/>
              </w:rPr>
              <w:t>Spôsob transp.</w:t>
            </w:r>
          </w:p>
          <w:p w:rsidR="00944BB5" w:rsidRPr="00CB481C" w:rsidP="00496EE8">
            <w:pPr>
              <w:pStyle w:val="Normlny"/>
              <w:bidi w:val="0"/>
              <w:spacing w:after="0" w:line="240" w:lineRule="auto"/>
              <w:rPr>
                <w:rFonts w:ascii="Times New Roman" w:hAnsi="Times New Roman"/>
              </w:rPr>
            </w:pPr>
            <w:r w:rsidRPr="00CB481C">
              <w:rPr>
                <w:rFonts w:ascii="Times New Roman" w:hAnsi="Times New Roman"/>
              </w:rPr>
              <w:t>(N, O, D, n.a.)</w:t>
            </w:r>
          </w:p>
        </w:tc>
        <w:tc>
          <w:tcPr>
            <w:tcW w:w="759"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pStyle w:val="Normlny"/>
              <w:bidi w:val="0"/>
              <w:spacing w:after="0" w:line="240" w:lineRule="auto"/>
              <w:rPr>
                <w:rFonts w:ascii="Times New Roman" w:hAnsi="Times New Roman"/>
              </w:rPr>
            </w:pPr>
            <w:r w:rsidRPr="00CB481C">
              <w:rPr>
                <w:rFonts w:ascii="Times New Roman" w:hAnsi="Times New Roman"/>
              </w:rPr>
              <w:t>Číslo predpisu</w:t>
            </w: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pStyle w:val="Normlny"/>
              <w:bidi w:val="0"/>
              <w:spacing w:after="0" w:line="240" w:lineRule="auto"/>
              <w:rPr>
                <w:rFonts w:ascii="Times New Roman" w:hAnsi="Times New Roman"/>
              </w:rPr>
            </w:pPr>
            <w:r w:rsidRPr="00CB481C">
              <w:rPr>
                <w:rFonts w:ascii="Times New Roman" w:hAnsi="Times New Roman"/>
              </w:rPr>
              <w:t>Článok (Č, §, O, V, P)</w:t>
            </w:r>
          </w:p>
        </w:tc>
        <w:tc>
          <w:tcPr>
            <w:tcW w:w="3299"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pStyle w:val="Normlny"/>
              <w:bidi w:val="0"/>
              <w:spacing w:after="0" w:line="240" w:lineRule="auto"/>
              <w:jc w:val="both"/>
              <w:rPr>
                <w:rFonts w:ascii="Times New Roman" w:hAnsi="Times New Roman"/>
              </w:rPr>
            </w:pPr>
            <w:r w:rsidRPr="00CB481C">
              <w:rPr>
                <w:rFonts w:ascii="Times New Roman" w:hAnsi="Times New Roman"/>
              </w:rPr>
              <w:t>Text</w:t>
            </w: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pStyle w:val="Normlny"/>
              <w:bidi w:val="0"/>
              <w:spacing w:after="0" w:line="240" w:lineRule="auto"/>
              <w:jc w:val="center"/>
              <w:rPr>
                <w:rFonts w:ascii="Times New Roman" w:hAnsi="Times New Roman"/>
              </w:rPr>
            </w:pPr>
            <w:r w:rsidRPr="00CB481C">
              <w:rPr>
                <w:rFonts w:ascii="Times New Roman" w:hAnsi="Times New Roman"/>
              </w:rPr>
              <w:t>Zhoda</w:t>
            </w:r>
          </w:p>
        </w:tc>
        <w:tc>
          <w:tcPr>
            <w:tcW w:w="755"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pStyle w:val="Normlny"/>
              <w:bidi w:val="0"/>
              <w:spacing w:after="0" w:line="240" w:lineRule="auto"/>
              <w:jc w:val="center"/>
              <w:rPr>
                <w:rFonts w:ascii="Times New Roman" w:hAnsi="Times New Roman"/>
              </w:rPr>
            </w:pPr>
            <w:r w:rsidRPr="00CB481C">
              <w:rPr>
                <w:rFonts w:ascii="Times New Roman" w:hAnsi="Times New Roman"/>
              </w:rPr>
              <w:t>Admin. infraštr.</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pStyle w:val="Normlny"/>
              <w:bidi w:val="0"/>
              <w:spacing w:after="0" w:line="240" w:lineRule="auto"/>
              <w:jc w:val="center"/>
              <w:rPr>
                <w:rFonts w:ascii="Times New Roman" w:hAnsi="Times New Roman"/>
              </w:rPr>
            </w:pPr>
            <w:r w:rsidRPr="00CB481C">
              <w:rPr>
                <w:rFonts w:ascii="Times New Roman" w:hAnsi="Times New Roman"/>
              </w:rPr>
              <w:t>Poznámky</w:t>
            </w:r>
          </w:p>
          <w:p w:rsidR="00944BB5" w:rsidRPr="00CB481C" w:rsidP="00496EE8">
            <w:pPr>
              <w:bidi w:val="0"/>
              <w:spacing w:after="0" w:line="240" w:lineRule="auto"/>
              <w:rPr>
                <w:rFonts w:ascii="Times New Roman" w:hAnsi="Times New Roman"/>
                <w:sz w:val="20"/>
              </w:rPr>
            </w:pPr>
            <w:r w:rsidRPr="00CB481C">
              <w:rPr>
                <w:rFonts w:ascii="Times New Roman" w:hAnsi="Times New Roman"/>
                <w:sz w:val="20"/>
              </w:rPr>
              <w:t>(pri návrhu predpisu – predpokladaný dátum účinnosti**)</w:t>
            </w:r>
          </w:p>
        </w:tc>
        <w:tc>
          <w:tcPr>
            <w:tcW w:w="743"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bidi w:val="0"/>
              <w:spacing w:after="0" w:line="240" w:lineRule="auto"/>
              <w:ind w:left="-70" w:right="-70"/>
              <w:jc w:val="center"/>
              <w:rPr>
                <w:rFonts w:ascii="Times New Roman" w:hAnsi="Times New Roman"/>
                <w:sz w:val="20"/>
              </w:rPr>
            </w:pPr>
            <w:r w:rsidRPr="00CB481C">
              <w:rPr>
                <w:rFonts w:ascii="Times New Roman" w:hAnsi="Times New Roman"/>
                <w:sz w:val="20"/>
              </w:rPr>
              <w:t>Štádium legislatívneho procesu</w:t>
            </w:r>
          </w:p>
        </w:tc>
      </w:tr>
      <w:tr>
        <w:tblPrEx>
          <w:tblW w:w="14984" w:type="dxa"/>
          <w:tblInd w:w="-72" w:type="dxa"/>
          <w:tblLayout w:type="fixed"/>
          <w:tblCellMar>
            <w:left w:w="70" w:type="dxa"/>
            <w:right w:w="70" w:type="dxa"/>
          </w:tblCellMar>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944BB5" w:rsidP="00496EE8">
            <w:pPr>
              <w:bidi w:val="0"/>
              <w:spacing w:after="0" w:line="240" w:lineRule="auto"/>
              <w:jc w:val="center"/>
              <w:rPr>
                <w:rFonts w:ascii="Times New Roman" w:hAnsi="Times New Roman"/>
                <w:sz w:val="20"/>
              </w:rPr>
            </w:pPr>
            <w:r w:rsidRPr="00CB481C">
              <w:rPr>
                <w:rFonts w:ascii="Times New Roman" w:hAnsi="Times New Roman"/>
                <w:sz w:val="20"/>
              </w:rPr>
              <w:t>Č:1</w:t>
            </w:r>
            <w:r w:rsidR="00496EE8">
              <w:rPr>
                <w:rFonts w:ascii="Times New Roman" w:hAnsi="Times New Roman"/>
                <w:sz w:val="20"/>
              </w:rPr>
              <w:t>3</w:t>
            </w:r>
          </w:p>
          <w:p w:rsidR="00496EE8" w:rsidRPr="00CB481C" w:rsidP="00496EE8">
            <w:pPr>
              <w:bidi w:val="0"/>
              <w:spacing w:after="0" w:line="240" w:lineRule="auto"/>
              <w:jc w:val="center"/>
              <w:rPr>
                <w:rFonts w:ascii="Times New Roman" w:hAnsi="Times New Roman"/>
                <w:sz w:val="20"/>
              </w:rPr>
            </w:pPr>
            <w:r>
              <w:rPr>
                <w:rFonts w:ascii="Times New Roman" w:hAnsi="Times New Roman"/>
                <w:sz w:val="20"/>
              </w:rPr>
              <w:t>O:2</w:t>
            </w:r>
          </w:p>
          <w:p w:rsidR="00944BB5" w:rsidRPr="00CB481C" w:rsidP="00496EE8">
            <w:pPr>
              <w:bidi w:val="0"/>
              <w:spacing w:after="0" w:line="240" w:lineRule="auto"/>
              <w:jc w:val="center"/>
              <w:rPr>
                <w:rFonts w:ascii="Times New Roman" w:hAnsi="Times New Roman"/>
                <w:sz w:val="20"/>
              </w:rPr>
            </w:pPr>
          </w:p>
          <w:p w:rsidR="00944BB5" w:rsidRPr="00CB481C" w:rsidP="00496EE8">
            <w:pPr>
              <w:bidi w:val="0"/>
              <w:spacing w:after="0" w:line="240" w:lineRule="auto"/>
              <w:jc w:val="center"/>
              <w:rPr>
                <w:rFonts w:ascii="Times New Roman" w:hAnsi="Times New Roman"/>
                <w:sz w:val="20"/>
              </w:rPr>
            </w:pPr>
          </w:p>
          <w:p w:rsidR="00944BB5" w:rsidRPr="00CB481C" w:rsidP="00496EE8">
            <w:pPr>
              <w:bidi w:val="0"/>
              <w:spacing w:after="0" w:line="240" w:lineRule="auto"/>
              <w:jc w:val="center"/>
              <w:rPr>
                <w:rFonts w:ascii="Times New Roman" w:hAnsi="Times New Roman"/>
                <w:sz w:val="20"/>
              </w:rPr>
            </w:pPr>
          </w:p>
          <w:p w:rsidR="00944BB5" w:rsidRPr="00CB481C" w:rsidP="00496EE8">
            <w:pPr>
              <w:bidi w:val="0"/>
              <w:spacing w:after="0" w:line="240" w:lineRule="auto"/>
              <w:jc w:val="center"/>
              <w:rPr>
                <w:rFonts w:ascii="Times New Roman" w:hAnsi="Times New Roman"/>
                <w:sz w:val="20"/>
              </w:rPr>
            </w:pPr>
          </w:p>
          <w:p w:rsidR="00944BB5" w:rsidRPr="00CB481C" w:rsidP="00496EE8">
            <w:pPr>
              <w:bidi w:val="0"/>
              <w:spacing w:after="0" w:line="240" w:lineRule="auto"/>
              <w:jc w:val="center"/>
              <w:rPr>
                <w:rFonts w:ascii="Times New Roman" w:hAnsi="Times New Roman"/>
                <w:sz w:val="20"/>
              </w:rPr>
            </w:pPr>
          </w:p>
          <w:p w:rsidR="00944BB5" w:rsidRPr="00CB481C" w:rsidP="00496EE8">
            <w:pPr>
              <w:bidi w:val="0"/>
              <w:spacing w:after="0" w:line="240" w:lineRule="auto"/>
              <w:jc w:val="center"/>
              <w:rPr>
                <w:rFonts w:ascii="Times New Roman" w:hAnsi="Times New Roman"/>
                <w:sz w:val="20"/>
              </w:rPr>
            </w:pPr>
          </w:p>
        </w:tc>
        <w:tc>
          <w:tcPr>
            <w:tcW w:w="5680" w:type="dxa"/>
            <w:tcBorders>
              <w:top w:val="single" w:sz="4" w:space="0" w:color="auto"/>
              <w:left w:val="single" w:sz="4" w:space="0" w:color="auto"/>
              <w:bottom w:val="single" w:sz="4" w:space="0" w:color="auto"/>
              <w:right w:val="single" w:sz="4" w:space="0" w:color="auto"/>
            </w:tcBorders>
            <w:textDirection w:val="lrTb"/>
            <w:vAlign w:val="top"/>
          </w:tcPr>
          <w:p w:rsidR="00496EE8" w:rsidRPr="00CB481C" w:rsidP="00496EE8">
            <w:pPr>
              <w:pStyle w:val="NormalWeb"/>
              <w:bidi w:val="0"/>
              <w:spacing w:before="0" w:beforeAutospacing="0" w:after="0" w:afterAutospacing="0" w:line="240" w:lineRule="auto"/>
              <w:jc w:val="both"/>
              <w:rPr>
                <w:rFonts w:ascii="Times New Roman" w:hAnsi="Times New Roman"/>
                <w:sz w:val="20"/>
                <w:szCs w:val="20"/>
              </w:rPr>
            </w:pPr>
            <w:r w:rsidRPr="00CB481C">
              <w:rPr>
                <w:rFonts w:ascii="Times New Roman" w:hAnsi="Times New Roman"/>
                <w:sz w:val="20"/>
                <w:szCs w:val="20"/>
              </w:rPr>
              <w:t>Členské štáty jasne vymedzia všetky technické špecifikácie, ktoré musia spĺňať zariadenia a systémy na výrobu energie z obnoviteľných zdrojov energie, a ktoré sú predpokladom čerpania výhod zo systémov podpory. V prípade, že existujú európske normy vrátane environmentálnych označení, energetických označení alebo iných technických referenčných systémov vytvorených európskymi normalizačnými orgánmi, sú takéto technické špecifikácie vyjadrené na základe týchto noriem. V takýchto technických špecifikáciách sa nepredpisuje, kde sa má zariadeniam a systémom udeliť osvedčenie, a nemali by byť prekážkou fungovania vnútorného trhu.</w:t>
            </w:r>
          </w:p>
          <w:p w:rsidR="00944BB5" w:rsidRPr="00CB481C" w:rsidP="00944BB5">
            <w:pPr>
              <w:pStyle w:val="NormalWeb"/>
              <w:bidi w:val="0"/>
              <w:spacing w:before="0" w:beforeAutospacing="0" w:after="0" w:afterAutospacing="0" w:line="240" w:lineRule="auto"/>
              <w:jc w:val="both"/>
              <w:rPr>
                <w:rFonts w:ascii="Times New Roman" w:hAnsi="Times New Roman"/>
                <w:sz w:val="20"/>
                <w:szCs w:val="20"/>
              </w:rPr>
            </w:pPr>
          </w:p>
        </w:tc>
        <w:tc>
          <w:tcPr>
            <w:tcW w:w="557"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bidi w:val="0"/>
              <w:spacing w:after="0" w:line="240" w:lineRule="auto"/>
              <w:jc w:val="center"/>
              <w:rPr>
                <w:rFonts w:ascii="Times New Roman" w:hAnsi="Times New Roman"/>
                <w:sz w:val="20"/>
              </w:rPr>
            </w:pPr>
            <w:r w:rsidR="00496EE8">
              <w:rPr>
                <w:rFonts w:ascii="Times New Roman" w:hAnsi="Times New Roman"/>
                <w:sz w:val="20"/>
              </w:rPr>
              <w:t>N</w:t>
            </w:r>
          </w:p>
        </w:tc>
        <w:tc>
          <w:tcPr>
            <w:tcW w:w="759"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bidi w:val="0"/>
              <w:spacing w:after="0" w:line="240" w:lineRule="auto"/>
              <w:jc w:val="center"/>
              <w:rPr>
                <w:rFonts w:ascii="Times New Roman" w:hAnsi="Times New Roman"/>
                <w:sz w:val="20"/>
              </w:rPr>
            </w:pPr>
            <w:r w:rsidR="007F0136">
              <w:rPr>
                <w:rFonts w:ascii="Times New Roman" w:hAnsi="Times New Roman"/>
                <w:sz w:val="20"/>
              </w:rPr>
              <w:t xml:space="preserve">Zákon </w:t>
            </w:r>
            <w:r w:rsidR="00496EE8">
              <w:rPr>
                <w:rFonts w:ascii="Times New Roman" w:hAnsi="Times New Roman"/>
                <w:sz w:val="20"/>
              </w:rPr>
              <w:t>309/2009 Z.z.</w:t>
            </w:r>
          </w:p>
          <w:p w:rsidR="00944BB5" w:rsidRPr="00CB481C" w:rsidP="00496EE8">
            <w:pPr>
              <w:bidi w:val="0"/>
              <w:spacing w:after="0" w:line="240" w:lineRule="auto"/>
              <w:jc w:val="center"/>
              <w:rPr>
                <w:rFonts w:ascii="Times New Roman" w:hAnsi="Times New Roman"/>
                <w:sz w:val="20"/>
              </w:rPr>
            </w:pPr>
          </w:p>
          <w:p w:rsidR="00944BB5" w:rsidRPr="00496EE8" w:rsidP="00496EE8">
            <w:pPr>
              <w:bidi w:val="0"/>
              <w:spacing w:after="0" w:line="240" w:lineRule="auto"/>
              <w:jc w:val="center"/>
              <w:rPr>
                <w:rFonts w:ascii="Times New Roman" w:hAnsi="Times New Roman"/>
                <w:b/>
                <w:sz w:val="20"/>
              </w:rPr>
            </w:pPr>
            <w:r w:rsidRPr="00496EE8" w:rsidR="00496EE8">
              <w:rPr>
                <w:rFonts w:ascii="Times New Roman" w:hAnsi="Times New Roman"/>
                <w:b/>
                <w:sz w:val="20"/>
              </w:rPr>
              <w:t>Návrh zákona</w:t>
            </w:r>
          </w:p>
          <w:p w:rsidR="00944BB5" w:rsidRPr="00CB481C" w:rsidP="00496EE8">
            <w:pPr>
              <w:bidi w:val="0"/>
              <w:spacing w:after="0" w:line="240" w:lineRule="auto"/>
              <w:jc w:val="center"/>
              <w:rPr>
                <w:rFonts w:ascii="Times New Roman" w:hAnsi="Times New Roman"/>
                <w:sz w:val="20"/>
              </w:rPr>
            </w:pPr>
          </w:p>
          <w:p w:rsidR="00944BB5" w:rsidRPr="00CB481C" w:rsidP="00496EE8">
            <w:pPr>
              <w:bidi w:val="0"/>
              <w:spacing w:after="0" w:line="240" w:lineRule="auto"/>
              <w:jc w:val="center"/>
              <w:rPr>
                <w:rFonts w:ascii="Times New Roman" w:hAnsi="Times New Roman"/>
                <w:sz w:val="20"/>
              </w:rPr>
            </w:pPr>
          </w:p>
          <w:p w:rsidR="00944BB5" w:rsidRPr="00CB481C" w:rsidP="00496EE8">
            <w:pPr>
              <w:bidi w:val="0"/>
              <w:spacing w:after="0" w:line="240" w:lineRule="auto"/>
              <w:jc w:val="center"/>
              <w:rPr>
                <w:rFonts w:ascii="Times New Roman" w:hAnsi="Times New Roman"/>
                <w:sz w:val="20"/>
              </w:rPr>
            </w:pPr>
          </w:p>
          <w:p w:rsidR="00944BB5" w:rsidRPr="00CB481C" w:rsidP="00496EE8">
            <w:pPr>
              <w:bidi w:val="0"/>
              <w:spacing w:after="0" w:line="240" w:lineRule="auto"/>
              <w:jc w:val="center"/>
              <w:rPr>
                <w:rFonts w:ascii="Times New Roman" w:hAnsi="Times New Roman"/>
                <w:sz w:val="20"/>
              </w:rPr>
            </w:pPr>
          </w:p>
          <w:p w:rsidR="00944BB5" w:rsidRPr="00CB481C" w:rsidP="00496EE8">
            <w:pPr>
              <w:bidi w:val="0"/>
              <w:spacing w:after="0" w:line="240" w:lineRule="auto"/>
              <w:jc w:val="center"/>
              <w:rPr>
                <w:rFonts w:ascii="Times New Roman" w:hAnsi="Times New Roman"/>
                <w:sz w:val="20"/>
              </w:rPr>
            </w:pPr>
          </w:p>
          <w:p w:rsidR="00944BB5" w:rsidRPr="00CB481C" w:rsidP="00496EE8">
            <w:pPr>
              <w:bidi w:val="0"/>
              <w:spacing w:after="0" w:line="240" w:lineRule="auto"/>
              <w:jc w:val="center"/>
              <w:rPr>
                <w:rFonts w:ascii="Times New Roman" w:hAnsi="Times New Roman"/>
                <w:sz w:val="20"/>
              </w:rPr>
            </w:pPr>
          </w:p>
          <w:p w:rsidR="00944BB5" w:rsidRPr="00CB481C" w:rsidP="00496EE8">
            <w:pPr>
              <w:bidi w:val="0"/>
              <w:spacing w:after="0" w:line="240" w:lineRule="auto"/>
              <w:jc w:val="center"/>
              <w:rPr>
                <w:rFonts w:ascii="Times New Roman" w:hAnsi="Times New Roman"/>
                <w:sz w:val="20"/>
              </w:rPr>
            </w:pPr>
          </w:p>
          <w:p w:rsidR="00944BB5" w:rsidRPr="00CB481C" w:rsidP="00496EE8">
            <w:pPr>
              <w:bidi w:val="0"/>
              <w:spacing w:after="0" w:line="240" w:lineRule="auto"/>
              <w:jc w:val="center"/>
              <w:rPr>
                <w:rFonts w:ascii="Times New Roman" w:hAnsi="Times New Roman"/>
                <w:sz w:val="20"/>
              </w:rPr>
            </w:pPr>
          </w:p>
          <w:p w:rsidR="00944BB5" w:rsidRPr="00CB481C" w:rsidP="00496EE8">
            <w:pPr>
              <w:bidi w:val="0"/>
              <w:spacing w:after="0" w:line="240" w:lineRule="auto"/>
              <w:jc w:val="center"/>
              <w:rPr>
                <w:rFonts w:ascii="Times New Roman" w:hAnsi="Times New Roman"/>
                <w:sz w:val="20"/>
              </w:rPr>
            </w:pP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44BB5" w:rsidP="00496EE8">
            <w:pPr>
              <w:pStyle w:val="EnvelopeReturn"/>
              <w:bidi w:val="0"/>
              <w:spacing w:after="0" w:line="240" w:lineRule="auto"/>
              <w:jc w:val="center"/>
              <w:rPr>
                <w:rFonts w:ascii="Times New Roman" w:hAnsi="Times New Roman"/>
                <w:sz w:val="20"/>
                <w:szCs w:val="20"/>
              </w:rPr>
            </w:pPr>
            <w:r w:rsidR="00496EE8">
              <w:rPr>
                <w:rFonts w:ascii="Times New Roman" w:hAnsi="Times New Roman"/>
                <w:sz w:val="20"/>
                <w:szCs w:val="20"/>
              </w:rPr>
              <w:t>§:3</w:t>
            </w:r>
          </w:p>
          <w:p w:rsidR="00496EE8" w:rsidP="00496EE8">
            <w:pPr>
              <w:pStyle w:val="EnvelopeReturn"/>
              <w:bidi w:val="0"/>
              <w:spacing w:after="0" w:line="240" w:lineRule="auto"/>
              <w:jc w:val="center"/>
              <w:rPr>
                <w:rFonts w:ascii="Times New Roman" w:hAnsi="Times New Roman"/>
                <w:sz w:val="20"/>
                <w:szCs w:val="20"/>
              </w:rPr>
            </w:pPr>
            <w:r>
              <w:rPr>
                <w:rFonts w:ascii="Times New Roman" w:hAnsi="Times New Roman"/>
                <w:sz w:val="20"/>
                <w:szCs w:val="20"/>
              </w:rPr>
              <w:t>O:3</w:t>
            </w:r>
          </w:p>
          <w:p w:rsidR="00496EE8" w:rsidP="00496EE8">
            <w:pPr>
              <w:pStyle w:val="EnvelopeReturn"/>
              <w:bidi w:val="0"/>
              <w:spacing w:after="0" w:line="240" w:lineRule="auto"/>
              <w:jc w:val="center"/>
              <w:rPr>
                <w:rFonts w:ascii="Times New Roman" w:hAnsi="Times New Roman"/>
                <w:sz w:val="20"/>
                <w:szCs w:val="20"/>
              </w:rPr>
            </w:pPr>
            <w:r>
              <w:rPr>
                <w:rFonts w:ascii="Times New Roman" w:hAnsi="Times New Roman"/>
                <w:sz w:val="20"/>
                <w:szCs w:val="20"/>
              </w:rPr>
              <w:t>P:a</w:t>
            </w:r>
          </w:p>
          <w:p w:rsidR="00496EE8" w:rsidP="00496EE8">
            <w:pPr>
              <w:pStyle w:val="EnvelopeReturn"/>
              <w:bidi w:val="0"/>
              <w:spacing w:after="0" w:line="240" w:lineRule="auto"/>
              <w:jc w:val="center"/>
              <w:rPr>
                <w:rFonts w:ascii="Times New Roman" w:hAnsi="Times New Roman"/>
                <w:sz w:val="20"/>
                <w:szCs w:val="20"/>
              </w:rPr>
            </w:pPr>
          </w:p>
          <w:p w:rsidR="00496EE8" w:rsidP="00496EE8">
            <w:pPr>
              <w:pStyle w:val="EnvelopeReturn"/>
              <w:bidi w:val="0"/>
              <w:spacing w:after="0" w:line="240" w:lineRule="auto"/>
              <w:jc w:val="center"/>
              <w:rPr>
                <w:rFonts w:ascii="Times New Roman" w:hAnsi="Times New Roman"/>
                <w:sz w:val="20"/>
                <w:szCs w:val="20"/>
              </w:rPr>
            </w:pPr>
          </w:p>
          <w:p w:rsidR="00496EE8" w:rsidRPr="00496EE8" w:rsidP="00496EE8">
            <w:pPr>
              <w:pStyle w:val="EnvelopeReturn"/>
              <w:bidi w:val="0"/>
              <w:spacing w:after="0" w:line="240" w:lineRule="auto"/>
              <w:jc w:val="center"/>
              <w:rPr>
                <w:rFonts w:ascii="Times New Roman" w:hAnsi="Times New Roman"/>
                <w:b/>
                <w:sz w:val="20"/>
                <w:szCs w:val="20"/>
              </w:rPr>
            </w:pPr>
            <w:r w:rsidRPr="00496EE8">
              <w:rPr>
                <w:rFonts w:ascii="Times New Roman" w:hAnsi="Times New Roman"/>
                <w:b/>
                <w:sz w:val="20"/>
                <w:szCs w:val="20"/>
              </w:rPr>
              <w:t>P:b</w:t>
            </w:r>
          </w:p>
        </w:tc>
        <w:tc>
          <w:tcPr>
            <w:tcW w:w="3299" w:type="dxa"/>
            <w:tcBorders>
              <w:top w:val="single" w:sz="4" w:space="0" w:color="auto"/>
              <w:left w:val="single" w:sz="4" w:space="0" w:color="auto"/>
              <w:bottom w:val="single" w:sz="4" w:space="0" w:color="auto"/>
              <w:right w:val="single" w:sz="4" w:space="0" w:color="auto"/>
            </w:tcBorders>
            <w:textDirection w:val="lrTb"/>
            <w:vAlign w:val="top"/>
          </w:tcPr>
          <w:p w:rsidR="00496EE8" w:rsidP="00496EE8">
            <w:pPr>
              <w:pStyle w:val="FootnoteText"/>
              <w:bidi w:val="0"/>
              <w:spacing w:after="0" w:line="240" w:lineRule="auto"/>
              <w:rPr>
                <w:rFonts w:ascii="Times New Roman" w:hAnsi="Times New Roman"/>
              </w:rPr>
            </w:pPr>
            <w:r w:rsidRPr="00CB481C">
              <w:rPr>
                <w:rFonts w:ascii="Times New Roman" w:hAnsi="Times New Roman"/>
              </w:rPr>
              <w:t>Podpora podľa odseku 1 písm. b) a c) sa vzťahuje na zariadenia výrobcu elektriny</w:t>
              <w:br/>
              <w:t>a) s celkovým inštalovaným výkonom do 125 MW,</w:t>
            </w:r>
          </w:p>
          <w:p w:rsidR="00944BB5" w:rsidRPr="00CB481C" w:rsidP="00496EE8">
            <w:pPr>
              <w:pStyle w:val="BodyText2"/>
              <w:bidi w:val="0"/>
              <w:spacing w:after="0" w:line="240" w:lineRule="auto"/>
              <w:rPr>
                <w:rFonts w:ascii="Times New Roman" w:hAnsi="Times New Roman"/>
                <w:sz w:val="20"/>
              </w:rPr>
            </w:pPr>
            <w:r w:rsidRPr="00496EE8">
              <w:rPr>
                <w:rFonts w:ascii="Times New Roman" w:hAnsi="Times New Roman"/>
                <w:b/>
                <w:sz w:val="20"/>
              </w:rPr>
              <w:t>b) s celkovým inštalovaným výkonom do 200 MW, ak je elektrina vyrábaná vysoko účinnou kombinovanou výrobou a energetický podiel obnoviteľných zdrojov energie v palive je vyšší ako 30 % alebo energetický podiel plynov vznikajúcich ako vedľajší produkt v metalurgickom výrobnom pro</w:t>
            </w:r>
            <w:r w:rsidR="00496EE8">
              <w:rPr>
                <w:rFonts w:ascii="Times New Roman" w:hAnsi="Times New Roman"/>
                <w:b/>
                <w:sz w:val="20"/>
              </w:rPr>
              <w:t>cese v palive je vyšší ako 40 %</w:t>
            </w: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bidi w:val="0"/>
              <w:spacing w:after="0" w:line="240" w:lineRule="auto"/>
              <w:rPr>
                <w:rFonts w:ascii="Times New Roman" w:hAnsi="Times New Roman"/>
                <w:sz w:val="20"/>
              </w:rPr>
            </w:pPr>
            <w:r w:rsidR="00496EE8">
              <w:rPr>
                <w:rFonts w:ascii="Times New Roman" w:hAnsi="Times New Roman"/>
                <w:sz w:val="20"/>
              </w:rPr>
              <w:t>Ú</w:t>
            </w:r>
          </w:p>
        </w:tc>
        <w:tc>
          <w:tcPr>
            <w:tcW w:w="755"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bidi w:val="0"/>
              <w:spacing w:after="0" w:line="240" w:lineRule="auto"/>
              <w:jc w:val="center"/>
              <w:rPr>
                <w:rFonts w:ascii="Times New Roman" w:hAnsi="Times New Roman"/>
                <w:sz w:val="20"/>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bidi w:val="0"/>
              <w:spacing w:after="0" w:line="240" w:lineRule="auto"/>
              <w:jc w:val="center"/>
              <w:rPr>
                <w:rFonts w:ascii="Times New Roman" w:hAnsi="Times New Roman"/>
                <w:sz w:val="20"/>
              </w:rPr>
            </w:pPr>
          </w:p>
        </w:tc>
        <w:tc>
          <w:tcPr>
            <w:tcW w:w="743" w:type="dxa"/>
            <w:tcBorders>
              <w:top w:val="single" w:sz="4" w:space="0" w:color="auto"/>
              <w:left w:val="single" w:sz="4" w:space="0" w:color="auto"/>
              <w:bottom w:val="single" w:sz="4" w:space="0" w:color="auto"/>
              <w:right w:val="single" w:sz="4" w:space="0" w:color="auto"/>
            </w:tcBorders>
            <w:textDirection w:val="lrTb"/>
            <w:vAlign w:val="top"/>
          </w:tcPr>
          <w:p w:rsidR="00944BB5" w:rsidRPr="00CB481C" w:rsidP="00496EE8">
            <w:pPr>
              <w:bidi w:val="0"/>
              <w:spacing w:after="0" w:line="240" w:lineRule="auto"/>
              <w:jc w:val="center"/>
              <w:rPr>
                <w:rFonts w:ascii="Times New Roman" w:hAnsi="Times New Roman"/>
                <w:sz w:val="20"/>
              </w:rPr>
            </w:pPr>
          </w:p>
        </w:tc>
      </w:tr>
      <w:tr>
        <w:tblPrEx>
          <w:tblW w:w="14984" w:type="dxa"/>
          <w:tblInd w:w="-72" w:type="dxa"/>
          <w:tblLayout w:type="fixed"/>
          <w:tblCellMar>
            <w:left w:w="70" w:type="dxa"/>
            <w:right w:w="70" w:type="dxa"/>
          </w:tblCellMar>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496EE8" w:rsidP="00496EE8">
            <w:pPr>
              <w:bidi w:val="0"/>
              <w:spacing w:after="0" w:line="240" w:lineRule="auto"/>
              <w:jc w:val="center"/>
              <w:rPr>
                <w:rFonts w:ascii="Times New Roman" w:hAnsi="Times New Roman"/>
                <w:sz w:val="20"/>
              </w:rPr>
            </w:pPr>
            <w:r>
              <w:rPr>
                <w:rFonts w:ascii="Times New Roman" w:hAnsi="Times New Roman"/>
                <w:sz w:val="20"/>
              </w:rPr>
              <w:t>Č:13</w:t>
            </w:r>
          </w:p>
          <w:p w:rsidR="00496EE8" w:rsidRPr="00CB481C" w:rsidP="00496EE8">
            <w:pPr>
              <w:bidi w:val="0"/>
              <w:spacing w:after="0" w:line="240" w:lineRule="auto"/>
              <w:jc w:val="center"/>
              <w:rPr>
                <w:rFonts w:ascii="Times New Roman" w:hAnsi="Times New Roman"/>
                <w:sz w:val="20"/>
              </w:rPr>
            </w:pPr>
            <w:r>
              <w:rPr>
                <w:rFonts w:ascii="Times New Roman" w:hAnsi="Times New Roman"/>
                <w:sz w:val="20"/>
              </w:rPr>
              <w:t>O:6</w:t>
            </w:r>
          </w:p>
        </w:tc>
        <w:tc>
          <w:tcPr>
            <w:tcW w:w="5680" w:type="dxa"/>
            <w:tcBorders>
              <w:top w:val="single" w:sz="4" w:space="0" w:color="auto"/>
              <w:left w:val="single" w:sz="4" w:space="0" w:color="auto"/>
              <w:bottom w:val="single" w:sz="4" w:space="0" w:color="auto"/>
              <w:right w:val="single" w:sz="4" w:space="0" w:color="auto"/>
            </w:tcBorders>
            <w:textDirection w:val="lrTb"/>
            <w:vAlign w:val="top"/>
          </w:tcPr>
          <w:p w:rsidR="00496EE8" w:rsidRPr="00CB481C" w:rsidP="00496EE8">
            <w:pPr>
              <w:pStyle w:val="NormalWeb"/>
              <w:bidi w:val="0"/>
              <w:spacing w:before="0" w:beforeAutospacing="0" w:after="0" w:afterAutospacing="0" w:line="240" w:lineRule="auto"/>
              <w:jc w:val="both"/>
              <w:rPr>
                <w:rFonts w:ascii="Times New Roman" w:hAnsi="Times New Roman"/>
                <w:sz w:val="20"/>
                <w:szCs w:val="20"/>
              </w:rPr>
            </w:pPr>
            <w:r w:rsidRPr="00CB481C">
              <w:rPr>
                <w:rFonts w:ascii="Times New Roman" w:hAnsi="Times New Roman"/>
                <w:sz w:val="20"/>
                <w:szCs w:val="20"/>
              </w:rPr>
              <w:t>Členské štáty s ohľadom na svoje stavebné predpisy podporujú využitie vykurovacích a chladiacich systémov a zariadení využívajúcich energiu z obnoviteľných zdrojov energie, ktoré dosahujú značné zníženie energetickej spotreby. Ak existujú energetické alebo environmentálne označenia alebo iné vhodné osvedčenia alebo normy vypracované na vnútroštátnej úrovni alebo na úrovni Spoločenstva, členské štáty ich využijú ako základ pre podporu takýchto systémov a zariadení.</w:t>
            </w:r>
          </w:p>
          <w:p w:rsidR="00792675" w:rsidRPr="00CB481C" w:rsidP="00496EE8">
            <w:pPr>
              <w:pStyle w:val="NormalWeb"/>
              <w:bidi w:val="0"/>
              <w:spacing w:before="0" w:beforeAutospacing="0" w:after="0" w:afterAutospacing="0" w:line="240" w:lineRule="auto"/>
              <w:jc w:val="both"/>
              <w:rPr>
                <w:rFonts w:ascii="Times New Roman" w:hAnsi="Times New Roman"/>
                <w:sz w:val="20"/>
                <w:szCs w:val="20"/>
              </w:rPr>
            </w:pPr>
          </w:p>
          <w:p w:rsidR="00496EE8" w:rsidRPr="00CB481C" w:rsidP="00496EE8">
            <w:pPr>
              <w:pStyle w:val="NormalWeb"/>
              <w:bidi w:val="0"/>
              <w:spacing w:before="0" w:beforeAutospacing="0" w:after="0" w:afterAutospacing="0" w:line="240" w:lineRule="auto"/>
              <w:jc w:val="both"/>
              <w:rPr>
                <w:rFonts w:ascii="Times New Roman" w:hAnsi="Times New Roman"/>
                <w:sz w:val="20"/>
                <w:szCs w:val="20"/>
              </w:rPr>
            </w:pPr>
            <w:r w:rsidRPr="00CB481C">
              <w:rPr>
                <w:rFonts w:ascii="Times New Roman" w:hAnsi="Times New Roman"/>
                <w:sz w:val="20"/>
                <w:szCs w:val="20"/>
              </w:rPr>
              <w:t>V prípade biomasy členské štáty podporujú konverzné technológie, ktoré dosahujú konverznú účinnosť aspoň 85 % v prípade využitia v domácnostiach a na komerčné účely a aspoň 70 % v prípade priemyselného využitia.</w:t>
            </w:r>
          </w:p>
          <w:p w:rsidR="00496EE8" w:rsidP="00496EE8">
            <w:pPr>
              <w:pStyle w:val="NormalWeb"/>
              <w:bidi w:val="0"/>
              <w:spacing w:before="0" w:beforeAutospacing="0" w:after="0" w:afterAutospacing="0" w:line="240" w:lineRule="auto"/>
              <w:jc w:val="both"/>
              <w:rPr>
                <w:rFonts w:ascii="Times New Roman" w:hAnsi="Times New Roman"/>
                <w:sz w:val="20"/>
                <w:szCs w:val="20"/>
              </w:rPr>
            </w:pPr>
            <w:r w:rsidRPr="00CB481C">
              <w:rPr>
                <w:rFonts w:ascii="Times New Roman" w:hAnsi="Times New Roman"/>
                <w:sz w:val="20"/>
                <w:szCs w:val="20"/>
              </w:rPr>
              <w:br w:type="page"/>
            </w:r>
          </w:p>
          <w:p w:rsidR="00496EE8" w:rsidP="00496EE8">
            <w:pPr>
              <w:pStyle w:val="NormalWeb"/>
              <w:bidi w:val="0"/>
              <w:spacing w:before="0" w:beforeAutospacing="0" w:after="0" w:afterAutospacing="0" w:line="240" w:lineRule="auto"/>
              <w:jc w:val="both"/>
              <w:rPr>
                <w:rFonts w:ascii="Times New Roman" w:hAnsi="Times New Roman"/>
                <w:sz w:val="20"/>
                <w:szCs w:val="20"/>
              </w:rPr>
            </w:pPr>
          </w:p>
          <w:p w:rsidR="00496EE8" w:rsidP="00496EE8">
            <w:pPr>
              <w:pStyle w:val="NormalWeb"/>
              <w:bidi w:val="0"/>
              <w:spacing w:before="0" w:beforeAutospacing="0" w:after="0" w:afterAutospacing="0" w:line="240" w:lineRule="auto"/>
              <w:jc w:val="both"/>
              <w:rPr>
                <w:rFonts w:ascii="Times New Roman" w:hAnsi="Times New Roman"/>
                <w:sz w:val="20"/>
                <w:szCs w:val="20"/>
              </w:rPr>
            </w:pPr>
          </w:p>
          <w:p w:rsidR="00496EE8" w:rsidP="00496EE8">
            <w:pPr>
              <w:pStyle w:val="NormalWeb"/>
              <w:bidi w:val="0"/>
              <w:spacing w:before="0" w:beforeAutospacing="0" w:after="0" w:afterAutospacing="0" w:line="240" w:lineRule="auto"/>
              <w:jc w:val="both"/>
              <w:rPr>
                <w:rFonts w:ascii="Times New Roman" w:hAnsi="Times New Roman"/>
                <w:sz w:val="20"/>
                <w:szCs w:val="20"/>
              </w:rPr>
            </w:pPr>
          </w:p>
          <w:p w:rsidR="00496EE8" w:rsidP="00496EE8">
            <w:pPr>
              <w:pStyle w:val="NormalWeb"/>
              <w:bidi w:val="0"/>
              <w:spacing w:before="0" w:beforeAutospacing="0" w:after="0" w:afterAutospacing="0" w:line="240" w:lineRule="auto"/>
              <w:jc w:val="both"/>
              <w:rPr>
                <w:rFonts w:ascii="Times New Roman" w:hAnsi="Times New Roman"/>
                <w:sz w:val="20"/>
                <w:szCs w:val="20"/>
              </w:rPr>
            </w:pPr>
            <w:r w:rsidRPr="00CB481C">
              <w:rPr>
                <w:rFonts w:ascii="Times New Roman" w:hAnsi="Times New Roman"/>
                <w:sz w:val="20"/>
                <w:szCs w:val="20"/>
              </w:rPr>
              <w:t>V prípade tepelných čerpadiel členské štáty podporujú využívanie tepelných čerpadiel, ktoré spĺňajú minimálne požiadavky environmentálneho označovania ustanovené v rozhodnutí Komisie 2007/742/ES z 9. novembra 2007, ktorým sa ustanovujú ekologické kritériá udeľovania environmentálnej značky Spoločenstva pre tepelné čerpadlá poháňané elektrinou alebo plynom a pre plynové absorpčné tepelné čerpadlá</w:t>
            </w:r>
            <w:r>
              <w:rPr>
                <w:rFonts w:ascii="Times New Roman" w:hAnsi="Times New Roman"/>
                <w:sz w:val="20"/>
                <w:szCs w:val="20"/>
                <w:rtl w:val="0"/>
              </w:rPr>
              <w:footnoteReference w:id="2"/>
            </w:r>
            <w:r w:rsidRPr="00CB481C">
              <w:rPr>
                <w:rFonts w:ascii="Times New Roman" w:hAnsi="Times New Roman"/>
                <w:sz w:val="20"/>
                <w:szCs w:val="20"/>
              </w:rPr>
              <w:t>.</w:t>
            </w:r>
          </w:p>
          <w:p w:rsidR="007F0136" w:rsidRPr="00CB481C" w:rsidP="00496EE8">
            <w:pPr>
              <w:pStyle w:val="NormalWeb"/>
              <w:bidi w:val="0"/>
              <w:spacing w:before="0" w:beforeAutospacing="0" w:after="0" w:afterAutospacing="0" w:line="240" w:lineRule="auto"/>
              <w:jc w:val="both"/>
              <w:rPr>
                <w:rFonts w:ascii="Times New Roman" w:hAnsi="Times New Roman"/>
                <w:sz w:val="20"/>
                <w:szCs w:val="20"/>
              </w:rPr>
            </w:pPr>
          </w:p>
          <w:p w:rsidR="00496EE8" w:rsidRPr="00CB481C" w:rsidP="00496EE8">
            <w:pPr>
              <w:pStyle w:val="NormalWeb"/>
              <w:bidi w:val="0"/>
              <w:spacing w:before="0" w:beforeAutospacing="0" w:after="0" w:afterAutospacing="0" w:line="240" w:lineRule="auto"/>
              <w:jc w:val="both"/>
              <w:rPr>
                <w:rFonts w:ascii="Times New Roman" w:hAnsi="Times New Roman"/>
                <w:sz w:val="20"/>
                <w:szCs w:val="20"/>
              </w:rPr>
            </w:pPr>
            <w:r w:rsidRPr="00CB481C">
              <w:rPr>
                <w:rFonts w:ascii="Times New Roman" w:hAnsi="Times New Roman"/>
                <w:sz w:val="20"/>
                <w:szCs w:val="20"/>
              </w:rPr>
              <w:t>V prípade slnečnej tepelnej energie členské štáty podporujú využívanie zariadení a systémov, ktorým sa udelilo osvedčenie, založených na európskych normách, ak takéto normy existujú, vrátane environmentálnych a energetických označení a iných technických referenčných systémov vytvorených európskymi normalizačnými orgánmi.</w:t>
            </w:r>
          </w:p>
          <w:p w:rsidR="00496EE8" w:rsidRPr="00CB481C" w:rsidP="00496EE8">
            <w:pPr>
              <w:pStyle w:val="NormalWeb"/>
              <w:bidi w:val="0"/>
              <w:spacing w:before="0" w:beforeAutospacing="0" w:after="0" w:afterAutospacing="0" w:line="240" w:lineRule="auto"/>
              <w:jc w:val="both"/>
              <w:rPr>
                <w:rFonts w:ascii="Times New Roman" w:hAnsi="Times New Roman"/>
                <w:sz w:val="20"/>
                <w:szCs w:val="20"/>
              </w:rPr>
            </w:pPr>
          </w:p>
        </w:tc>
        <w:tc>
          <w:tcPr>
            <w:tcW w:w="557" w:type="dxa"/>
            <w:tcBorders>
              <w:top w:val="single" w:sz="4" w:space="0" w:color="auto"/>
              <w:left w:val="single" w:sz="4" w:space="0" w:color="auto"/>
              <w:bottom w:val="single" w:sz="4" w:space="0" w:color="auto"/>
              <w:right w:val="single" w:sz="4" w:space="0" w:color="auto"/>
            </w:tcBorders>
            <w:textDirection w:val="lrTb"/>
            <w:vAlign w:val="top"/>
          </w:tcPr>
          <w:p w:rsidR="00496EE8" w:rsidP="00496EE8">
            <w:pPr>
              <w:bidi w:val="0"/>
              <w:spacing w:after="0" w:line="240" w:lineRule="auto"/>
              <w:jc w:val="center"/>
              <w:rPr>
                <w:rFonts w:ascii="Times New Roman" w:hAnsi="Times New Roman"/>
                <w:sz w:val="20"/>
              </w:rPr>
            </w:pPr>
            <w:r w:rsidR="007F0136">
              <w:rPr>
                <w:rFonts w:ascii="Times New Roman" w:hAnsi="Times New Roman"/>
                <w:sz w:val="20"/>
              </w:rPr>
              <w:t>N</w:t>
            </w:r>
          </w:p>
        </w:tc>
        <w:tc>
          <w:tcPr>
            <w:tcW w:w="759" w:type="dxa"/>
            <w:tcBorders>
              <w:top w:val="single" w:sz="4" w:space="0" w:color="auto"/>
              <w:left w:val="single" w:sz="4" w:space="0" w:color="auto"/>
              <w:bottom w:val="single" w:sz="4" w:space="0" w:color="auto"/>
              <w:right w:val="single" w:sz="4" w:space="0" w:color="auto"/>
            </w:tcBorders>
            <w:textDirection w:val="lrTb"/>
            <w:vAlign w:val="top"/>
          </w:tcPr>
          <w:p w:rsidR="00792675" w:rsidRPr="00792675" w:rsidP="00792675">
            <w:pPr>
              <w:pStyle w:val="EnvelopeReturn"/>
              <w:bidi w:val="0"/>
              <w:spacing w:after="0" w:line="240" w:lineRule="auto"/>
              <w:jc w:val="center"/>
              <w:rPr>
                <w:rFonts w:ascii="Times New Roman" w:hAnsi="Times New Roman" w:cs="Times New Roman"/>
                <w:b/>
                <w:sz w:val="20"/>
                <w:szCs w:val="20"/>
                <w:lang w:eastAsia="sk-SK"/>
              </w:rPr>
            </w:pPr>
            <w:r w:rsidRPr="00792675">
              <w:rPr>
                <w:rFonts w:ascii="Times New Roman" w:hAnsi="Times New Roman" w:cs="Times New Roman"/>
                <w:b/>
                <w:sz w:val="20"/>
                <w:szCs w:val="20"/>
                <w:lang w:eastAsia="sk-SK"/>
              </w:rPr>
              <w:t>Návrh zákona</w:t>
            </w: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F0136" w:rsidP="00792675">
            <w:pPr>
              <w:pStyle w:val="EnvelopeReturn"/>
              <w:bidi w:val="0"/>
              <w:spacing w:after="0" w:line="240" w:lineRule="auto"/>
              <w:jc w:val="center"/>
              <w:rPr>
                <w:rFonts w:ascii="Times New Roman" w:hAnsi="Times New Roman" w:cs="Times New Roman"/>
                <w:sz w:val="20"/>
                <w:szCs w:val="20"/>
                <w:lang w:eastAsia="sk-SK"/>
              </w:rPr>
            </w:pPr>
          </w:p>
          <w:p w:rsidR="00792675" w:rsidRPr="00CB481C" w:rsidP="00792675">
            <w:pPr>
              <w:pStyle w:val="EnvelopeReturn"/>
              <w:bidi w:val="0"/>
              <w:spacing w:after="0" w:line="240" w:lineRule="auto"/>
              <w:jc w:val="center"/>
              <w:rPr>
                <w:rFonts w:ascii="Times New Roman" w:hAnsi="Times New Roman" w:cs="Times New Roman"/>
                <w:sz w:val="20"/>
                <w:szCs w:val="20"/>
                <w:lang w:eastAsia="sk-SK"/>
              </w:rPr>
            </w:pPr>
          </w:p>
          <w:p w:rsidR="00792675" w:rsidRPr="00CB481C" w:rsidP="00792675">
            <w:pPr>
              <w:pStyle w:val="EnvelopeReturn"/>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Z</w:t>
            </w:r>
            <w:r w:rsidRPr="00CB481C">
              <w:rPr>
                <w:rFonts w:ascii="Times New Roman" w:hAnsi="Times New Roman" w:cs="Times New Roman"/>
                <w:sz w:val="20"/>
                <w:szCs w:val="20"/>
                <w:lang w:eastAsia="sk-SK"/>
              </w:rPr>
              <w:t>ákon</w:t>
            </w:r>
            <w:r>
              <w:rPr>
                <w:rFonts w:ascii="Times New Roman" w:hAnsi="Times New Roman" w:cs="Times New Roman"/>
                <w:sz w:val="20"/>
                <w:szCs w:val="20"/>
                <w:lang w:eastAsia="sk-SK"/>
              </w:rPr>
              <w:t xml:space="preserve"> 71/2013 Z</w:t>
            </w:r>
            <w:r w:rsidR="007F0136">
              <w:rPr>
                <w:rFonts w:ascii="Times New Roman" w:hAnsi="Times New Roman" w:cs="Times New Roman"/>
                <w:sz w:val="20"/>
                <w:szCs w:val="20"/>
                <w:lang w:eastAsia="sk-SK"/>
              </w:rPr>
              <w:t>.</w:t>
            </w:r>
            <w:r>
              <w:rPr>
                <w:rFonts w:ascii="Times New Roman" w:hAnsi="Times New Roman" w:cs="Times New Roman"/>
                <w:sz w:val="20"/>
                <w:szCs w:val="20"/>
                <w:lang w:eastAsia="sk-SK"/>
              </w:rPr>
              <w:t>.z.</w:t>
            </w:r>
          </w:p>
          <w:p w:rsidR="00792675" w:rsidRPr="00CB481C" w:rsidP="00792675">
            <w:pPr>
              <w:pStyle w:val="EnvelopeReturn"/>
              <w:bidi w:val="0"/>
              <w:spacing w:after="0" w:line="240" w:lineRule="auto"/>
              <w:jc w:val="center"/>
              <w:rPr>
                <w:rFonts w:ascii="Times New Roman" w:hAnsi="Times New Roman" w:cs="Times New Roman"/>
                <w:sz w:val="20"/>
                <w:szCs w:val="20"/>
                <w:lang w:eastAsia="sk-SK"/>
              </w:rPr>
            </w:pPr>
          </w:p>
          <w:p w:rsidR="00496EE8" w:rsidP="00496EE8">
            <w:pPr>
              <w:bidi w:val="0"/>
              <w:spacing w:after="0" w:line="240" w:lineRule="auto"/>
              <w:jc w:val="center"/>
              <w:rPr>
                <w:rFonts w:ascii="Times New Roman" w:hAnsi="Times New Roman"/>
                <w:sz w:val="20"/>
              </w:rPr>
            </w:pP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792675" w:rsidRPr="00792675" w:rsidP="00792675">
            <w:pPr>
              <w:pStyle w:val="EnvelopeReturn"/>
              <w:bidi w:val="0"/>
              <w:spacing w:after="0" w:line="240" w:lineRule="auto"/>
              <w:jc w:val="center"/>
              <w:rPr>
                <w:rFonts w:ascii="Times New Roman" w:hAnsi="Times New Roman" w:cs="Times New Roman"/>
                <w:b/>
                <w:sz w:val="20"/>
                <w:szCs w:val="20"/>
                <w:lang w:eastAsia="sk-SK"/>
              </w:rPr>
            </w:pPr>
            <w:r w:rsidRPr="00792675">
              <w:rPr>
                <w:rFonts w:ascii="Times New Roman" w:hAnsi="Times New Roman" w:cs="Times New Roman"/>
                <w:b/>
                <w:sz w:val="20"/>
                <w:szCs w:val="20"/>
                <w:lang w:eastAsia="sk-SK"/>
              </w:rPr>
              <w:t>§: 3</w:t>
            </w:r>
          </w:p>
          <w:p w:rsidR="00792675" w:rsidRPr="00792675" w:rsidP="00792675">
            <w:pPr>
              <w:pStyle w:val="EnvelopeReturn"/>
              <w:bidi w:val="0"/>
              <w:spacing w:after="0" w:line="240" w:lineRule="auto"/>
              <w:jc w:val="center"/>
              <w:rPr>
                <w:rFonts w:ascii="Times New Roman" w:hAnsi="Times New Roman" w:cs="Times New Roman"/>
                <w:b/>
                <w:sz w:val="20"/>
                <w:szCs w:val="20"/>
                <w:lang w:eastAsia="sk-SK"/>
              </w:rPr>
            </w:pPr>
            <w:r w:rsidRPr="00792675">
              <w:rPr>
                <w:rFonts w:ascii="Times New Roman" w:hAnsi="Times New Roman" w:cs="Times New Roman"/>
                <w:b/>
                <w:sz w:val="20"/>
                <w:szCs w:val="20"/>
                <w:lang w:eastAsia="sk-SK"/>
              </w:rPr>
              <w:t>O:8</w:t>
            </w: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F0136"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P="00792675">
            <w:pPr>
              <w:pStyle w:val="EnvelopeReturn"/>
              <w:bidi w:val="0"/>
              <w:spacing w:after="0" w:line="240" w:lineRule="auto"/>
              <w:jc w:val="center"/>
              <w:rPr>
                <w:rFonts w:ascii="Times New Roman" w:hAnsi="Times New Roman" w:cs="Times New Roman"/>
                <w:sz w:val="20"/>
                <w:szCs w:val="20"/>
                <w:lang w:eastAsia="sk-SK"/>
              </w:rPr>
            </w:pPr>
          </w:p>
          <w:p w:rsidR="00792675" w:rsidRPr="00CB481C" w:rsidP="00792675">
            <w:pPr>
              <w:pStyle w:val="EnvelopeReturn"/>
              <w:bidi w:val="0"/>
              <w:spacing w:after="0" w:line="240" w:lineRule="auto"/>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 2</w:t>
            </w:r>
          </w:p>
          <w:p w:rsidR="00792675" w:rsidRPr="00CB481C" w:rsidP="00792675">
            <w:pPr>
              <w:pStyle w:val="EnvelopeReturn"/>
              <w:bidi w:val="0"/>
              <w:spacing w:after="0" w:line="240" w:lineRule="auto"/>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O:1</w:t>
            </w:r>
          </w:p>
          <w:p w:rsidR="00792675" w:rsidRPr="00CB481C" w:rsidP="00792675">
            <w:pPr>
              <w:pStyle w:val="EnvelopeReturn"/>
              <w:bidi w:val="0"/>
              <w:spacing w:after="0" w:line="240" w:lineRule="auto"/>
              <w:jc w:val="center"/>
              <w:rPr>
                <w:rFonts w:ascii="Times New Roman" w:hAnsi="Times New Roman" w:cs="Times New Roman"/>
                <w:sz w:val="20"/>
                <w:szCs w:val="20"/>
                <w:lang w:eastAsia="sk-SK"/>
              </w:rPr>
            </w:pPr>
          </w:p>
          <w:p w:rsidR="00792675" w:rsidRPr="00CB481C" w:rsidP="00792675">
            <w:pPr>
              <w:pStyle w:val="EnvelopeReturn"/>
              <w:bidi w:val="0"/>
              <w:spacing w:after="0" w:line="240" w:lineRule="auto"/>
              <w:jc w:val="center"/>
              <w:rPr>
                <w:rFonts w:ascii="Times New Roman" w:hAnsi="Times New Roman" w:cs="Times New Roman"/>
                <w:sz w:val="20"/>
                <w:szCs w:val="20"/>
                <w:lang w:eastAsia="sk-SK"/>
              </w:rPr>
            </w:pPr>
          </w:p>
          <w:p w:rsidR="00792675" w:rsidRPr="00CB481C" w:rsidP="00792675">
            <w:pPr>
              <w:pStyle w:val="EnvelopeReturn"/>
              <w:bidi w:val="0"/>
              <w:spacing w:after="0" w:line="240" w:lineRule="auto"/>
              <w:jc w:val="center"/>
              <w:rPr>
                <w:rFonts w:ascii="Times New Roman" w:hAnsi="Times New Roman" w:cs="Times New Roman"/>
                <w:sz w:val="20"/>
                <w:szCs w:val="20"/>
                <w:lang w:eastAsia="sk-SK"/>
              </w:rPr>
            </w:pPr>
          </w:p>
          <w:p w:rsidR="00792675" w:rsidRPr="00CB481C" w:rsidP="00792675">
            <w:pPr>
              <w:pStyle w:val="EnvelopeReturn"/>
              <w:bidi w:val="0"/>
              <w:spacing w:after="0" w:line="240" w:lineRule="auto"/>
              <w:jc w:val="center"/>
              <w:rPr>
                <w:rFonts w:ascii="Times New Roman" w:hAnsi="Times New Roman" w:cs="Times New Roman"/>
                <w:sz w:val="20"/>
                <w:szCs w:val="20"/>
                <w:lang w:eastAsia="sk-SK"/>
              </w:rPr>
            </w:pPr>
          </w:p>
          <w:p w:rsidR="00792675" w:rsidRPr="00CB481C" w:rsidP="00792675">
            <w:pPr>
              <w:pStyle w:val="EnvelopeReturn"/>
              <w:bidi w:val="0"/>
              <w:spacing w:after="0" w:line="240" w:lineRule="auto"/>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P:c</w:t>
            </w:r>
          </w:p>
          <w:p w:rsidR="00792675" w:rsidRPr="00CB481C" w:rsidP="00792675">
            <w:pPr>
              <w:pStyle w:val="EnvelopeReturn"/>
              <w:bidi w:val="0"/>
              <w:spacing w:after="0" w:line="240" w:lineRule="auto"/>
              <w:jc w:val="center"/>
              <w:rPr>
                <w:rFonts w:ascii="Times New Roman" w:hAnsi="Times New Roman" w:cs="Times New Roman"/>
                <w:sz w:val="20"/>
                <w:szCs w:val="20"/>
                <w:lang w:eastAsia="sk-SK"/>
              </w:rPr>
            </w:pPr>
          </w:p>
          <w:p w:rsidR="00792675" w:rsidRPr="00CB481C" w:rsidP="00792675">
            <w:pPr>
              <w:pStyle w:val="EnvelopeReturn"/>
              <w:bidi w:val="0"/>
              <w:spacing w:after="0" w:line="240" w:lineRule="auto"/>
              <w:jc w:val="center"/>
              <w:rPr>
                <w:rFonts w:ascii="Times New Roman" w:hAnsi="Times New Roman" w:cs="Times New Roman"/>
                <w:sz w:val="20"/>
                <w:szCs w:val="20"/>
                <w:lang w:eastAsia="sk-SK"/>
              </w:rPr>
            </w:pPr>
          </w:p>
          <w:p w:rsidR="00496EE8" w:rsidP="007F0136">
            <w:pPr>
              <w:pStyle w:val="EnvelopeReturn"/>
              <w:bidi w:val="0"/>
              <w:spacing w:after="0" w:line="240" w:lineRule="auto"/>
              <w:jc w:val="center"/>
              <w:rPr>
                <w:rFonts w:ascii="Times New Roman" w:hAnsi="Times New Roman"/>
                <w:sz w:val="20"/>
                <w:szCs w:val="20"/>
              </w:rPr>
            </w:pPr>
          </w:p>
        </w:tc>
        <w:tc>
          <w:tcPr>
            <w:tcW w:w="3299" w:type="dxa"/>
            <w:tcBorders>
              <w:top w:val="single" w:sz="4" w:space="0" w:color="auto"/>
              <w:left w:val="single" w:sz="4" w:space="0" w:color="auto"/>
              <w:bottom w:val="single" w:sz="4" w:space="0" w:color="auto"/>
              <w:right w:val="single" w:sz="4" w:space="0" w:color="auto"/>
            </w:tcBorders>
            <w:textDirection w:val="lrTb"/>
            <w:vAlign w:val="top"/>
          </w:tcPr>
          <w:p w:rsidR="00792675" w:rsidRPr="00792675" w:rsidP="00792675">
            <w:pPr>
              <w:tabs>
                <w:tab w:val="num" w:pos="426"/>
              </w:tabs>
              <w:bidi w:val="0"/>
              <w:spacing w:after="0" w:line="240" w:lineRule="auto"/>
              <w:jc w:val="both"/>
              <w:rPr>
                <w:rFonts w:ascii="Times New Roman" w:hAnsi="Times New Roman"/>
                <w:b/>
                <w:sz w:val="20"/>
              </w:rPr>
            </w:pPr>
            <w:r>
              <w:rPr>
                <w:rFonts w:ascii="Times New Roman" w:hAnsi="Times New Roman"/>
                <w:sz w:val="20"/>
              </w:rPr>
              <w:t>(</w:t>
            </w:r>
            <w:r w:rsidRPr="00792675">
              <w:rPr>
                <w:rFonts w:ascii="Times New Roman" w:hAnsi="Times New Roman"/>
                <w:b/>
                <w:sz w:val="20"/>
              </w:rPr>
              <w:t>8) Pri zariadení výrobcu elektriny využívajúce biomasu alebo produkt jej spracovania sa podpora podľa odseku 1 písm. c) vzťahuje v prípade nového zariadenia len  na množstvo vyrobenej elektriny z biomasy alebo produktu jej spracovania do 40 GWh vrátane. Na účely výpočtu sa podľa odseku 4 započíta množstvo elektriny vyrobenej vysoko účinnou kombinovanou výrobou určené podľa § 19 ods. 1 písm. a) a do výpočtu sa nezapočíta elektrina, ktorá je vyrobená</w:t>
            </w:r>
          </w:p>
          <w:p w:rsidR="00792675" w:rsidRPr="00792675" w:rsidP="00792675">
            <w:pPr>
              <w:tabs>
                <w:tab w:val="num" w:pos="426"/>
              </w:tabs>
              <w:bidi w:val="0"/>
              <w:spacing w:after="0" w:line="240" w:lineRule="auto"/>
              <w:jc w:val="both"/>
              <w:rPr>
                <w:rFonts w:ascii="Times New Roman" w:hAnsi="Times New Roman"/>
                <w:b/>
                <w:sz w:val="20"/>
              </w:rPr>
            </w:pPr>
            <w:r w:rsidRPr="00792675">
              <w:rPr>
                <w:rFonts w:ascii="Times New Roman" w:hAnsi="Times New Roman"/>
                <w:b/>
                <w:sz w:val="20"/>
              </w:rPr>
              <w:t>a) z biomasy, ktorá ako vstupná surovina pri spaľovaní alebo spoluspaľovaní alebo pri spracovaní na jej produkt nespĺňa parametre kvality podľa § 19 ods. 2 písm. h),</w:t>
            </w:r>
          </w:p>
          <w:p w:rsidR="00792675" w:rsidRPr="00792675" w:rsidP="00792675">
            <w:pPr>
              <w:tabs>
                <w:tab w:val="num" w:pos="426"/>
              </w:tabs>
              <w:bidi w:val="0"/>
              <w:spacing w:after="0" w:line="240" w:lineRule="auto"/>
              <w:jc w:val="both"/>
              <w:rPr>
                <w:rFonts w:ascii="Times New Roman" w:hAnsi="Times New Roman"/>
                <w:b/>
                <w:sz w:val="20"/>
              </w:rPr>
            </w:pPr>
            <w:r w:rsidRPr="00792675">
              <w:rPr>
                <w:rFonts w:ascii="Times New Roman" w:hAnsi="Times New Roman"/>
                <w:b/>
                <w:sz w:val="20"/>
              </w:rPr>
              <w:t>b) z biokvapaliny, ktorá nespĺňa kritériá trvalej udržateľnosti.</w:t>
            </w:r>
          </w:p>
          <w:p w:rsidR="00792675" w:rsidRPr="00835715" w:rsidP="00792675">
            <w:pPr>
              <w:pStyle w:val="FootnoteText"/>
              <w:bidi w:val="0"/>
              <w:spacing w:after="0" w:line="240" w:lineRule="auto"/>
              <w:rPr>
                <w:rFonts w:ascii="Times New Roman" w:hAnsi="Times New Roman"/>
              </w:rPr>
            </w:pPr>
          </w:p>
          <w:p w:rsidR="00792675" w:rsidRPr="00CB481C" w:rsidP="00792675">
            <w:pPr>
              <w:pStyle w:val="FootnoteText"/>
              <w:bidi w:val="0"/>
              <w:spacing w:after="0" w:line="240" w:lineRule="auto"/>
              <w:rPr>
                <w:rFonts w:ascii="Times New Roman" w:hAnsi="Times New Roman"/>
              </w:rPr>
            </w:pPr>
          </w:p>
          <w:p w:rsidR="00792675" w:rsidRPr="00CB481C" w:rsidP="00792675">
            <w:pPr>
              <w:pStyle w:val="FootnoteText"/>
              <w:bidi w:val="0"/>
              <w:spacing w:after="0" w:line="240" w:lineRule="auto"/>
              <w:rPr>
                <w:rFonts w:ascii="Times New Roman" w:hAnsi="Times New Roman"/>
              </w:rPr>
            </w:pPr>
          </w:p>
          <w:p w:rsidR="00792675" w:rsidRPr="00835715" w:rsidP="00792675">
            <w:pPr>
              <w:pStyle w:val="BodyTextIndent2"/>
              <w:bidi w:val="0"/>
              <w:spacing w:after="0" w:line="240" w:lineRule="auto"/>
              <w:ind w:left="74"/>
              <w:rPr>
                <w:rFonts w:ascii="Times New Roman" w:hAnsi="Times New Roman"/>
                <w:sz w:val="20"/>
              </w:rPr>
            </w:pPr>
            <w:r w:rsidRPr="00835715">
              <w:rPr>
                <w:rFonts w:ascii="Times New Roman" w:hAnsi="Times New Roman"/>
                <w:sz w:val="20"/>
              </w:rPr>
              <w:t>Dotáciu z rozpočtovej kapitoly ministerstva na príslušný rozpočtový  rok možno poskytnúť za podmienok ustanovených týmto zákonom a osobitným predpisom na podporu:</w:t>
            </w:r>
          </w:p>
          <w:p w:rsidR="00792675" w:rsidRPr="00CB481C" w:rsidP="00792675">
            <w:pPr>
              <w:pStyle w:val="FootnoteText"/>
              <w:bidi w:val="0"/>
              <w:spacing w:after="0" w:line="240" w:lineRule="auto"/>
              <w:rPr>
                <w:rFonts w:ascii="Times New Roman" w:hAnsi="Times New Roman"/>
              </w:rPr>
            </w:pPr>
            <w:r w:rsidRPr="00CB481C">
              <w:rPr>
                <w:rFonts w:ascii="Times New Roman" w:hAnsi="Times New Roman"/>
              </w:rPr>
              <w:t>..</w:t>
            </w:r>
          </w:p>
          <w:p w:rsidR="00496EE8" w:rsidRPr="00CB481C" w:rsidP="007F0136">
            <w:pPr>
              <w:pStyle w:val="FootnoteText"/>
              <w:bidi w:val="0"/>
              <w:spacing w:after="0" w:line="240" w:lineRule="auto"/>
              <w:rPr>
                <w:rFonts w:ascii="Times New Roman" w:hAnsi="Times New Roman"/>
              </w:rPr>
            </w:pPr>
            <w:r w:rsidRPr="00835715" w:rsidR="00792675">
              <w:rPr>
                <w:rFonts w:ascii="Times New Roman" w:hAnsi="Times New Roman"/>
              </w:rPr>
              <w:t>c) využíva</w:t>
            </w:r>
            <w:r w:rsidR="007F0136">
              <w:rPr>
                <w:rFonts w:ascii="Times New Roman" w:hAnsi="Times New Roman"/>
              </w:rPr>
              <w:t>nia biomasy a slnečnej energie,</w:t>
            </w: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496EE8" w:rsidP="00496EE8">
            <w:pPr>
              <w:bidi w:val="0"/>
              <w:spacing w:after="0" w:line="240" w:lineRule="auto"/>
              <w:rPr>
                <w:rFonts w:ascii="Times New Roman" w:hAnsi="Times New Roman"/>
                <w:sz w:val="20"/>
              </w:rPr>
            </w:pPr>
            <w:r w:rsidR="007F0136">
              <w:rPr>
                <w:rFonts w:ascii="Times New Roman" w:hAnsi="Times New Roman"/>
                <w:sz w:val="20"/>
              </w:rPr>
              <w:t>Ú</w:t>
            </w:r>
          </w:p>
        </w:tc>
        <w:tc>
          <w:tcPr>
            <w:tcW w:w="755" w:type="dxa"/>
            <w:tcBorders>
              <w:top w:val="single" w:sz="4" w:space="0" w:color="auto"/>
              <w:left w:val="single" w:sz="4" w:space="0" w:color="auto"/>
              <w:bottom w:val="single" w:sz="4" w:space="0" w:color="auto"/>
              <w:right w:val="single" w:sz="4" w:space="0" w:color="auto"/>
            </w:tcBorders>
            <w:textDirection w:val="lrTb"/>
            <w:vAlign w:val="top"/>
          </w:tcPr>
          <w:p w:rsidR="00496EE8" w:rsidRPr="00CB481C" w:rsidP="00496EE8">
            <w:pPr>
              <w:bidi w:val="0"/>
              <w:spacing w:after="0" w:line="240" w:lineRule="auto"/>
              <w:jc w:val="center"/>
              <w:rPr>
                <w:rFonts w:ascii="Times New Roman" w:hAnsi="Times New Roman"/>
                <w:sz w:val="20"/>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496EE8" w:rsidRPr="00CB481C" w:rsidP="00496EE8">
            <w:pPr>
              <w:bidi w:val="0"/>
              <w:spacing w:after="0" w:line="240" w:lineRule="auto"/>
              <w:jc w:val="center"/>
              <w:rPr>
                <w:rFonts w:ascii="Times New Roman" w:hAnsi="Times New Roman"/>
                <w:sz w:val="20"/>
              </w:rPr>
            </w:pPr>
          </w:p>
        </w:tc>
        <w:tc>
          <w:tcPr>
            <w:tcW w:w="743" w:type="dxa"/>
            <w:tcBorders>
              <w:top w:val="single" w:sz="4" w:space="0" w:color="auto"/>
              <w:left w:val="single" w:sz="4" w:space="0" w:color="auto"/>
              <w:bottom w:val="single" w:sz="4" w:space="0" w:color="auto"/>
              <w:right w:val="single" w:sz="4" w:space="0" w:color="auto"/>
            </w:tcBorders>
            <w:textDirection w:val="lrTb"/>
            <w:vAlign w:val="top"/>
          </w:tcPr>
          <w:p w:rsidR="00496EE8" w:rsidRPr="00CB481C" w:rsidP="00496EE8">
            <w:pPr>
              <w:bidi w:val="0"/>
              <w:spacing w:after="0" w:line="240" w:lineRule="auto"/>
              <w:jc w:val="center"/>
              <w:rPr>
                <w:rFonts w:ascii="Times New Roman" w:hAnsi="Times New Roman"/>
                <w:sz w:val="20"/>
              </w:rPr>
            </w:pPr>
          </w:p>
        </w:tc>
      </w:tr>
      <w:tr>
        <w:tblPrEx>
          <w:tblW w:w="14984" w:type="dxa"/>
          <w:tblInd w:w="-72" w:type="dxa"/>
          <w:tblLayout w:type="fixed"/>
          <w:tblCellMar>
            <w:left w:w="70" w:type="dxa"/>
            <w:right w:w="70" w:type="dxa"/>
          </w:tblCellMar>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7F0136" w:rsidRPr="00CB481C" w:rsidP="007F0136">
            <w:pPr>
              <w:bidi w:val="0"/>
              <w:spacing w:after="0" w:line="240" w:lineRule="auto"/>
              <w:jc w:val="center"/>
              <w:rPr>
                <w:rFonts w:ascii="Times New Roman" w:hAnsi="Times New Roman"/>
                <w:sz w:val="20"/>
              </w:rPr>
            </w:pPr>
            <w:r w:rsidRPr="00CB481C">
              <w:rPr>
                <w:rFonts w:ascii="Times New Roman" w:hAnsi="Times New Roman"/>
                <w:sz w:val="20"/>
              </w:rPr>
              <w:t>Č:17</w:t>
            </w:r>
          </w:p>
          <w:p w:rsidR="007F0136" w:rsidRPr="00CB481C" w:rsidP="007F0136">
            <w:pPr>
              <w:bidi w:val="0"/>
              <w:spacing w:after="0" w:line="240" w:lineRule="auto"/>
              <w:jc w:val="center"/>
              <w:rPr>
                <w:rFonts w:ascii="Times New Roman" w:hAnsi="Times New Roman"/>
                <w:sz w:val="20"/>
              </w:rPr>
            </w:pPr>
            <w:r w:rsidRPr="00CB481C">
              <w:rPr>
                <w:rFonts w:ascii="Times New Roman" w:hAnsi="Times New Roman"/>
                <w:sz w:val="20"/>
              </w:rPr>
              <w:t>O:1</w:t>
            </w:r>
          </w:p>
          <w:p w:rsidR="007F0136" w:rsidRPr="00CB481C" w:rsidP="007F0136">
            <w:pPr>
              <w:bidi w:val="0"/>
              <w:spacing w:after="0" w:line="240" w:lineRule="auto"/>
              <w:jc w:val="center"/>
              <w:rPr>
                <w:rFonts w:ascii="Times New Roman" w:hAnsi="Times New Roman"/>
                <w:sz w:val="20"/>
              </w:rPr>
            </w:pPr>
          </w:p>
          <w:p w:rsidR="007F0136" w:rsidP="007F0136">
            <w:pPr>
              <w:bidi w:val="0"/>
              <w:spacing w:after="0" w:line="240" w:lineRule="auto"/>
              <w:jc w:val="center"/>
              <w:rPr>
                <w:rFonts w:ascii="Times New Roman" w:hAnsi="Times New Roman"/>
                <w:sz w:val="20"/>
              </w:rPr>
            </w:pPr>
          </w:p>
          <w:p w:rsidR="007F0136" w:rsidRPr="00CB481C" w:rsidP="007F0136">
            <w:pPr>
              <w:bidi w:val="0"/>
              <w:spacing w:after="0" w:line="240" w:lineRule="auto"/>
              <w:jc w:val="center"/>
              <w:rPr>
                <w:rFonts w:ascii="Times New Roman" w:hAnsi="Times New Roman"/>
                <w:sz w:val="20"/>
              </w:rPr>
            </w:pPr>
          </w:p>
          <w:p w:rsidR="007F0136" w:rsidRPr="00CB481C" w:rsidP="007F0136">
            <w:pPr>
              <w:bidi w:val="0"/>
              <w:spacing w:after="0" w:line="240" w:lineRule="auto"/>
              <w:jc w:val="center"/>
              <w:rPr>
                <w:rFonts w:ascii="Times New Roman" w:hAnsi="Times New Roman"/>
                <w:sz w:val="20"/>
              </w:rPr>
            </w:pPr>
            <w:r w:rsidRPr="00CB481C">
              <w:rPr>
                <w:rFonts w:ascii="Times New Roman" w:hAnsi="Times New Roman"/>
                <w:sz w:val="20"/>
              </w:rPr>
              <w:t>V:a</w:t>
            </w:r>
          </w:p>
          <w:p w:rsidR="007F0136" w:rsidRPr="00CB481C" w:rsidP="007F0136">
            <w:pPr>
              <w:bidi w:val="0"/>
              <w:spacing w:after="0" w:line="240" w:lineRule="auto"/>
              <w:jc w:val="center"/>
              <w:rPr>
                <w:rFonts w:ascii="Times New Roman" w:hAnsi="Times New Roman"/>
                <w:sz w:val="20"/>
              </w:rPr>
            </w:pPr>
          </w:p>
          <w:p w:rsidR="007F0136" w:rsidRPr="00CB481C" w:rsidP="007F0136">
            <w:pPr>
              <w:bidi w:val="0"/>
              <w:spacing w:after="0" w:line="240" w:lineRule="auto"/>
              <w:jc w:val="center"/>
              <w:rPr>
                <w:rFonts w:ascii="Times New Roman" w:hAnsi="Times New Roman"/>
                <w:sz w:val="20"/>
              </w:rPr>
            </w:pPr>
          </w:p>
          <w:p w:rsidR="007F0136" w:rsidRPr="00CB481C" w:rsidP="007F0136">
            <w:pPr>
              <w:bidi w:val="0"/>
              <w:spacing w:after="0" w:line="240" w:lineRule="auto"/>
              <w:jc w:val="center"/>
              <w:rPr>
                <w:rFonts w:ascii="Times New Roman" w:hAnsi="Times New Roman"/>
                <w:sz w:val="20"/>
              </w:rPr>
            </w:pPr>
            <w:r w:rsidRPr="00CB481C">
              <w:rPr>
                <w:rFonts w:ascii="Times New Roman" w:hAnsi="Times New Roman"/>
                <w:sz w:val="20"/>
              </w:rPr>
              <w:t>V:b</w:t>
            </w:r>
          </w:p>
          <w:p w:rsidR="007F0136" w:rsidRPr="00CB481C" w:rsidP="007F0136">
            <w:pPr>
              <w:bidi w:val="0"/>
              <w:spacing w:after="0" w:line="240" w:lineRule="auto"/>
              <w:jc w:val="center"/>
              <w:rPr>
                <w:rFonts w:ascii="Times New Roman" w:hAnsi="Times New Roman"/>
                <w:sz w:val="20"/>
              </w:rPr>
            </w:pPr>
          </w:p>
          <w:p w:rsidR="007F0136" w:rsidRPr="00CB481C" w:rsidP="007F0136">
            <w:pPr>
              <w:bidi w:val="0"/>
              <w:spacing w:after="0" w:line="240" w:lineRule="auto"/>
              <w:jc w:val="center"/>
              <w:rPr>
                <w:rFonts w:ascii="Times New Roman" w:hAnsi="Times New Roman"/>
                <w:sz w:val="20"/>
              </w:rPr>
            </w:pPr>
          </w:p>
          <w:p w:rsidR="007F0136" w:rsidRPr="00CB481C" w:rsidP="007F0136">
            <w:pPr>
              <w:bidi w:val="0"/>
              <w:spacing w:after="0" w:line="240" w:lineRule="auto"/>
              <w:jc w:val="center"/>
              <w:rPr>
                <w:rFonts w:ascii="Times New Roman" w:hAnsi="Times New Roman"/>
                <w:sz w:val="20"/>
              </w:rPr>
            </w:pPr>
            <w:r w:rsidRPr="00CB481C">
              <w:rPr>
                <w:rFonts w:ascii="Times New Roman" w:hAnsi="Times New Roman"/>
                <w:sz w:val="20"/>
              </w:rPr>
              <w:t>V:c</w:t>
            </w:r>
          </w:p>
          <w:p w:rsidR="007F0136" w:rsidRPr="00CB481C" w:rsidP="00496EE8">
            <w:pPr>
              <w:bidi w:val="0"/>
              <w:spacing w:after="0" w:line="240" w:lineRule="auto"/>
              <w:jc w:val="center"/>
              <w:rPr>
                <w:rFonts w:ascii="Times New Roman" w:hAnsi="Times New Roman"/>
                <w:sz w:val="20"/>
              </w:rPr>
            </w:pPr>
          </w:p>
        </w:tc>
        <w:tc>
          <w:tcPr>
            <w:tcW w:w="5680" w:type="dxa"/>
            <w:tcBorders>
              <w:top w:val="single" w:sz="4" w:space="0" w:color="auto"/>
              <w:left w:val="single" w:sz="4" w:space="0" w:color="auto"/>
              <w:bottom w:val="single" w:sz="4" w:space="0" w:color="auto"/>
              <w:right w:val="single" w:sz="4" w:space="0" w:color="auto"/>
            </w:tcBorders>
            <w:textDirection w:val="lrTb"/>
            <w:vAlign w:val="top"/>
          </w:tcPr>
          <w:p w:rsidR="007F0136" w:rsidRPr="00CB481C" w:rsidP="007F0136">
            <w:pPr>
              <w:bidi w:val="0"/>
              <w:spacing w:after="0" w:line="240" w:lineRule="auto"/>
              <w:jc w:val="both"/>
              <w:rPr>
                <w:rFonts w:ascii="Times New Roman" w:hAnsi="Times New Roman"/>
                <w:sz w:val="20"/>
              </w:rPr>
            </w:pPr>
            <w:r w:rsidRPr="00CB481C">
              <w:rPr>
                <w:rFonts w:ascii="Times New Roman" w:hAnsi="Times New Roman"/>
                <w:sz w:val="20"/>
              </w:rPr>
              <w:t>Bez ohľadu na to, či sa suroviny vypestovali na území Spoločenstva alebo mimo neho, sa energia z biopalív a biokvapalín zohľadňuje na účely uvedené v písmenách a), b) a c), iba ak spĺňajú kritériá trvalej udržateľnosti uvedené v odsekoch 2 až 6:</w:t>
            </w:r>
          </w:p>
          <w:p w:rsidR="007F0136" w:rsidRPr="00CB481C" w:rsidP="007F0136">
            <w:pPr>
              <w:bidi w:val="0"/>
              <w:spacing w:after="0" w:line="240" w:lineRule="auto"/>
              <w:jc w:val="both"/>
              <w:rPr>
                <w:rFonts w:ascii="Times New Roman" w:hAnsi="Times New Roman"/>
                <w:sz w:val="20"/>
              </w:rPr>
            </w:pPr>
          </w:p>
          <w:p w:rsidR="007F0136" w:rsidRPr="00CB481C" w:rsidP="007F0136">
            <w:pPr>
              <w:bidi w:val="0"/>
              <w:spacing w:after="0" w:line="240" w:lineRule="auto"/>
              <w:jc w:val="both"/>
              <w:rPr>
                <w:rFonts w:ascii="Times New Roman" w:hAnsi="Times New Roman"/>
                <w:sz w:val="20"/>
              </w:rPr>
            </w:pPr>
            <w:r w:rsidRPr="00CB481C">
              <w:rPr>
                <w:rFonts w:ascii="Times New Roman" w:hAnsi="Times New Roman"/>
                <w:sz w:val="20"/>
              </w:rPr>
              <w:t>posudzovanie súladu s požiadavkami tejto smernice týkajúcimi sa národných cieľov,</w:t>
            </w:r>
          </w:p>
          <w:p w:rsidR="007F0136" w:rsidRPr="00CB481C" w:rsidP="007F0136">
            <w:pPr>
              <w:bidi w:val="0"/>
              <w:spacing w:after="0" w:line="240" w:lineRule="auto"/>
              <w:jc w:val="both"/>
              <w:rPr>
                <w:rFonts w:ascii="Times New Roman" w:hAnsi="Times New Roman"/>
                <w:sz w:val="20"/>
              </w:rPr>
            </w:pPr>
          </w:p>
          <w:p w:rsidR="007F0136" w:rsidRPr="00CB481C" w:rsidP="007F0136">
            <w:pPr>
              <w:bidi w:val="0"/>
              <w:spacing w:after="0" w:line="240" w:lineRule="auto"/>
              <w:jc w:val="both"/>
              <w:rPr>
                <w:rFonts w:ascii="Times New Roman" w:hAnsi="Times New Roman"/>
                <w:sz w:val="20"/>
              </w:rPr>
            </w:pPr>
            <w:r w:rsidRPr="00CB481C">
              <w:rPr>
                <w:rFonts w:ascii="Times New Roman" w:hAnsi="Times New Roman"/>
                <w:sz w:val="20"/>
              </w:rPr>
              <w:t>posudzovanie dodržiavania povinnosti využitia energie z obnoviteľných zdrojov energie,</w:t>
            </w:r>
          </w:p>
          <w:p w:rsidR="007F0136" w:rsidRPr="00CB481C" w:rsidP="007F0136">
            <w:pPr>
              <w:bidi w:val="0"/>
              <w:spacing w:after="0" w:line="240" w:lineRule="auto"/>
              <w:jc w:val="both"/>
              <w:rPr>
                <w:rFonts w:ascii="Times New Roman" w:hAnsi="Times New Roman"/>
                <w:sz w:val="20"/>
              </w:rPr>
            </w:pPr>
          </w:p>
          <w:p w:rsidR="007F0136" w:rsidRPr="00CB481C" w:rsidP="007F0136">
            <w:pPr>
              <w:bidi w:val="0"/>
              <w:spacing w:after="0" w:line="240" w:lineRule="auto"/>
              <w:jc w:val="both"/>
              <w:rPr>
                <w:rFonts w:ascii="Times New Roman" w:hAnsi="Times New Roman"/>
                <w:sz w:val="20"/>
              </w:rPr>
            </w:pPr>
            <w:r w:rsidRPr="00CB481C">
              <w:rPr>
                <w:rFonts w:ascii="Times New Roman" w:hAnsi="Times New Roman"/>
                <w:sz w:val="20"/>
              </w:rPr>
              <w:t>oprávnenosť na finančnú podporu na spotrebu biopalív a biokvapalín.</w:t>
            </w:r>
          </w:p>
          <w:p w:rsidR="007F0136" w:rsidRPr="00CB481C" w:rsidP="007F0136">
            <w:pPr>
              <w:bidi w:val="0"/>
              <w:spacing w:after="0" w:line="240" w:lineRule="auto"/>
              <w:jc w:val="both"/>
              <w:rPr>
                <w:rFonts w:ascii="Times New Roman" w:hAnsi="Times New Roman"/>
                <w:sz w:val="20"/>
              </w:rPr>
            </w:pPr>
          </w:p>
          <w:p w:rsidR="007F0136" w:rsidRPr="00CB481C" w:rsidP="00496EE8">
            <w:pPr>
              <w:pStyle w:val="NormalWeb"/>
              <w:bidi w:val="0"/>
              <w:spacing w:before="0" w:beforeAutospacing="0" w:after="0" w:afterAutospacing="0" w:line="240" w:lineRule="auto"/>
              <w:jc w:val="both"/>
              <w:rPr>
                <w:rFonts w:ascii="Times New Roman" w:hAnsi="Times New Roman"/>
                <w:sz w:val="20"/>
                <w:szCs w:val="20"/>
              </w:rPr>
            </w:pPr>
            <w:r w:rsidRPr="00CB481C">
              <w:rPr>
                <w:rFonts w:ascii="Times New Roman" w:hAnsi="Times New Roman"/>
                <w:sz w:val="20"/>
                <w:szCs w:val="20"/>
              </w:rPr>
              <w:t>Aby sa však na účely uvedené v písmenách a), b) a c) zohľadnili biopalivá a biokvapaliny vyrobené z odpadu a zvyškov, okrem poľnohospodárskych, akvakultúrnych, rybárskych a lesníckych zvyškov, stačí, ak spĺňajú kritériá trvalej ud</w:t>
            </w:r>
            <w:r>
              <w:rPr>
                <w:rFonts w:ascii="Times New Roman" w:hAnsi="Times New Roman"/>
                <w:sz w:val="20"/>
                <w:szCs w:val="20"/>
              </w:rPr>
              <w:t>ržateľnosti uvedené v odseku 2</w:t>
            </w:r>
          </w:p>
        </w:tc>
        <w:tc>
          <w:tcPr>
            <w:tcW w:w="557" w:type="dxa"/>
            <w:tcBorders>
              <w:top w:val="single" w:sz="4" w:space="0" w:color="auto"/>
              <w:left w:val="single" w:sz="4" w:space="0" w:color="auto"/>
              <w:bottom w:val="single" w:sz="4" w:space="0" w:color="auto"/>
              <w:right w:val="single" w:sz="4" w:space="0" w:color="auto"/>
            </w:tcBorders>
            <w:textDirection w:val="lrTb"/>
            <w:vAlign w:val="top"/>
          </w:tcPr>
          <w:p w:rsidR="007F0136" w:rsidP="00496EE8">
            <w:pPr>
              <w:bidi w:val="0"/>
              <w:spacing w:after="0" w:line="240" w:lineRule="auto"/>
              <w:jc w:val="center"/>
              <w:rPr>
                <w:rFonts w:ascii="Times New Roman" w:hAnsi="Times New Roman"/>
                <w:sz w:val="20"/>
              </w:rPr>
            </w:pPr>
          </w:p>
        </w:tc>
        <w:tc>
          <w:tcPr>
            <w:tcW w:w="759" w:type="dxa"/>
            <w:tcBorders>
              <w:top w:val="single" w:sz="4" w:space="0" w:color="auto"/>
              <w:left w:val="single" w:sz="4" w:space="0" w:color="auto"/>
              <w:bottom w:val="single" w:sz="4" w:space="0" w:color="auto"/>
              <w:right w:val="single" w:sz="4" w:space="0" w:color="auto"/>
            </w:tcBorders>
            <w:textDirection w:val="lrTb"/>
            <w:vAlign w:val="top"/>
          </w:tcPr>
          <w:p w:rsidR="007F0136" w:rsidRPr="00792675" w:rsidP="009D64E2">
            <w:pPr>
              <w:pStyle w:val="EnvelopeReturn"/>
              <w:bidi w:val="0"/>
              <w:spacing w:after="0" w:line="240" w:lineRule="auto"/>
              <w:jc w:val="center"/>
              <w:rPr>
                <w:rFonts w:ascii="Times New Roman" w:hAnsi="Times New Roman" w:cs="Times New Roman"/>
                <w:b/>
                <w:sz w:val="20"/>
                <w:szCs w:val="20"/>
                <w:lang w:eastAsia="sk-SK"/>
              </w:rPr>
            </w:pPr>
            <w:r w:rsidRPr="00792675">
              <w:rPr>
                <w:rFonts w:ascii="Times New Roman" w:hAnsi="Times New Roman" w:cs="Times New Roman"/>
                <w:b/>
                <w:sz w:val="20"/>
                <w:szCs w:val="20"/>
                <w:lang w:eastAsia="sk-SK"/>
              </w:rPr>
              <w:t>Návrh zákona</w:t>
            </w: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Zákon 309/2009</w:t>
            </w:r>
          </w:p>
          <w:p w:rsidR="007F0136" w:rsidP="007F0136">
            <w:pPr>
              <w:pStyle w:val="EnvelopeReturn"/>
              <w:bidi w:val="0"/>
              <w:spacing w:after="0" w:line="240" w:lineRule="auto"/>
              <w:jc w:val="center"/>
              <w:rPr>
                <w:sz w:val="20"/>
              </w:rPr>
            </w:pPr>
          </w:p>
          <w:p w:rsidR="007F0136" w:rsidRPr="00792675" w:rsidP="007F0136">
            <w:pPr>
              <w:pStyle w:val="EnvelopeReturn"/>
              <w:bidi w:val="0"/>
              <w:spacing w:after="0" w:line="240" w:lineRule="auto"/>
              <w:jc w:val="center"/>
              <w:rPr>
                <w:rFonts w:ascii="Times New Roman" w:hAnsi="Times New Roman" w:cs="Times New Roman"/>
                <w:b/>
                <w:sz w:val="20"/>
                <w:szCs w:val="20"/>
                <w:lang w:eastAsia="sk-SK"/>
              </w:rPr>
            </w:pPr>
            <w:r w:rsidRPr="00792675">
              <w:rPr>
                <w:rFonts w:ascii="Times New Roman" w:hAnsi="Times New Roman" w:cs="Times New Roman"/>
                <w:b/>
                <w:sz w:val="20"/>
                <w:szCs w:val="20"/>
                <w:lang w:eastAsia="sk-SK"/>
              </w:rPr>
              <w:t>Návrh zákona</w:t>
            </w:r>
          </w:p>
          <w:p w:rsidR="007F0136" w:rsidP="007F0136">
            <w:pPr>
              <w:pStyle w:val="EnvelopeReturn"/>
              <w:bidi w:val="0"/>
              <w:spacing w:after="0" w:line="240" w:lineRule="auto"/>
              <w:jc w:val="center"/>
              <w:rPr>
                <w:sz w:val="20"/>
              </w:rPr>
            </w:pP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7F0136" w:rsidRPr="00792675" w:rsidP="009D64E2">
            <w:pPr>
              <w:pStyle w:val="EnvelopeReturn"/>
              <w:bidi w:val="0"/>
              <w:spacing w:after="0" w:line="240" w:lineRule="auto"/>
              <w:jc w:val="center"/>
              <w:rPr>
                <w:rFonts w:ascii="Times New Roman" w:hAnsi="Times New Roman" w:cs="Times New Roman"/>
                <w:b/>
                <w:sz w:val="20"/>
                <w:szCs w:val="20"/>
                <w:lang w:eastAsia="sk-SK"/>
              </w:rPr>
            </w:pPr>
            <w:r w:rsidRPr="00792675">
              <w:rPr>
                <w:rFonts w:ascii="Times New Roman" w:hAnsi="Times New Roman" w:cs="Times New Roman"/>
                <w:b/>
                <w:sz w:val="20"/>
                <w:szCs w:val="20"/>
                <w:lang w:eastAsia="sk-SK"/>
              </w:rPr>
              <w:t>§: 3</w:t>
            </w:r>
          </w:p>
          <w:p w:rsidR="007F0136" w:rsidRPr="00792675" w:rsidP="009D64E2">
            <w:pPr>
              <w:pStyle w:val="EnvelopeReturn"/>
              <w:bidi w:val="0"/>
              <w:spacing w:after="0" w:line="240" w:lineRule="auto"/>
              <w:jc w:val="center"/>
              <w:rPr>
                <w:rFonts w:ascii="Times New Roman" w:hAnsi="Times New Roman" w:cs="Times New Roman"/>
                <w:b/>
                <w:sz w:val="20"/>
                <w:szCs w:val="20"/>
                <w:lang w:eastAsia="sk-SK"/>
              </w:rPr>
            </w:pPr>
            <w:r w:rsidRPr="00792675">
              <w:rPr>
                <w:rFonts w:ascii="Times New Roman" w:hAnsi="Times New Roman" w:cs="Times New Roman"/>
                <w:b/>
                <w:sz w:val="20"/>
                <w:szCs w:val="20"/>
                <w:lang w:eastAsia="sk-SK"/>
              </w:rPr>
              <w:t>O:8</w:t>
            </w: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RPr="00CB481C" w:rsidP="007F0136">
            <w:pPr>
              <w:pStyle w:val="EnvelopeReturn"/>
              <w:bidi w:val="0"/>
              <w:spacing w:after="0" w:line="240" w:lineRule="auto"/>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§:6, O:2, P:e</w:t>
            </w:r>
          </w:p>
          <w:p w:rsidR="007F0136" w:rsidP="009D64E2">
            <w:pPr>
              <w:pStyle w:val="EnvelopeReturn"/>
              <w:bidi w:val="0"/>
              <w:spacing w:after="0" w:line="240" w:lineRule="auto"/>
              <w:jc w:val="center"/>
              <w:rPr>
                <w:rFonts w:ascii="Times New Roman" w:hAnsi="Times New Roman" w:cs="Times New Roman"/>
                <w:sz w:val="20"/>
                <w:szCs w:val="20"/>
                <w:lang w:eastAsia="sk-SK"/>
              </w:rPr>
            </w:pPr>
          </w:p>
          <w:p w:rsidR="007F0136" w:rsidRPr="00DD766A" w:rsidP="009D64E2">
            <w:pPr>
              <w:pStyle w:val="EnvelopeReturn"/>
              <w:bidi w:val="0"/>
              <w:spacing w:after="0" w:line="240" w:lineRule="auto"/>
              <w:jc w:val="center"/>
              <w:rPr>
                <w:rFonts w:ascii="Times New Roman" w:hAnsi="Times New Roman" w:cs="Times New Roman"/>
                <w:b/>
                <w:sz w:val="20"/>
                <w:szCs w:val="20"/>
                <w:lang w:eastAsia="sk-SK"/>
              </w:rPr>
            </w:pPr>
            <w:r w:rsidRPr="00DD766A">
              <w:rPr>
                <w:rFonts w:ascii="Times New Roman" w:hAnsi="Times New Roman" w:cs="Times New Roman"/>
                <w:b/>
                <w:sz w:val="20"/>
                <w:szCs w:val="20"/>
                <w:lang w:eastAsia="sk-SK"/>
              </w:rPr>
              <w:t>§:14a</w:t>
            </w:r>
          </w:p>
          <w:p w:rsidR="007F0136" w:rsidRPr="00DD766A" w:rsidP="009D64E2">
            <w:pPr>
              <w:pStyle w:val="EnvelopeReturn"/>
              <w:bidi w:val="0"/>
              <w:spacing w:after="0" w:line="240" w:lineRule="auto"/>
              <w:jc w:val="center"/>
              <w:rPr>
                <w:rFonts w:ascii="Times New Roman" w:hAnsi="Times New Roman" w:cs="Times New Roman"/>
                <w:b/>
                <w:sz w:val="20"/>
                <w:szCs w:val="20"/>
                <w:lang w:eastAsia="sk-SK"/>
              </w:rPr>
            </w:pPr>
            <w:r w:rsidRPr="00DD766A">
              <w:rPr>
                <w:rFonts w:ascii="Times New Roman" w:hAnsi="Times New Roman" w:cs="Times New Roman"/>
                <w:b/>
                <w:sz w:val="20"/>
                <w:szCs w:val="20"/>
                <w:lang w:eastAsia="sk-SK"/>
              </w:rPr>
              <w:t>O:9</w:t>
            </w:r>
          </w:p>
          <w:p w:rsidR="007F0136" w:rsidP="007F0136">
            <w:pPr>
              <w:pStyle w:val="EnvelopeReturn"/>
              <w:bidi w:val="0"/>
              <w:spacing w:after="0" w:line="240" w:lineRule="auto"/>
              <w:rPr>
                <w:rFonts w:ascii="Times New Roman" w:hAnsi="Times New Roman"/>
                <w:sz w:val="20"/>
                <w:szCs w:val="20"/>
              </w:rPr>
            </w:pPr>
          </w:p>
        </w:tc>
        <w:tc>
          <w:tcPr>
            <w:tcW w:w="3299" w:type="dxa"/>
            <w:tcBorders>
              <w:top w:val="single" w:sz="4" w:space="0" w:color="auto"/>
              <w:left w:val="single" w:sz="4" w:space="0" w:color="auto"/>
              <w:bottom w:val="single" w:sz="4" w:space="0" w:color="auto"/>
              <w:right w:val="single" w:sz="4" w:space="0" w:color="auto"/>
            </w:tcBorders>
            <w:textDirection w:val="lrTb"/>
            <w:vAlign w:val="top"/>
          </w:tcPr>
          <w:p w:rsidR="007F0136" w:rsidRPr="00835715" w:rsidP="007F0136">
            <w:pPr>
              <w:tabs>
                <w:tab w:val="num" w:pos="0"/>
              </w:tabs>
              <w:bidi w:val="0"/>
              <w:spacing w:after="0" w:line="240" w:lineRule="auto"/>
              <w:ind w:left="16"/>
              <w:jc w:val="both"/>
              <w:rPr>
                <w:rFonts w:ascii="Times New Roman" w:hAnsi="Times New Roman"/>
                <w:b/>
                <w:sz w:val="20"/>
              </w:rPr>
            </w:pPr>
            <w:r w:rsidRPr="00835715">
              <w:rPr>
                <w:rFonts w:ascii="Times New Roman" w:hAnsi="Times New Roman"/>
                <w:b/>
                <w:sz w:val="20"/>
              </w:rPr>
              <w:t>Pri zariadení výrobcu elektriny využívajúce biomasu alebo produkt jej spracovania sa podpora podľa odseku 1 písm. c) vzťahuje v prípade nového zariadenia len  na množstvo vyrobenej elektriny z biomasy alebo produktu jej spracovania do 40 GWh vrátane. Na účely výpočtu sa podľa odseku 4 započíta množstvo elektriny vyrobenej vysoko účinnou kombinovanou výrobou určené podľa § 19 ods. 1 písm. a) a do výpočtu sa nezapočíta elektrina, ktorá je vyrobená</w:t>
            </w:r>
          </w:p>
          <w:p w:rsidR="007F0136" w:rsidRPr="00835715" w:rsidP="007F0136">
            <w:pPr>
              <w:tabs>
                <w:tab w:val="num" w:pos="426"/>
              </w:tabs>
              <w:bidi w:val="0"/>
              <w:spacing w:after="0" w:line="240" w:lineRule="auto"/>
              <w:jc w:val="both"/>
              <w:rPr>
                <w:rFonts w:ascii="Times New Roman" w:hAnsi="Times New Roman"/>
                <w:b/>
                <w:sz w:val="20"/>
              </w:rPr>
            </w:pPr>
            <w:r w:rsidRPr="00835715">
              <w:rPr>
                <w:rFonts w:ascii="Times New Roman" w:hAnsi="Times New Roman"/>
                <w:b/>
                <w:sz w:val="20"/>
              </w:rPr>
              <w:t>a) z biomasy, ktorá ako vstupná surovina pri spaľovaní alebo spoluspaľovaní alebo pri spracovaní na jej produkt nespĺňa parametre kvality podľa § 19 ods. 2 písm. h),</w:t>
            </w:r>
          </w:p>
          <w:p w:rsidR="007F0136" w:rsidRPr="00835715" w:rsidP="007F0136">
            <w:pPr>
              <w:tabs>
                <w:tab w:val="num" w:pos="426"/>
              </w:tabs>
              <w:bidi w:val="0"/>
              <w:spacing w:after="0" w:line="240" w:lineRule="auto"/>
              <w:jc w:val="both"/>
              <w:rPr>
                <w:rFonts w:ascii="Times New Roman" w:hAnsi="Times New Roman"/>
                <w:b/>
                <w:sz w:val="20"/>
              </w:rPr>
            </w:pPr>
            <w:r w:rsidRPr="00835715">
              <w:rPr>
                <w:rFonts w:ascii="Times New Roman" w:hAnsi="Times New Roman"/>
                <w:b/>
                <w:sz w:val="20"/>
              </w:rPr>
              <w:t>b) z biokvapaliny, ktorá nespĺňa kritériá trvalej udržateľnosti.</w:t>
            </w:r>
          </w:p>
          <w:p w:rsidR="007F0136" w:rsidRPr="00835715" w:rsidP="007F0136">
            <w:pPr>
              <w:pStyle w:val="FootnoteText"/>
              <w:bidi w:val="0"/>
              <w:spacing w:after="0" w:line="240" w:lineRule="auto"/>
              <w:rPr>
                <w:rFonts w:ascii="Times New Roman" w:hAnsi="Times New Roman"/>
              </w:rPr>
            </w:pPr>
          </w:p>
          <w:p w:rsidR="007F0136" w:rsidRPr="00CB481C" w:rsidP="007F0136">
            <w:pPr>
              <w:pStyle w:val="FootnoteText"/>
              <w:bidi w:val="0"/>
              <w:spacing w:after="0" w:line="240" w:lineRule="auto"/>
              <w:rPr>
                <w:rFonts w:ascii="Times New Roman" w:hAnsi="Times New Roman"/>
              </w:rPr>
            </w:pPr>
            <w:r w:rsidRPr="00CB481C">
              <w:rPr>
                <w:rFonts w:ascii="Times New Roman" w:hAnsi="Times New Roman"/>
              </w:rPr>
              <w:t>e) plnenie kritérií trvalej udržateľnosti, ak sa na výrobu elektriny použila biokvapalina.</w:t>
            </w:r>
          </w:p>
          <w:p w:rsidR="007F0136" w:rsidP="00496EE8">
            <w:pPr>
              <w:pStyle w:val="FootnoteText"/>
              <w:bidi w:val="0"/>
              <w:spacing w:after="0" w:line="240" w:lineRule="auto"/>
              <w:rPr>
                <w:rFonts w:ascii="Times New Roman" w:hAnsi="Times New Roman"/>
              </w:rPr>
            </w:pPr>
          </w:p>
          <w:p w:rsidR="007F0136" w:rsidRPr="00DD766A" w:rsidP="00496EE8">
            <w:pPr>
              <w:pStyle w:val="FootnoteText"/>
              <w:bidi w:val="0"/>
              <w:spacing w:after="0" w:line="240" w:lineRule="auto"/>
              <w:rPr>
                <w:rFonts w:ascii="Times New Roman" w:hAnsi="Times New Roman"/>
                <w:b/>
              </w:rPr>
            </w:pPr>
            <w:r w:rsidRPr="00DD766A" w:rsidR="00DD766A">
              <w:rPr>
                <w:rFonts w:ascii="Times New Roman" w:hAnsi="Times New Roman"/>
                <w:b/>
              </w:rPr>
              <w:t>9) Na účely plnenia povinností podľa odseku 1 a 3 sa započítavajú len biopalivá, ktoré spĺňajú kritériá trvalej udržateľnosti podľa § 19b ods. 1 písm. a)</w:t>
            </w: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7F0136" w:rsidP="00496EE8">
            <w:pPr>
              <w:bidi w:val="0"/>
              <w:spacing w:after="0" w:line="240" w:lineRule="auto"/>
              <w:rPr>
                <w:rFonts w:ascii="Times New Roman" w:hAnsi="Times New Roman"/>
                <w:sz w:val="20"/>
              </w:rPr>
            </w:pPr>
            <w:r w:rsidR="002616F5">
              <w:rPr>
                <w:rFonts w:ascii="Times New Roman" w:hAnsi="Times New Roman"/>
                <w:sz w:val="20"/>
              </w:rPr>
              <w:t>Ú</w:t>
            </w:r>
          </w:p>
        </w:tc>
        <w:tc>
          <w:tcPr>
            <w:tcW w:w="755" w:type="dxa"/>
            <w:tcBorders>
              <w:top w:val="single" w:sz="4" w:space="0" w:color="auto"/>
              <w:left w:val="single" w:sz="4" w:space="0" w:color="auto"/>
              <w:bottom w:val="single" w:sz="4" w:space="0" w:color="auto"/>
              <w:right w:val="single" w:sz="4" w:space="0" w:color="auto"/>
            </w:tcBorders>
            <w:textDirection w:val="lrTb"/>
            <w:vAlign w:val="top"/>
          </w:tcPr>
          <w:p w:rsidR="007F0136" w:rsidRPr="00CB481C" w:rsidP="00496EE8">
            <w:pPr>
              <w:bidi w:val="0"/>
              <w:spacing w:after="0" w:line="240" w:lineRule="auto"/>
              <w:jc w:val="center"/>
              <w:rPr>
                <w:rFonts w:ascii="Times New Roman" w:hAnsi="Times New Roman"/>
                <w:sz w:val="20"/>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7F0136" w:rsidRPr="00CB481C" w:rsidP="00496EE8">
            <w:pPr>
              <w:bidi w:val="0"/>
              <w:spacing w:after="0" w:line="240" w:lineRule="auto"/>
              <w:jc w:val="center"/>
              <w:rPr>
                <w:rFonts w:ascii="Times New Roman" w:hAnsi="Times New Roman"/>
                <w:sz w:val="20"/>
              </w:rPr>
            </w:pPr>
          </w:p>
        </w:tc>
        <w:tc>
          <w:tcPr>
            <w:tcW w:w="743" w:type="dxa"/>
            <w:tcBorders>
              <w:top w:val="single" w:sz="4" w:space="0" w:color="auto"/>
              <w:left w:val="single" w:sz="4" w:space="0" w:color="auto"/>
              <w:bottom w:val="single" w:sz="4" w:space="0" w:color="auto"/>
              <w:right w:val="single" w:sz="4" w:space="0" w:color="auto"/>
            </w:tcBorders>
            <w:textDirection w:val="lrTb"/>
            <w:vAlign w:val="top"/>
          </w:tcPr>
          <w:p w:rsidR="007F0136" w:rsidRPr="00CB481C" w:rsidP="00496EE8">
            <w:pPr>
              <w:bidi w:val="0"/>
              <w:spacing w:after="0" w:line="240" w:lineRule="auto"/>
              <w:jc w:val="center"/>
              <w:rPr>
                <w:rFonts w:ascii="Times New Roman" w:hAnsi="Times New Roman"/>
                <w:sz w:val="20"/>
              </w:rPr>
            </w:pPr>
          </w:p>
        </w:tc>
      </w:tr>
    </w:tbl>
    <w:p w:rsidR="00223A5D">
      <w:pPr>
        <w:bidi w:val="0"/>
        <w:rPr>
          <w:rFonts w:ascii="Times New Roman" w:hAnsi="Times New Roman"/>
        </w:rPr>
      </w:pPr>
    </w:p>
    <w:sectPr w:rsidSect="00944BB5">
      <w:pgSz w:w="16838" w:h="11906" w:orient="landscape"/>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AT* New Century Schoolbook">
    <w:altName w:val="Courier New"/>
    <w:panose1 w:val="00000000000000000000"/>
    <w:charset w:val="00"/>
    <w:family w:val="swiss"/>
    <w:pitch w:val="variable"/>
    <w:sig w:usb0="00000000" w:usb1="00000000" w:usb2="00000000" w:usb3="00000000" w:csb0="00000001" w:csb1="00000000"/>
  </w:font>
  <w:font w:name="EUAlbertina">
    <w:altName w:val="Times New Roman"/>
    <w:panose1 w:val="00000000000000000000"/>
    <w:charset w:val="EE"/>
    <w:family w:val="roman"/>
    <w:pitch w:val="default"/>
    <w:sig w:usb0="00000000" w:usb1="00000000" w:usb2="00000000" w:usb3="00000000" w:csb0="00000003"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10C" w:rsidP="00496EE8">
      <w:pPr>
        <w:bidi w:val="0"/>
        <w:rPr>
          <w:rFonts w:ascii="Times New Roman" w:hAnsi="Times New Roman"/>
        </w:rPr>
      </w:pPr>
      <w:r>
        <w:rPr>
          <w:rFonts w:ascii="Times New Roman" w:hAnsi="Times New Roman"/>
        </w:rPr>
        <w:separator/>
      </w:r>
    </w:p>
  </w:footnote>
  <w:footnote w:type="continuationSeparator" w:id="1">
    <w:p w:rsidR="006D510C" w:rsidP="00496EE8">
      <w:pPr>
        <w:bidi w:val="0"/>
        <w:rPr>
          <w:rFonts w:ascii="Times New Roman" w:hAnsi="Times New Roman"/>
        </w:rPr>
      </w:pPr>
      <w:r>
        <w:rPr>
          <w:rFonts w:ascii="Times New Roman" w:hAnsi="Times New Roman"/>
        </w:rPr>
        <w:continuationSeparator/>
      </w:r>
    </w:p>
  </w:footnote>
  <w:footnote w:id="2">
    <w:p w:rsidR="00496EE8">
      <w:pPr>
        <w:bidi w:val="0"/>
        <w:spacing w:after="0" w:line="240" w:lineRule="auto"/>
        <w:rPr>
          <w:rFonts w:ascii="Times New Roman" w:hAnsi="Times New Roman"/>
        </w:rPr>
      </w:pPr>
    </w:p>
    <w:p>
      <w:pPr>
        <w:bidi w:val="0"/>
        <w:spacing w:after="0" w:line="240" w:lineRule="auto"/>
        <w:rPr>
          <w:rFonts w:ascii="Times New Roman" w:hAnsi="Times New Roman"/>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944BB5"/>
    <w:rsid w:val="00036CE3"/>
    <w:rsid w:val="000C35E9"/>
    <w:rsid w:val="00144790"/>
    <w:rsid w:val="001E3141"/>
    <w:rsid w:val="00223A5D"/>
    <w:rsid w:val="002616F5"/>
    <w:rsid w:val="002B1173"/>
    <w:rsid w:val="00496EE8"/>
    <w:rsid w:val="006D510C"/>
    <w:rsid w:val="00792675"/>
    <w:rsid w:val="007F0136"/>
    <w:rsid w:val="00835715"/>
    <w:rsid w:val="00944BB5"/>
    <w:rsid w:val="009D64E2"/>
    <w:rsid w:val="00CB481C"/>
    <w:rsid w:val="00DD766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return" w:uiPriority="0"/>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BB5"/>
    <w:pPr>
      <w:framePr w:wrap="auto"/>
      <w:widowControl/>
      <w:autoSpaceDE/>
      <w:autoSpaceDN/>
      <w:adjustRightInd/>
      <w:ind w:left="0" w:right="0"/>
      <w:jc w:val="left"/>
      <w:textAlignment w:val="auto"/>
    </w:pPr>
    <w:rPr>
      <w:rFonts w:cs="Times New Roman"/>
      <w:sz w:val="24"/>
      <w:szCs w:val="20"/>
      <w:rtl w:val="0"/>
      <w:cs w:val="0"/>
      <w:lang w:val="sk-SK" w:eastAsia="sk-SK" w:bidi="ar-SA"/>
    </w:rPr>
  </w:style>
  <w:style w:type="paragraph" w:styleId="Heading1">
    <w:name w:val="heading 1"/>
    <w:basedOn w:val="Normal"/>
    <w:next w:val="Normal"/>
    <w:link w:val="Heading1Char"/>
    <w:qFormat/>
    <w:rsid w:val="00944BB5"/>
    <w:pPr>
      <w:keepNext/>
      <w:spacing w:before="120" w:after="120"/>
      <w:jc w:val="both"/>
      <w:outlineLvl w:val="0"/>
    </w:pPr>
    <w:rPr>
      <w:b/>
    </w:rPr>
  </w:style>
  <w:style w:type="paragraph" w:styleId="Heading4">
    <w:name w:val="heading 4"/>
    <w:basedOn w:val="Normal"/>
    <w:next w:val="Normal"/>
    <w:link w:val="Heading4Char"/>
    <w:qFormat/>
    <w:rsid w:val="00944BB5"/>
    <w:pPr>
      <w:keepNext/>
      <w:jc w:val="both"/>
      <w:outlineLvl w:val="3"/>
    </w:pPr>
    <w:rPr>
      <w:b/>
      <w:bCs/>
      <w:sz w:val="20"/>
    </w:rPr>
  </w:style>
  <w:style w:type="paragraph" w:styleId="Heading8">
    <w:name w:val="heading 8"/>
    <w:basedOn w:val="Normal"/>
    <w:next w:val="Normal"/>
    <w:link w:val="Heading8Char"/>
    <w:qFormat/>
    <w:rsid w:val="00944BB5"/>
    <w:pPr>
      <w:keepNext/>
      <w:jc w:val="center"/>
      <w:outlineLvl w:val="7"/>
    </w:pPr>
    <w:rPr>
      <w:sz w:val="28"/>
      <w:szCs w:val="28"/>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locked/>
    <w:rsid w:val="00944BB5"/>
    <w:rPr>
      <w:rFonts w:ascii="Times New Roman" w:hAnsi="Times New Roman" w:cs="Times New Roman"/>
      <w:b/>
      <w:sz w:val="20"/>
      <w:szCs w:val="20"/>
      <w:rtl w:val="0"/>
      <w:cs w:val="0"/>
      <w:lang w:val="x-none" w:eastAsia="sk-SK"/>
    </w:rPr>
  </w:style>
  <w:style w:type="character" w:customStyle="1" w:styleId="Heading4Char">
    <w:name w:val="Heading 4 Char"/>
    <w:basedOn w:val="DefaultParagraphFont"/>
    <w:link w:val="Heading4"/>
    <w:locked/>
    <w:rsid w:val="00944BB5"/>
    <w:rPr>
      <w:rFonts w:ascii="Times New Roman" w:hAnsi="Times New Roman" w:cs="Times New Roman"/>
      <w:b/>
      <w:bCs/>
      <w:sz w:val="20"/>
      <w:szCs w:val="20"/>
      <w:rtl w:val="0"/>
      <w:cs w:val="0"/>
      <w:lang w:val="x-none" w:eastAsia="sk-SK"/>
    </w:rPr>
  </w:style>
  <w:style w:type="character" w:customStyle="1" w:styleId="Heading8Char">
    <w:name w:val="Heading 8 Char"/>
    <w:basedOn w:val="DefaultParagraphFont"/>
    <w:link w:val="Heading8"/>
    <w:locked/>
    <w:rsid w:val="00944BB5"/>
    <w:rPr>
      <w:rFonts w:ascii="Times New Roman" w:hAnsi="Times New Roman" w:cs="Times New Roman"/>
      <w:sz w:val="28"/>
      <w:szCs w:val="28"/>
      <w:rtl w:val="0"/>
      <w:cs w:val="0"/>
      <w:lang w:val="x-none" w:eastAsia="cs-CZ"/>
    </w:rPr>
  </w:style>
  <w:style w:type="character" w:styleId="PageNumber">
    <w:name w:val="page number"/>
    <w:basedOn w:val="DefaultParagraphFont"/>
    <w:rsid w:val="00944BB5"/>
    <w:rPr>
      <w:rFonts w:cs="Times New Roman"/>
      <w:rtl w:val="0"/>
      <w:cs w:val="0"/>
    </w:rPr>
  </w:style>
  <w:style w:type="paragraph" w:styleId="EnvelopeReturn">
    <w:name w:val="envelope return"/>
    <w:basedOn w:val="Normal"/>
    <w:rsid w:val="00944BB5"/>
    <w:pPr>
      <w:jc w:val="left"/>
    </w:pPr>
    <w:rPr>
      <w:rFonts w:ascii="Arial" w:hAnsi="Arial" w:cs="Arial"/>
      <w:szCs w:val="24"/>
      <w:lang w:eastAsia="cs-CZ"/>
    </w:rPr>
  </w:style>
  <w:style w:type="paragraph" w:styleId="BodyText2">
    <w:name w:val="Body Text 2"/>
    <w:basedOn w:val="Normal"/>
    <w:link w:val="BodyText2Char"/>
    <w:rsid w:val="00944BB5"/>
    <w:pPr>
      <w:jc w:val="both"/>
    </w:pPr>
    <w:rPr>
      <w:color w:val="000000"/>
    </w:rPr>
  </w:style>
  <w:style w:type="character" w:customStyle="1" w:styleId="BodyText2Char">
    <w:name w:val="Body Text 2 Char"/>
    <w:basedOn w:val="DefaultParagraphFont"/>
    <w:link w:val="BodyText2"/>
    <w:locked/>
    <w:rsid w:val="00944BB5"/>
    <w:rPr>
      <w:rFonts w:ascii="Times New Roman" w:hAnsi="Times New Roman" w:cs="Times New Roman"/>
      <w:color w:val="000000"/>
      <w:sz w:val="20"/>
      <w:szCs w:val="20"/>
      <w:rtl w:val="0"/>
      <w:cs w:val="0"/>
      <w:lang w:val="x-none" w:eastAsia="sk-SK"/>
    </w:rPr>
  </w:style>
  <w:style w:type="paragraph" w:styleId="BodyText3">
    <w:name w:val="Body Text 3"/>
    <w:basedOn w:val="Normal"/>
    <w:link w:val="BodyText3Char"/>
    <w:rsid w:val="00944BB5"/>
    <w:pPr>
      <w:jc w:val="center"/>
    </w:pPr>
    <w:rPr>
      <w:b/>
    </w:rPr>
  </w:style>
  <w:style w:type="character" w:customStyle="1" w:styleId="BodyText3Char">
    <w:name w:val="Body Text 3 Char"/>
    <w:basedOn w:val="DefaultParagraphFont"/>
    <w:link w:val="BodyText3"/>
    <w:locked/>
    <w:rsid w:val="00944BB5"/>
    <w:rPr>
      <w:rFonts w:ascii="Times New Roman" w:hAnsi="Times New Roman" w:cs="Times New Roman"/>
      <w:b/>
      <w:sz w:val="20"/>
      <w:szCs w:val="20"/>
      <w:rtl w:val="0"/>
      <w:cs w:val="0"/>
      <w:lang w:val="x-none" w:eastAsia="sk-SK"/>
    </w:rPr>
  </w:style>
  <w:style w:type="paragraph" w:styleId="Header">
    <w:name w:val="header"/>
    <w:basedOn w:val="Normal"/>
    <w:link w:val="HeaderChar"/>
    <w:rsid w:val="00944BB5"/>
    <w:pPr>
      <w:tabs>
        <w:tab w:val="center" w:pos="4536"/>
        <w:tab w:val="right" w:pos="9072"/>
      </w:tabs>
      <w:jc w:val="left"/>
    </w:pPr>
  </w:style>
  <w:style w:type="character" w:customStyle="1" w:styleId="HeaderChar">
    <w:name w:val="Header Char"/>
    <w:basedOn w:val="DefaultParagraphFont"/>
    <w:link w:val="Header"/>
    <w:locked/>
    <w:rsid w:val="00944BB5"/>
    <w:rPr>
      <w:rFonts w:ascii="Times New Roman" w:hAnsi="Times New Roman" w:cs="Times New Roman"/>
      <w:sz w:val="20"/>
      <w:szCs w:val="20"/>
      <w:rtl w:val="0"/>
      <w:cs w:val="0"/>
      <w:lang w:val="x-none" w:eastAsia="sk-SK"/>
    </w:rPr>
  </w:style>
  <w:style w:type="paragraph" w:styleId="NormalWeb">
    <w:name w:val="Normal (Web)"/>
    <w:basedOn w:val="Normal"/>
    <w:rsid w:val="00944BB5"/>
    <w:pPr>
      <w:spacing w:before="100" w:beforeAutospacing="1" w:after="100" w:afterAutospacing="1"/>
      <w:jc w:val="left"/>
    </w:pPr>
    <w:rPr>
      <w:szCs w:val="24"/>
    </w:rPr>
  </w:style>
  <w:style w:type="paragraph" w:customStyle="1" w:styleId="Normlny">
    <w:name w:val="_Normálny"/>
    <w:basedOn w:val="Normal"/>
    <w:rsid w:val="00944BB5"/>
    <w:pPr>
      <w:autoSpaceDE w:val="0"/>
      <w:autoSpaceDN w:val="0"/>
      <w:jc w:val="left"/>
    </w:pPr>
    <w:rPr>
      <w:sz w:val="20"/>
      <w:lang w:eastAsia="en-US"/>
    </w:rPr>
  </w:style>
  <w:style w:type="paragraph" w:styleId="FootnoteText">
    <w:name w:val="footnote text"/>
    <w:basedOn w:val="Normal"/>
    <w:link w:val="FootnoteTextChar"/>
    <w:semiHidden/>
    <w:rsid w:val="00944BB5"/>
    <w:pPr>
      <w:spacing w:line="360" w:lineRule="auto"/>
      <w:jc w:val="both"/>
    </w:pPr>
    <w:rPr>
      <w:rFonts w:ascii="AT* New Century Schoolbook" w:hAnsi="AT* New Century Schoolbook"/>
      <w:sz w:val="20"/>
    </w:rPr>
  </w:style>
  <w:style w:type="character" w:customStyle="1" w:styleId="FootnoteTextChar">
    <w:name w:val="Footnote Text Char"/>
    <w:basedOn w:val="DefaultParagraphFont"/>
    <w:link w:val="FootnoteText"/>
    <w:semiHidden/>
    <w:locked/>
    <w:rsid w:val="00944BB5"/>
    <w:rPr>
      <w:rFonts w:ascii="AT* New Century Schoolbook" w:hAnsi="AT* New Century Schoolbook" w:cs="Times New Roman"/>
      <w:sz w:val="20"/>
      <w:szCs w:val="20"/>
      <w:rtl w:val="0"/>
      <w:cs w:val="0"/>
      <w:lang w:val="x-none" w:eastAsia="sk-SK"/>
    </w:rPr>
  </w:style>
  <w:style w:type="paragraph" w:customStyle="1" w:styleId="Default">
    <w:name w:val="Default"/>
    <w:rsid w:val="00496EE8"/>
    <w:pPr>
      <w:framePr w:wrap="auto"/>
      <w:widowControl/>
      <w:autoSpaceDE w:val="0"/>
      <w:autoSpaceDN w:val="0"/>
      <w:adjustRightInd w:val="0"/>
      <w:ind w:left="0" w:right="0"/>
      <w:jc w:val="left"/>
      <w:textAlignment w:val="auto"/>
    </w:pPr>
    <w:rPr>
      <w:rFonts w:ascii="EUAlbertina" w:eastAsia="MS Mincho" w:hAnsi="EUAlbertina" w:cs="Times New Roman"/>
      <w:color w:val="000000"/>
      <w:sz w:val="24"/>
      <w:szCs w:val="24"/>
      <w:rtl w:val="0"/>
      <w:cs w:val="0"/>
      <w:lang w:val="sk-SK" w:eastAsia="ja-JP" w:bidi="ar-SA"/>
    </w:rPr>
  </w:style>
  <w:style w:type="character" w:styleId="FootnoteReference">
    <w:name w:val="footnote reference"/>
    <w:aliases w:val="-E Fußnotenzeichen,BVI fnr,Footnote call,Footnote reference number,Footnote symbol,SUPERS,note TESI,number"/>
    <w:semiHidden/>
    <w:rsid w:val="00792675"/>
    <w:rPr>
      <w:vertAlign w:val="superscript"/>
    </w:rPr>
  </w:style>
  <w:style w:type="paragraph" w:styleId="BodyTextIndent2">
    <w:name w:val="Body Text Indent 2"/>
    <w:basedOn w:val="Normal"/>
    <w:link w:val="BodyTextIndent2Char"/>
    <w:rsid w:val="00792675"/>
    <w:pPr>
      <w:spacing w:after="120" w:line="480" w:lineRule="auto"/>
      <w:ind w:left="283"/>
      <w:jc w:val="left"/>
    </w:pPr>
  </w:style>
  <w:style w:type="character" w:customStyle="1" w:styleId="BodyTextIndent2Char">
    <w:name w:val="Body Text Indent 2 Char"/>
    <w:basedOn w:val="DefaultParagraphFont"/>
    <w:link w:val="BodyTextIndent2"/>
    <w:locked/>
    <w:rsid w:val="00792675"/>
    <w:rPr>
      <w:rFonts w:ascii="Times New Roman" w:hAnsi="Times New Roman" w:cs="Times New Roman"/>
      <w:sz w:val="20"/>
      <w:szCs w:val="20"/>
      <w:rtl w:val="0"/>
      <w:cs w:val="0"/>
      <w:lang w:val="x-none" w:eastAsia="sk-SK"/>
    </w:rPr>
  </w:style>
  <w:style w:type="paragraph" w:customStyle="1" w:styleId="CharChar1CharCharCharChar">
    <w:name w:val="Char Char1 Char Char Char Char"/>
    <w:basedOn w:val="Normal"/>
    <w:rsid w:val="00DD766A"/>
    <w:pPr>
      <w:jc w:val="left"/>
    </w:pPr>
    <w:rPr>
      <w:szCs w:val="24"/>
      <w:lang w:val="pl-PL" w:eastAsia="pl-P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955</Words>
  <Characters>5449</Characters>
  <Application>Microsoft Office Word</Application>
  <DocSecurity>0</DocSecurity>
  <Lines>0</Lines>
  <Paragraphs>0</Paragraphs>
  <ScaleCrop>false</ScaleCrop>
  <Company>MH SR</Company>
  <LinksUpToDate>false</LinksUpToDate>
  <CharactersWithSpaces>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 Juraj</dc:creator>
  <cp:lastModifiedBy>Gašparíková, Jarmila</cp:lastModifiedBy>
  <cp:revision>2</cp:revision>
  <dcterms:created xsi:type="dcterms:W3CDTF">2013-07-17T14:05:00Z</dcterms:created>
  <dcterms:modified xsi:type="dcterms:W3CDTF">2013-07-17T14:05:00Z</dcterms:modified>
</cp:coreProperties>
</file>