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65F6" w:rsidP="0014124B">
      <w:pPr>
        <w:bidi w:val="0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14124B" w:rsidRPr="00EA12BB" w:rsidP="0014124B">
      <w:pPr>
        <w:bidi w:val="0"/>
        <w:jc w:val="both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A12BB">
        <w:rPr>
          <w:rFonts w:ascii="Times New Roman" w:hAnsi="Times New Roman"/>
          <w:b/>
          <w:bCs/>
          <w:sz w:val="28"/>
          <w:szCs w:val="28"/>
          <w:lang w:val="sk-SK"/>
        </w:rPr>
        <w:t xml:space="preserve">B. Osobitná časť </w:t>
      </w:r>
    </w:p>
    <w:p w:rsidR="0014124B" w:rsidP="0014124B">
      <w:pPr>
        <w:bidi w:val="0"/>
        <w:jc w:val="both"/>
        <w:rPr>
          <w:rFonts w:ascii="Times New Roman" w:hAnsi="Times New Roman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lang w:val="sk-SK"/>
        </w:rPr>
      </w:pPr>
    </w:p>
    <w:p w:rsidR="004865F6" w:rsidRPr="00EA12BB" w:rsidP="0014124B">
      <w:pPr>
        <w:bidi w:val="0"/>
        <w:jc w:val="both"/>
        <w:rPr>
          <w:rFonts w:ascii="Times New Roman" w:hAnsi="Times New Roman"/>
          <w:lang w:val="sk-SK"/>
        </w:rPr>
      </w:pPr>
    </w:p>
    <w:p w:rsidR="0014124B" w:rsidRPr="00EA12BB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  <w:r w:rsidRPr="00EA12BB">
        <w:rPr>
          <w:rFonts w:ascii="Times New Roman" w:hAnsi="Times New Roman"/>
          <w:b/>
          <w:bCs/>
          <w:u w:val="single"/>
          <w:lang w:val="sk-SK"/>
        </w:rPr>
        <w:t>K Čl. I (Ob</w:t>
      </w:r>
      <w:r>
        <w:rPr>
          <w:rFonts w:ascii="Times New Roman" w:hAnsi="Times New Roman"/>
          <w:b/>
          <w:bCs/>
          <w:u w:val="single"/>
          <w:lang w:val="sk-SK"/>
        </w:rPr>
        <w:t>chodný zákonník</w:t>
      </w:r>
      <w:r w:rsidRPr="00EA12BB">
        <w:rPr>
          <w:rFonts w:ascii="Times New Roman" w:hAnsi="Times New Roman"/>
          <w:b/>
          <w:bCs/>
          <w:u w:val="single"/>
          <w:lang w:val="sk-SK"/>
        </w:rPr>
        <w:t>)</w:t>
      </w:r>
    </w:p>
    <w:p w:rsidR="00A435B4" w:rsidP="008E6DD8">
      <w:pPr>
        <w:bidi w:val="0"/>
        <w:jc w:val="both"/>
        <w:rPr>
          <w:rFonts w:ascii="Times New Roman" w:hAnsi="Times New Roman"/>
          <w:bCs/>
          <w:i/>
          <w:lang w:val="sk-SK"/>
        </w:rPr>
      </w:pPr>
    </w:p>
    <w:p w:rsidR="004865F6" w:rsidP="008E6DD8">
      <w:pPr>
        <w:bidi w:val="0"/>
        <w:jc w:val="both"/>
        <w:rPr>
          <w:rFonts w:ascii="Times New Roman" w:hAnsi="Times New Roman"/>
          <w:bCs/>
          <w:i/>
          <w:lang w:val="sk-SK"/>
        </w:rPr>
      </w:pPr>
    </w:p>
    <w:p w:rsidR="0014124B" w:rsidRPr="001C4B96" w:rsidP="0014124B">
      <w:pPr>
        <w:bidi w:val="0"/>
        <w:rPr>
          <w:rFonts w:ascii="Times New Roman" w:hAnsi="Times New Roman"/>
          <w:bCs/>
          <w:i/>
          <w:lang w:val="sk-SK"/>
        </w:rPr>
      </w:pPr>
      <w:r w:rsidR="00A435B4">
        <w:rPr>
          <w:rFonts w:ascii="Times New Roman" w:hAnsi="Times New Roman"/>
          <w:bCs/>
          <w:i/>
          <w:lang w:val="sk-SK"/>
        </w:rPr>
        <w:t>K bod</w:t>
      </w:r>
      <w:r w:rsidR="00D167A8">
        <w:rPr>
          <w:rFonts w:ascii="Times New Roman" w:hAnsi="Times New Roman"/>
          <w:bCs/>
          <w:i/>
          <w:lang w:val="sk-SK"/>
        </w:rPr>
        <w:t>om</w:t>
      </w:r>
      <w:r w:rsidR="00A435B4">
        <w:rPr>
          <w:rFonts w:ascii="Times New Roman" w:hAnsi="Times New Roman"/>
          <w:bCs/>
          <w:i/>
          <w:lang w:val="sk-SK"/>
        </w:rPr>
        <w:t xml:space="preserve"> </w:t>
      </w:r>
      <w:r w:rsidR="004D6578">
        <w:rPr>
          <w:rFonts w:ascii="Times New Roman" w:hAnsi="Times New Roman"/>
          <w:bCs/>
          <w:i/>
          <w:lang w:val="sk-SK"/>
        </w:rPr>
        <w:t>1</w:t>
      </w:r>
      <w:r w:rsidR="00D167A8">
        <w:rPr>
          <w:rFonts w:ascii="Times New Roman" w:hAnsi="Times New Roman"/>
          <w:bCs/>
          <w:i/>
          <w:lang w:val="sk-SK"/>
        </w:rPr>
        <w:t xml:space="preserve"> a 2</w:t>
      </w:r>
      <w:r w:rsidR="00A435B4">
        <w:rPr>
          <w:rFonts w:ascii="Times New Roman" w:hAnsi="Times New Roman"/>
          <w:bCs/>
          <w:i/>
          <w:lang w:val="sk-SK"/>
        </w:rPr>
        <w:t xml:space="preserve"> </w:t>
      </w:r>
      <w:r w:rsidRPr="001C4B96">
        <w:rPr>
          <w:rFonts w:ascii="Times New Roman" w:hAnsi="Times New Roman"/>
          <w:bCs/>
          <w:i/>
          <w:lang w:val="sk-SK"/>
        </w:rPr>
        <w:t xml:space="preserve">(§ </w:t>
      </w:r>
      <w:r w:rsidR="00FE054E">
        <w:rPr>
          <w:rFonts w:ascii="Times New Roman" w:hAnsi="Times New Roman"/>
          <w:bCs/>
          <w:i/>
          <w:lang w:val="sk-SK"/>
        </w:rPr>
        <w:t>60</w:t>
      </w:r>
      <w:r w:rsidRPr="001C4B96">
        <w:rPr>
          <w:rFonts w:ascii="Times New Roman" w:hAnsi="Times New Roman"/>
          <w:bCs/>
          <w:i/>
          <w:lang w:val="sk-SK"/>
        </w:rPr>
        <w:t>)</w:t>
      </w:r>
    </w:p>
    <w:p w:rsidR="003A13F9" w:rsidP="0014124B">
      <w:pPr>
        <w:bidi w:val="0"/>
        <w:jc w:val="both"/>
        <w:rPr>
          <w:rFonts w:ascii="Times New Roman" w:hAnsi="Times New Roman"/>
          <w:lang w:val="sk-SK"/>
        </w:rPr>
      </w:pPr>
      <w:r w:rsidRPr="00406147" w:rsidR="00FE3760">
        <w:rPr>
          <w:rFonts w:ascii="Times New Roman" w:hAnsi="Times New Roman"/>
          <w:lang w:val="sk-SK"/>
        </w:rPr>
        <w:t>Predmetn</w:t>
      </w:r>
      <w:r w:rsidR="00DB10ED">
        <w:rPr>
          <w:rFonts w:ascii="Times New Roman" w:hAnsi="Times New Roman"/>
          <w:lang w:val="sk-SK"/>
        </w:rPr>
        <w:t>é</w:t>
      </w:r>
      <w:r w:rsidRPr="00406147" w:rsidR="00FE3760">
        <w:rPr>
          <w:rFonts w:ascii="Times New Roman" w:hAnsi="Times New Roman"/>
          <w:lang w:val="sk-SK"/>
        </w:rPr>
        <w:t xml:space="preserve"> novelizačn</w:t>
      </w:r>
      <w:r w:rsidR="00DB10ED">
        <w:rPr>
          <w:rFonts w:ascii="Times New Roman" w:hAnsi="Times New Roman"/>
          <w:lang w:val="sk-SK"/>
        </w:rPr>
        <w:t>é</w:t>
      </w:r>
      <w:r w:rsidRPr="00406147" w:rsidR="00FE3760">
        <w:rPr>
          <w:rFonts w:ascii="Times New Roman" w:hAnsi="Times New Roman"/>
          <w:lang w:val="sk-SK"/>
        </w:rPr>
        <w:t xml:space="preserve"> bod</w:t>
      </w:r>
      <w:r w:rsidR="00DB10ED">
        <w:rPr>
          <w:rFonts w:ascii="Times New Roman" w:hAnsi="Times New Roman"/>
          <w:lang w:val="sk-SK"/>
        </w:rPr>
        <w:t>y</w:t>
      </w:r>
      <w:r w:rsidRPr="00406147" w:rsidR="00FE3760">
        <w:rPr>
          <w:rFonts w:ascii="Times New Roman" w:hAnsi="Times New Roman"/>
          <w:lang w:val="sk-SK"/>
        </w:rPr>
        <w:t xml:space="preserve"> reag</w:t>
      </w:r>
      <w:r w:rsidR="00DB10ED">
        <w:rPr>
          <w:rFonts w:ascii="Times New Roman" w:hAnsi="Times New Roman"/>
          <w:lang w:val="sk-SK"/>
        </w:rPr>
        <w:t>ujú</w:t>
      </w:r>
      <w:r w:rsidRPr="00406147" w:rsidR="00FE3760">
        <w:rPr>
          <w:rFonts w:ascii="Times New Roman" w:hAnsi="Times New Roman"/>
          <w:lang w:val="sk-SK"/>
        </w:rPr>
        <w:t xml:space="preserve"> na úlohu B. 1 z uznesenia vlády Slovenskej republiky č. 235 z 31. mája 2012 uloženú ministrovi spravodlivosti v spolupráci s podpredsedom vlády a ministrom financií predložiť na rokovanie vlády Slovenskej republiky v termíne do 30. júna 2014 návrh legislatívneho opatrenia, ktorým sa zavedie povinnosť </w:t>
      </w:r>
      <w:r>
        <w:rPr>
          <w:rFonts w:ascii="Times New Roman" w:hAnsi="Times New Roman"/>
          <w:lang w:val="sk-SK"/>
        </w:rPr>
        <w:t>zakladateľa splatiť peňažný vklad alebo jeho časť na osobitný účet v banke alebo pobočke zahraničnej banky.</w:t>
      </w:r>
    </w:p>
    <w:p w:rsidR="00A811C1" w:rsidP="0014124B">
      <w:pPr>
        <w:bidi w:val="0"/>
        <w:jc w:val="both"/>
        <w:rPr>
          <w:rFonts w:ascii="Times New Roman" w:hAnsi="Times New Roman"/>
          <w:lang w:val="sk-SK"/>
        </w:rPr>
      </w:pPr>
      <w:r w:rsidRPr="00BD7712">
        <w:rPr>
          <w:rFonts w:ascii="Times New Roman" w:hAnsi="Times New Roman"/>
          <w:lang w:val="sk-SK"/>
        </w:rPr>
        <w:t>Predkladateľ</w:t>
      </w:r>
      <w:r>
        <w:rPr>
          <w:rFonts w:ascii="Times New Roman" w:hAnsi="Times New Roman"/>
          <w:lang w:val="sk-SK"/>
        </w:rPr>
        <w:t xml:space="preserve"> navrhuje súčasné znenie ustanovenia § 60 rozšíriť o nový odsek 2</w:t>
      </w:r>
      <w:r w:rsidR="00B3038D">
        <w:rPr>
          <w:rFonts w:ascii="Times New Roman" w:hAnsi="Times New Roman"/>
          <w:lang w:val="sk-SK"/>
        </w:rPr>
        <w:t xml:space="preserve">, ktorý ustanovuje povinnosť zakladateľov splatiť peňažný vklad alebo jeho časť, ku ktorému sa v spoločenskej zmluve zaväzujú na osobitný samostatný účet v banke alebo pobočke zahraničnej banky. Ustanovenie teda všeobecne rieši spôsob splácania peňažných vkladov alebo ich častí, tak že v súčasnosti často využívané splatenie </w:t>
      </w:r>
      <w:r w:rsidR="00815599">
        <w:rPr>
          <w:rFonts w:ascii="Times New Roman" w:hAnsi="Times New Roman"/>
          <w:lang w:val="sk-SK"/>
        </w:rPr>
        <w:t xml:space="preserve">peňažného vkladu alebo jeho časti </w:t>
      </w:r>
      <w:r w:rsidR="00B3038D">
        <w:rPr>
          <w:rFonts w:ascii="Times New Roman" w:hAnsi="Times New Roman"/>
          <w:lang w:val="sk-SK"/>
        </w:rPr>
        <w:t>v hotovosti k rukám správcu vkladu</w:t>
      </w:r>
      <w:r w:rsidR="00815599">
        <w:rPr>
          <w:rFonts w:ascii="Times New Roman" w:hAnsi="Times New Roman"/>
          <w:lang w:val="sk-SK"/>
        </w:rPr>
        <w:t xml:space="preserve"> nebude viac možné</w:t>
      </w:r>
      <w:r w:rsidR="00B3038D">
        <w:rPr>
          <w:rFonts w:ascii="Times New Roman" w:hAnsi="Times New Roman"/>
          <w:lang w:val="sk-SK"/>
        </w:rPr>
        <w:t>. Použit</w:t>
      </w:r>
      <w:r w:rsidR="00815599">
        <w:rPr>
          <w:rFonts w:ascii="Times New Roman" w:hAnsi="Times New Roman"/>
          <w:lang w:val="sk-SK"/>
        </w:rPr>
        <w:t>ie</w:t>
      </w:r>
      <w:r w:rsidR="00B3038D">
        <w:rPr>
          <w:rFonts w:ascii="Times New Roman" w:hAnsi="Times New Roman"/>
          <w:lang w:val="sk-SK"/>
        </w:rPr>
        <w:t xml:space="preserve"> slov „osobitný samostatný“ </w:t>
      </w:r>
      <w:r w:rsidR="00815599">
        <w:rPr>
          <w:rFonts w:ascii="Times New Roman" w:hAnsi="Times New Roman"/>
          <w:lang w:val="sk-SK"/>
        </w:rPr>
        <w:t xml:space="preserve">volil </w:t>
      </w:r>
      <w:r w:rsidR="00B3038D">
        <w:rPr>
          <w:rFonts w:ascii="Times New Roman" w:hAnsi="Times New Roman"/>
          <w:lang w:val="sk-SK"/>
        </w:rPr>
        <w:t xml:space="preserve">predkladateľ </w:t>
      </w:r>
      <w:r w:rsidR="00815599">
        <w:rPr>
          <w:rFonts w:ascii="Times New Roman" w:hAnsi="Times New Roman"/>
          <w:lang w:val="sk-SK"/>
        </w:rPr>
        <w:t>s </w:t>
      </w:r>
      <w:r w:rsidR="00B3038D">
        <w:rPr>
          <w:rFonts w:ascii="Times New Roman" w:hAnsi="Times New Roman"/>
          <w:lang w:val="sk-SK"/>
        </w:rPr>
        <w:t>cieľ</w:t>
      </w:r>
      <w:r w:rsidR="00815599">
        <w:rPr>
          <w:rFonts w:ascii="Times New Roman" w:hAnsi="Times New Roman"/>
          <w:lang w:val="sk-SK"/>
        </w:rPr>
        <w:t>om zdôrazniť</w:t>
      </w:r>
      <w:r w:rsidR="00B3038D">
        <w:rPr>
          <w:rFonts w:ascii="Times New Roman" w:hAnsi="Times New Roman"/>
          <w:lang w:val="sk-SK"/>
        </w:rPr>
        <w:t xml:space="preserve">, že osoba správcu vkladu (v praxi najčastejšie niektorý zo zakladateľov poverený v spoločenskej zmluve) </w:t>
      </w:r>
      <w:r w:rsidR="00815599">
        <w:rPr>
          <w:rFonts w:ascii="Times New Roman" w:hAnsi="Times New Roman"/>
          <w:lang w:val="sk-SK"/>
        </w:rPr>
        <w:t>nebude môcť postupovať tak, že výpis z</w:t>
      </w:r>
      <w:r w:rsidR="003E513E">
        <w:rPr>
          <w:rFonts w:ascii="Times New Roman" w:hAnsi="Times New Roman"/>
          <w:lang w:val="sk-SK"/>
        </w:rPr>
        <w:t xml:space="preserve"> </w:t>
      </w:r>
      <w:r w:rsidR="00815599">
        <w:rPr>
          <w:rFonts w:ascii="Times New Roman" w:hAnsi="Times New Roman"/>
          <w:lang w:val="sk-SK"/>
        </w:rPr>
        <w:t>jedného účtu v banke predl</w:t>
      </w:r>
      <w:r w:rsidR="00A2785D">
        <w:rPr>
          <w:rFonts w:ascii="Times New Roman" w:hAnsi="Times New Roman"/>
          <w:lang w:val="sk-SK"/>
        </w:rPr>
        <w:t xml:space="preserve">oží ako prílohu k podaniu do obchodného registra vo viacerých prípadoch prvozápisu </w:t>
      </w:r>
      <w:r w:rsidR="003E513E">
        <w:rPr>
          <w:rFonts w:ascii="Times New Roman" w:hAnsi="Times New Roman"/>
          <w:lang w:val="sk-SK"/>
        </w:rPr>
        <w:t xml:space="preserve">rôznych </w:t>
      </w:r>
      <w:r w:rsidR="00A2785D">
        <w:rPr>
          <w:rFonts w:ascii="Times New Roman" w:hAnsi="Times New Roman"/>
          <w:lang w:val="sk-SK"/>
        </w:rPr>
        <w:t>spoločnost</w:t>
      </w:r>
      <w:r w:rsidR="003E513E">
        <w:rPr>
          <w:rFonts w:ascii="Times New Roman" w:hAnsi="Times New Roman"/>
          <w:lang w:val="sk-SK"/>
        </w:rPr>
        <w:t>í</w:t>
      </w:r>
      <w:r w:rsidR="00A2785D">
        <w:rPr>
          <w:rFonts w:ascii="Times New Roman" w:hAnsi="Times New Roman"/>
          <w:lang w:val="sk-SK"/>
        </w:rPr>
        <w:t>.</w:t>
      </w:r>
      <w:r w:rsidR="003E513E">
        <w:rPr>
          <w:rFonts w:ascii="Times New Roman" w:hAnsi="Times New Roman"/>
          <w:lang w:val="sk-SK"/>
        </w:rPr>
        <w:t xml:space="preserve"> V zásade bude platiť pravidlo priloženia konkrétneho výpisu z účtu v banke len k jednému návrhu na prvozápis spoločnosti do obchodného registra.</w:t>
      </w:r>
    </w:p>
    <w:p w:rsidR="00B3038D" w:rsidRPr="00B3038D" w:rsidP="00B3038D">
      <w:pPr>
        <w:bidi w:val="0"/>
        <w:jc w:val="both"/>
        <w:rPr>
          <w:rFonts w:ascii="Times New Roman" w:hAnsi="Times New Roman"/>
          <w:lang w:val="sk-SK"/>
        </w:rPr>
      </w:pPr>
      <w:r w:rsidRPr="00B3038D">
        <w:rPr>
          <w:rFonts w:ascii="Times New Roman" w:hAnsi="Times New Roman"/>
          <w:lang w:val="sk-SK"/>
        </w:rPr>
        <w:t xml:space="preserve">S peňažnými prostriedkami </w:t>
      </w:r>
      <w:r w:rsidR="00BD7712">
        <w:rPr>
          <w:rFonts w:ascii="Times New Roman" w:hAnsi="Times New Roman"/>
          <w:lang w:val="sk-SK"/>
        </w:rPr>
        <w:t xml:space="preserve">zo splatených peňažných vkladov alebo ich časti </w:t>
      </w:r>
      <w:r w:rsidRPr="00B3038D">
        <w:rPr>
          <w:rFonts w:ascii="Times New Roman" w:hAnsi="Times New Roman"/>
          <w:lang w:val="sk-SK"/>
        </w:rPr>
        <w:t xml:space="preserve">vedenými na </w:t>
      </w:r>
      <w:r w:rsidR="00BD7712">
        <w:rPr>
          <w:rFonts w:ascii="Times New Roman" w:hAnsi="Times New Roman"/>
          <w:lang w:val="sk-SK"/>
        </w:rPr>
        <w:t xml:space="preserve">osobitnom samostatnom </w:t>
      </w:r>
      <w:r w:rsidRPr="00B3038D">
        <w:rPr>
          <w:rFonts w:ascii="Times New Roman" w:hAnsi="Times New Roman"/>
          <w:lang w:val="sk-SK"/>
        </w:rPr>
        <w:t>účte</w:t>
      </w:r>
      <w:r w:rsidR="00BD7712">
        <w:rPr>
          <w:rFonts w:ascii="Times New Roman" w:hAnsi="Times New Roman"/>
          <w:lang w:val="sk-SK"/>
        </w:rPr>
        <w:t xml:space="preserve"> v banke nebude</w:t>
      </w:r>
      <w:r w:rsidRPr="00B3038D">
        <w:rPr>
          <w:rFonts w:ascii="Times New Roman" w:hAnsi="Times New Roman"/>
          <w:lang w:val="sk-SK"/>
        </w:rPr>
        <w:t xml:space="preserve"> možn</w:t>
      </w:r>
      <w:r w:rsidR="00BD7712">
        <w:rPr>
          <w:rFonts w:ascii="Times New Roman" w:hAnsi="Times New Roman"/>
          <w:lang w:val="sk-SK"/>
        </w:rPr>
        <w:t>é</w:t>
      </w:r>
      <w:r w:rsidRPr="00B3038D">
        <w:rPr>
          <w:rFonts w:ascii="Times New Roman" w:hAnsi="Times New Roman"/>
          <w:lang w:val="sk-SK"/>
        </w:rPr>
        <w:t xml:space="preserve"> nakladať skôr, ako spoločnosť vznikne, ibaže </w:t>
      </w:r>
      <w:r w:rsidR="00BD7712">
        <w:rPr>
          <w:rFonts w:ascii="Times New Roman" w:hAnsi="Times New Roman"/>
          <w:lang w:val="sk-SK"/>
        </w:rPr>
        <w:t>pôjde</w:t>
      </w:r>
      <w:r w:rsidRPr="00B3038D">
        <w:rPr>
          <w:rFonts w:ascii="Times New Roman" w:hAnsi="Times New Roman"/>
          <w:lang w:val="sk-SK"/>
        </w:rPr>
        <w:t xml:space="preserve"> o</w:t>
      </w:r>
    </w:p>
    <w:p w:rsidR="00B3038D" w:rsidRPr="00B3038D" w:rsidP="00B3038D">
      <w:pPr>
        <w:bidi w:val="0"/>
        <w:jc w:val="both"/>
        <w:rPr>
          <w:rFonts w:ascii="Times New Roman" w:hAnsi="Times New Roman"/>
          <w:lang w:val="sk-SK"/>
        </w:rPr>
      </w:pPr>
      <w:r w:rsidRPr="00B3038D">
        <w:rPr>
          <w:rFonts w:ascii="Times New Roman" w:hAnsi="Times New Roman"/>
          <w:lang w:val="sk-SK"/>
        </w:rPr>
        <w:t>a) platenie nákladov súvisiacich so založením a vznikom spoločnosti podľa spoločenskej zmluvy,</w:t>
      </w:r>
    </w:p>
    <w:p w:rsidR="00B3038D" w:rsidRPr="00B3038D" w:rsidP="00B3038D">
      <w:pPr>
        <w:bidi w:val="0"/>
        <w:jc w:val="both"/>
        <w:rPr>
          <w:rFonts w:ascii="Times New Roman" w:hAnsi="Times New Roman"/>
          <w:lang w:val="sk-SK"/>
        </w:rPr>
      </w:pPr>
      <w:r w:rsidRPr="00B3038D">
        <w:rPr>
          <w:rFonts w:ascii="Times New Roman" w:hAnsi="Times New Roman"/>
          <w:lang w:val="sk-SK"/>
        </w:rPr>
        <w:t>b) vrátenie peňažného vkladu alebo jeho časti a úrokov podľa § 166 ods. 2, alebo</w:t>
      </w:r>
    </w:p>
    <w:p w:rsidR="00B3038D" w:rsidP="00B3038D">
      <w:pPr>
        <w:bidi w:val="0"/>
        <w:jc w:val="both"/>
        <w:rPr>
          <w:rFonts w:ascii="Times New Roman" w:hAnsi="Times New Roman"/>
          <w:lang w:val="sk-SK"/>
        </w:rPr>
      </w:pPr>
      <w:r w:rsidRPr="00B3038D">
        <w:rPr>
          <w:rFonts w:ascii="Times New Roman" w:hAnsi="Times New Roman"/>
          <w:lang w:val="sk-SK"/>
        </w:rPr>
        <w:t xml:space="preserve">c) vrátenie peňažného vkladu alebo jeho časti podľa </w:t>
      </w:r>
      <w:r w:rsidR="00BD7712">
        <w:rPr>
          <w:rFonts w:ascii="Times New Roman" w:hAnsi="Times New Roman"/>
          <w:lang w:val="sk-SK"/>
        </w:rPr>
        <w:t xml:space="preserve">§ 60 </w:t>
      </w:r>
      <w:r w:rsidRPr="00B3038D">
        <w:rPr>
          <w:rFonts w:ascii="Times New Roman" w:hAnsi="Times New Roman"/>
          <w:lang w:val="sk-SK"/>
        </w:rPr>
        <w:t>ods</w:t>
      </w:r>
      <w:r w:rsidR="00BD7712">
        <w:rPr>
          <w:rFonts w:ascii="Times New Roman" w:hAnsi="Times New Roman"/>
          <w:lang w:val="sk-SK"/>
        </w:rPr>
        <w:t xml:space="preserve">. </w:t>
      </w:r>
      <w:r w:rsidR="00DF4404">
        <w:rPr>
          <w:rFonts w:ascii="Times New Roman" w:hAnsi="Times New Roman"/>
          <w:lang w:val="sk-SK"/>
        </w:rPr>
        <w:t>4</w:t>
      </w:r>
      <w:r w:rsidRPr="00B3038D" w:rsidR="00DF4404">
        <w:rPr>
          <w:rFonts w:ascii="Times New Roman" w:hAnsi="Times New Roman"/>
          <w:lang w:val="sk-SK"/>
        </w:rPr>
        <w:t xml:space="preserve"> </w:t>
      </w:r>
      <w:r w:rsidRPr="00B3038D">
        <w:rPr>
          <w:rFonts w:ascii="Times New Roman" w:hAnsi="Times New Roman"/>
          <w:lang w:val="sk-SK"/>
        </w:rPr>
        <w:t>druhej vety.</w:t>
      </w:r>
    </w:p>
    <w:p w:rsidR="00377CBD" w:rsidP="00B3038D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 súvislosti s vyššie uvedenými obmedzeniami považuje predkladateľ za potrebné uviesť, že uvedené ustanovenie je formulované ako príkaz pre </w:t>
      </w:r>
      <w:r w:rsidR="00102BC9">
        <w:rPr>
          <w:rFonts w:ascii="Times New Roman" w:hAnsi="Times New Roman"/>
          <w:lang w:val="sk-SK"/>
        </w:rPr>
        <w:t>o</w:t>
      </w:r>
      <w:r w:rsidRPr="00102BC9" w:rsidR="00102BC9">
        <w:rPr>
          <w:rFonts w:ascii="Times New Roman" w:hAnsi="Times New Roman"/>
          <w:lang w:val="sk-SK"/>
        </w:rPr>
        <w:t>soby, ktoré konajú v mene spoločnosti pred jej vznikom</w:t>
      </w:r>
      <w:r w:rsidR="00102BC9">
        <w:rPr>
          <w:rFonts w:ascii="Times New Roman" w:hAnsi="Times New Roman"/>
          <w:lang w:val="sk-SK"/>
        </w:rPr>
        <w:t xml:space="preserve"> (§ 64) a </w:t>
      </w:r>
      <w:r>
        <w:rPr>
          <w:rFonts w:ascii="Times New Roman" w:hAnsi="Times New Roman"/>
          <w:lang w:val="sk-SK"/>
        </w:rPr>
        <w:t xml:space="preserve">správcu vkladu </w:t>
      </w:r>
      <w:r w:rsidR="00102BC9">
        <w:rPr>
          <w:rFonts w:ascii="Times New Roman" w:hAnsi="Times New Roman"/>
          <w:lang w:val="sk-SK"/>
        </w:rPr>
        <w:t xml:space="preserve">istým spôsobom definujúci podmienky </w:t>
      </w:r>
      <w:r>
        <w:rPr>
          <w:rFonts w:ascii="Times New Roman" w:hAnsi="Times New Roman"/>
          <w:lang w:val="sk-SK"/>
        </w:rPr>
        <w:t xml:space="preserve">správy, nijakým spôsobom </w:t>
      </w:r>
      <w:r w:rsidR="00102BC9">
        <w:rPr>
          <w:rFonts w:ascii="Times New Roman" w:hAnsi="Times New Roman"/>
          <w:lang w:val="sk-SK"/>
        </w:rPr>
        <w:t xml:space="preserve">však </w:t>
      </w:r>
      <w:r>
        <w:rPr>
          <w:rFonts w:ascii="Times New Roman" w:hAnsi="Times New Roman"/>
          <w:lang w:val="sk-SK"/>
        </w:rPr>
        <w:t xml:space="preserve">neprejudikuje </w:t>
      </w:r>
      <w:r w:rsidR="004F1667">
        <w:rPr>
          <w:rFonts w:ascii="Times New Roman" w:hAnsi="Times New Roman"/>
          <w:lang w:val="sk-SK"/>
        </w:rPr>
        <w:t>obsah</w:t>
      </w:r>
      <w:r>
        <w:rPr>
          <w:rFonts w:ascii="Times New Roman" w:hAnsi="Times New Roman"/>
          <w:lang w:val="sk-SK"/>
        </w:rPr>
        <w:t xml:space="preserve"> záväzkového vzťahu medzi bankou a majiteľom účtu</w:t>
      </w:r>
      <w:r w:rsidR="00102BC9">
        <w:rPr>
          <w:rFonts w:ascii="Times New Roman" w:hAnsi="Times New Roman"/>
          <w:lang w:val="sk-SK"/>
        </w:rPr>
        <w:t xml:space="preserve">, na ktorý sa budú splácať peňažné vklady alebo ich časti. Nie je úmyslom predkladateľa uložiť predmetným ustanovením banke alebo pobočke zahraničnej banky povinnosť skúmať </w:t>
      </w:r>
      <w:r w:rsidR="004F1667">
        <w:rPr>
          <w:rFonts w:ascii="Times New Roman" w:hAnsi="Times New Roman"/>
          <w:lang w:val="sk-SK"/>
        </w:rPr>
        <w:t xml:space="preserve">účel </w:t>
      </w:r>
      <w:r w:rsidRPr="004F1667" w:rsidR="004F1667">
        <w:rPr>
          <w:rFonts w:ascii="Times New Roman" w:hAnsi="Times New Roman"/>
          <w:lang w:val="sk-SK"/>
        </w:rPr>
        <w:t>nakladania s prostriedkami na tomto účte do vzniku spoločnosti</w:t>
      </w:r>
      <w:r w:rsidR="00E75BAA">
        <w:rPr>
          <w:rFonts w:ascii="Times New Roman" w:hAnsi="Times New Roman"/>
          <w:lang w:val="sk-SK"/>
        </w:rPr>
        <w:t xml:space="preserve"> (ani po vzniku spoločnosti)</w:t>
      </w:r>
      <w:r w:rsidRPr="004F1667" w:rsidR="004F1667">
        <w:rPr>
          <w:rFonts w:ascii="Times New Roman" w:hAnsi="Times New Roman"/>
          <w:lang w:val="sk-SK"/>
        </w:rPr>
        <w:t>.</w:t>
      </w:r>
    </w:p>
    <w:p w:rsidR="00E75BAA" w:rsidP="00E75BAA">
      <w:pPr>
        <w:bidi w:val="0"/>
        <w:jc w:val="both"/>
        <w:rPr>
          <w:rFonts w:ascii="Times New Roman" w:hAnsi="Times New Roman"/>
          <w:lang w:val="sk-SK"/>
        </w:rPr>
      </w:pPr>
      <w:r w:rsidRPr="008E6DD8" w:rsidR="004F1667">
        <w:rPr>
          <w:rFonts w:ascii="Times New Roman" w:hAnsi="Times New Roman"/>
          <w:lang w:val="sk-SK"/>
        </w:rPr>
        <w:t>Ďalej je potrebné uviesť</w:t>
      </w:r>
      <w:r w:rsidRPr="00D972D8" w:rsidR="00377CBD">
        <w:rPr>
          <w:rFonts w:ascii="Times New Roman" w:hAnsi="Times New Roman"/>
          <w:lang w:val="sk-SK"/>
        </w:rPr>
        <w:t>, že to</w:t>
      </w:r>
      <w:r w:rsidR="00FA5CA3">
        <w:rPr>
          <w:rFonts w:ascii="Times New Roman" w:hAnsi="Times New Roman"/>
          <w:lang w:val="sk-SK"/>
        </w:rPr>
        <w:t>,</w:t>
      </w:r>
      <w:r w:rsidRPr="00D972D8" w:rsidR="00377CBD">
        <w:rPr>
          <w:rFonts w:ascii="Times New Roman" w:hAnsi="Times New Roman"/>
          <w:lang w:val="sk-SK"/>
        </w:rPr>
        <w:t xml:space="preserve"> že sa </w:t>
      </w:r>
      <w:r w:rsidRPr="008E6DD8" w:rsidR="004F1667">
        <w:rPr>
          <w:rFonts w:ascii="Times New Roman" w:hAnsi="Times New Roman"/>
          <w:lang w:val="sk-SK"/>
        </w:rPr>
        <w:t xml:space="preserve">ustanovením </w:t>
      </w:r>
      <w:r w:rsidRPr="00D972D8" w:rsidR="00377CBD">
        <w:rPr>
          <w:rFonts w:ascii="Times New Roman" w:hAnsi="Times New Roman"/>
          <w:lang w:val="sk-SK"/>
        </w:rPr>
        <w:t>ukladá správcovi</w:t>
      </w:r>
      <w:r w:rsidRPr="008E6DD8" w:rsidR="004F1667">
        <w:rPr>
          <w:rFonts w:ascii="Times New Roman" w:hAnsi="Times New Roman"/>
          <w:lang w:val="sk-SK"/>
        </w:rPr>
        <w:t xml:space="preserve"> vkladu</w:t>
      </w:r>
      <w:r w:rsidRPr="00D972D8" w:rsidR="00377CBD">
        <w:rPr>
          <w:rFonts w:ascii="Times New Roman" w:hAnsi="Times New Roman"/>
          <w:lang w:val="sk-SK"/>
        </w:rPr>
        <w:t xml:space="preserve"> povinnosť zriadiť osobitný úče</w:t>
      </w:r>
      <w:r w:rsidRPr="008E6DD8" w:rsidR="00377CBD">
        <w:rPr>
          <w:rFonts w:ascii="Times New Roman" w:hAnsi="Times New Roman"/>
          <w:lang w:val="sk-SK"/>
        </w:rPr>
        <w:t>t ešte neznamená, že správca musí byť nevyhnutne jeho majiteľom</w:t>
      </w:r>
      <w:r w:rsidR="005007F7">
        <w:rPr>
          <w:rFonts w:ascii="Times New Roman" w:hAnsi="Times New Roman"/>
          <w:lang w:val="sk-SK"/>
        </w:rPr>
        <w:t xml:space="preserve">, avšak nakoľko výkon správy predpokladá reálny „dosah“ správcu vkladu na prostriedky z peňažných vkladov (vzhľadom na povinnosti mu vyplývajúce z 166 ods. 2 prípadne§ 60 ods. </w:t>
      </w:r>
      <w:r w:rsidR="00DF4404">
        <w:rPr>
          <w:rFonts w:ascii="Times New Roman" w:hAnsi="Times New Roman"/>
          <w:lang w:val="sk-SK"/>
        </w:rPr>
        <w:t xml:space="preserve">4 </w:t>
      </w:r>
      <w:r w:rsidR="005007F7">
        <w:rPr>
          <w:rFonts w:ascii="Times New Roman" w:hAnsi="Times New Roman"/>
          <w:lang w:val="sk-SK"/>
        </w:rPr>
        <w:t>druhej vety Obchodného zákonníka) je potrebné, aby mal správca vkladu právo disponovať, nakladať s peňažnými prostriedkami vedenými na účte</w:t>
      </w:r>
      <w:r w:rsidRPr="00D972D8" w:rsidR="00377CBD">
        <w:rPr>
          <w:rFonts w:ascii="Times New Roman" w:hAnsi="Times New Roman"/>
          <w:lang w:val="sk-SK"/>
        </w:rPr>
        <w:t xml:space="preserve">. </w:t>
      </w:r>
      <w:r w:rsidRPr="008E6DD8" w:rsidR="005007F7">
        <w:rPr>
          <w:rFonts w:ascii="Times New Roman" w:hAnsi="Times New Roman"/>
          <w:lang w:val="sk-SK"/>
        </w:rPr>
        <w:t xml:space="preserve">Tú okolnosť, že zákon požaduje od správcu zriadenie účtu treba vykladať tak, že „správca je povinný zabezpečiť jeho zriadenie“. </w:t>
      </w:r>
      <w:r w:rsidRPr="008E6DD8">
        <w:rPr>
          <w:rFonts w:ascii="Times New Roman" w:hAnsi="Times New Roman"/>
          <w:lang w:val="sk-SK"/>
        </w:rPr>
        <w:t>Ustanovenie teda nijakým spôsobom neprejudikuje, že majiteľom účtu musí byť správca alebo založená spol</w:t>
      </w:r>
      <w:r w:rsidRPr="00D972D8">
        <w:rPr>
          <w:rFonts w:ascii="Times New Roman" w:hAnsi="Times New Roman"/>
          <w:lang w:val="sk-SK"/>
        </w:rPr>
        <w:t>očnosť</w:t>
      </w:r>
      <w:r>
        <w:rPr>
          <w:rFonts w:ascii="Times New Roman" w:hAnsi="Times New Roman"/>
          <w:lang w:val="sk-SK"/>
        </w:rPr>
        <w:t xml:space="preserve">, aj vzhľadom na to, že </w:t>
      </w:r>
      <w:r w:rsidRPr="00D972D8">
        <w:rPr>
          <w:rFonts w:ascii="Times New Roman" w:hAnsi="Times New Roman"/>
          <w:lang w:val="sk-SK"/>
        </w:rPr>
        <w:t>v</w:t>
      </w:r>
      <w:r w:rsidRPr="008E6DD8">
        <w:rPr>
          <w:rFonts w:ascii="Times New Roman" w:hAnsi="Times New Roman"/>
          <w:lang w:val="sk-SK"/>
        </w:rPr>
        <w:t xml:space="preserve"> minulosti </w:t>
      </w:r>
      <w:r>
        <w:rPr>
          <w:rFonts w:ascii="Times New Roman" w:hAnsi="Times New Roman"/>
          <w:lang w:val="sk-SK"/>
        </w:rPr>
        <w:t>sa vyskytli</w:t>
      </w:r>
      <w:r w:rsidRPr="008E6DD8">
        <w:rPr>
          <w:rFonts w:ascii="Times New Roman" w:hAnsi="Times New Roman"/>
          <w:lang w:val="sk-SK"/>
        </w:rPr>
        <w:t xml:space="preserve"> problém</w:t>
      </w:r>
      <w:r>
        <w:rPr>
          <w:rFonts w:ascii="Times New Roman" w:hAnsi="Times New Roman"/>
          <w:lang w:val="sk-SK"/>
        </w:rPr>
        <w:t>y</w:t>
      </w:r>
      <w:r w:rsidRPr="008E6DD8">
        <w:rPr>
          <w:rFonts w:ascii="Times New Roman" w:hAnsi="Times New Roman"/>
          <w:lang w:val="sk-SK"/>
        </w:rPr>
        <w:t xml:space="preserve"> s tým, že banky neboli ochotné otvárať účty na tzv. kvázi subjekty, teda spoločnosti, ktoré síce boli založené avšak ešte nedošlo k ich zápisu do obchodného registra, teda nedošlo k ich vzniku ako subjektov práva. </w:t>
      </w:r>
      <w:r>
        <w:rPr>
          <w:rFonts w:ascii="Times New Roman" w:hAnsi="Times New Roman"/>
          <w:lang w:val="sk-SK"/>
        </w:rPr>
        <w:t>Napriek tomu, že v </w:t>
      </w:r>
      <w:r w:rsidRPr="008E6DD8">
        <w:rPr>
          <w:rFonts w:ascii="Times New Roman" w:hAnsi="Times New Roman"/>
          <w:lang w:val="sk-SK"/>
        </w:rPr>
        <w:t>súčasnosti</w:t>
      </w:r>
      <w:r>
        <w:rPr>
          <w:rFonts w:ascii="Times New Roman" w:hAnsi="Times New Roman"/>
          <w:lang w:val="sk-SK"/>
        </w:rPr>
        <w:t xml:space="preserve"> </w:t>
      </w:r>
      <w:r w:rsidRPr="008E6DD8">
        <w:rPr>
          <w:rFonts w:ascii="Times New Roman" w:hAnsi="Times New Roman"/>
          <w:lang w:val="sk-SK"/>
        </w:rPr>
        <w:t>takéto prípady neevidujeme</w:t>
      </w:r>
      <w:r>
        <w:rPr>
          <w:rFonts w:ascii="Times New Roman" w:hAnsi="Times New Roman"/>
          <w:lang w:val="sk-SK"/>
        </w:rPr>
        <w:t xml:space="preserve"> je možné p</w:t>
      </w:r>
      <w:r w:rsidRPr="008E6DD8">
        <w:rPr>
          <w:rFonts w:ascii="Times New Roman" w:hAnsi="Times New Roman"/>
          <w:lang w:val="sk-SK"/>
        </w:rPr>
        <w:t>redpoklad</w:t>
      </w:r>
      <w:r>
        <w:rPr>
          <w:rFonts w:ascii="Times New Roman" w:hAnsi="Times New Roman"/>
          <w:lang w:val="sk-SK"/>
        </w:rPr>
        <w:t>ať</w:t>
      </w:r>
      <w:r w:rsidRPr="008E6DD8">
        <w:rPr>
          <w:rFonts w:ascii="Times New Roman" w:hAnsi="Times New Roman"/>
          <w:lang w:val="sk-SK"/>
        </w:rPr>
        <w:t>, že v praxi pôjde v drvivej väčšine prípadov o</w:t>
      </w:r>
      <w:r>
        <w:rPr>
          <w:rFonts w:ascii="Times New Roman" w:hAnsi="Times New Roman"/>
          <w:lang w:val="sk-SK"/>
        </w:rPr>
        <w:t xml:space="preserve"> bežné </w:t>
      </w:r>
      <w:r w:rsidRPr="008E6DD8">
        <w:rPr>
          <w:rFonts w:ascii="Times New Roman" w:hAnsi="Times New Roman"/>
          <w:lang w:val="sk-SK"/>
        </w:rPr>
        <w:t>účty, ktorých majiteľmi budú správcovia vkladov s tým, že sa následne po vzniku spoločnosti transformujú na firemný úč</w:t>
      </w:r>
      <w:r w:rsidR="00E84FBF">
        <w:rPr>
          <w:rFonts w:ascii="Times New Roman" w:hAnsi="Times New Roman"/>
          <w:lang w:val="sk-SK"/>
        </w:rPr>
        <w:t>e</w:t>
      </w:r>
      <w:r w:rsidRPr="008E6DD8">
        <w:rPr>
          <w:rFonts w:ascii="Times New Roman" w:hAnsi="Times New Roman"/>
          <w:lang w:val="sk-SK"/>
        </w:rPr>
        <w:t>t</w:t>
      </w:r>
      <w:r>
        <w:rPr>
          <w:rFonts w:ascii="Times New Roman" w:hAnsi="Times New Roman"/>
          <w:lang w:val="sk-SK"/>
        </w:rPr>
        <w:t>, a to vzhľadom na povinnosti vyplývajúce z</w:t>
      </w:r>
      <w:r w:rsidR="00E84FBF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osobitných zákono</w:t>
      </w:r>
      <w:r w:rsidR="00E84FBF">
        <w:rPr>
          <w:rFonts w:ascii="Times New Roman" w:hAnsi="Times New Roman"/>
          <w:lang w:val="sk-SK"/>
        </w:rPr>
        <w:t>v ako napr.:</w:t>
      </w:r>
    </w:p>
    <w:p w:rsidR="00E84FBF" w:rsidP="00186983">
      <w:pPr>
        <w:pStyle w:val="ListParagraph"/>
        <w:numPr>
          <w:numId w:val="4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394/2012 Z. z. o obmedzení platieb v hotovosti, </w:t>
      </w:r>
    </w:p>
    <w:p w:rsidR="00E84FBF" w:rsidP="00186983">
      <w:pPr>
        <w:pStyle w:val="ListParagraph"/>
        <w:numPr>
          <w:numId w:val="4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563/2009 Z. z. o správe daní (daňový poriadok) a o zmene a doplnení niektorých zákonov</w:t>
      </w:r>
      <w:r w:rsidR="001C5F7C">
        <w:rPr>
          <w:rFonts w:ascii="Times New Roman" w:hAnsi="Times New Roman"/>
        </w:rPr>
        <w:t xml:space="preserve"> v znení neskorších predpisov (pozri § 67 ods. 2 písm. b) bod 7.),</w:t>
      </w:r>
    </w:p>
    <w:p w:rsidR="001C5F7C" w:rsidRPr="008E6DD8" w:rsidP="00186983">
      <w:pPr>
        <w:pStyle w:val="ListParagraph"/>
        <w:numPr>
          <w:numId w:val="4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 ďalšie.</w:t>
      </w:r>
    </w:p>
    <w:p w:rsidR="006E35EA" w:rsidP="00B3038D">
      <w:pPr>
        <w:bidi w:val="0"/>
        <w:jc w:val="both"/>
        <w:rPr>
          <w:rFonts w:ascii="Times New Roman" w:hAnsi="Times New Roman"/>
          <w:lang w:val="sk-SK"/>
        </w:rPr>
      </w:pPr>
      <w:r w:rsidR="001C5F7C">
        <w:rPr>
          <w:rFonts w:ascii="Times New Roman" w:hAnsi="Times New Roman"/>
          <w:lang w:val="sk-SK"/>
        </w:rPr>
        <w:t xml:space="preserve">Vo vzťahu k § 60 ods. </w:t>
      </w:r>
      <w:r w:rsidR="00140DFB">
        <w:rPr>
          <w:rFonts w:ascii="Times New Roman" w:hAnsi="Times New Roman"/>
          <w:lang w:val="sk-SK"/>
        </w:rPr>
        <w:t xml:space="preserve">1 </w:t>
      </w:r>
      <w:r w:rsidR="001C5F7C">
        <w:rPr>
          <w:rFonts w:ascii="Times New Roman" w:hAnsi="Times New Roman"/>
          <w:lang w:val="sk-SK"/>
        </w:rPr>
        <w:t xml:space="preserve">posledná veta </w:t>
      </w:r>
      <w:r w:rsidR="001462C0">
        <w:rPr>
          <w:rFonts w:ascii="Times New Roman" w:hAnsi="Times New Roman"/>
          <w:lang w:val="sk-SK"/>
        </w:rPr>
        <w:t xml:space="preserve">a následkom nedodržania lehoty 15dní na podanie návrhu na zápis prevodu (vlastníckeho) práva k predmetu nepeňažného </w:t>
      </w:r>
      <w:r w:rsidRPr="00D972D8" w:rsidR="001462C0">
        <w:rPr>
          <w:rFonts w:ascii="Times New Roman" w:hAnsi="Times New Roman"/>
          <w:lang w:val="sk-SK"/>
        </w:rPr>
        <w:t xml:space="preserve">vkladu </w:t>
      </w:r>
      <w:r w:rsidRPr="008E6DD8" w:rsidR="001462C0">
        <w:rPr>
          <w:rFonts w:ascii="Times New Roman" w:hAnsi="Times New Roman"/>
          <w:lang w:val="sk-SK"/>
        </w:rPr>
        <w:t>do osobitnej evidencie podľa osobitného zákona</w:t>
      </w:r>
      <w:r w:rsidR="001462C0">
        <w:rPr>
          <w:rFonts w:ascii="Times New Roman" w:hAnsi="Times New Roman"/>
          <w:lang w:val="sk-SK"/>
        </w:rPr>
        <w:t xml:space="preserve"> </w:t>
      </w:r>
      <w:r w:rsidRPr="00D972D8" w:rsidR="001C5F7C">
        <w:rPr>
          <w:rFonts w:ascii="Times New Roman" w:hAnsi="Times New Roman"/>
          <w:lang w:val="sk-SK"/>
        </w:rPr>
        <w:t>považuje</w:t>
      </w:r>
      <w:r w:rsidR="001C5F7C">
        <w:rPr>
          <w:rFonts w:ascii="Times New Roman" w:hAnsi="Times New Roman"/>
          <w:lang w:val="sk-SK"/>
        </w:rPr>
        <w:t xml:space="preserve"> p</w:t>
      </w:r>
      <w:r>
        <w:rPr>
          <w:rFonts w:ascii="Times New Roman" w:hAnsi="Times New Roman"/>
          <w:lang w:val="sk-SK"/>
        </w:rPr>
        <w:t xml:space="preserve">redkladateľ </w:t>
      </w:r>
      <w:r w:rsidR="001462C0">
        <w:rPr>
          <w:rFonts w:ascii="Times New Roman" w:hAnsi="Times New Roman"/>
          <w:lang w:val="sk-SK"/>
        </w:rPr>
        <w:t xml:space="preserve">vo väzbe na zásadnú pripomienku Úradu geodézie, kartografie a katastra Slovenskej republiky </w:t>
      </w:r>
      <w:r>
        <w:rPr>
          <w:rFonts w:ascii="Times New Roman" w:hAnsi="Times New Roman"/>
          <w:lang w:val="sk-SK"/>
        </w:rPr>
        <w:t>za potrebné</w:t>
      </w:r>
      <w:r w:rsidR="001462C0">
        <w:rPr>
          <w:rFonts w:ascii="Times New Roman" w:hAnsi="Times New Roman"/>
          <w:lang w:val="sk-SK"/>
        </w:rPr>
        <w:t xml:space="preserve"> uviesť, že cieľom ustanovenia</w:t>
      </w:r>
      <w:r>
        <w:rPr>
          <w:rFonts w:ascii="Times New Roman" w:hAnsi="Times New Roman"/>
          <w:lang w:val="sk-SK"/>
        </w:rPr>
        <w:t xml:space="preserve"> nie je </w:t>
      </w:r>
      <w:r w:rsidR="001462C0">
        <w:rPr>
          <w:rFonts w:ascii="Times New Roman" w:hAnsi="Times New Roman"/>
          <w:lang w:val="sk-SK"/>
        </w:rPr>
        <w:t>osobitne upraviť následky (účinky) nedodržania lehoty vo vzťahu ku konaniam vedenými pred príslušnými orgánmi</w:t>
      </w:r>
      <w:r w:rsidR="00450F24">
        <w:rPr>
          <w:rFonts w:ascii="Times New Roman" w:hAnsi="Times New Roman"/>
          <w:lang w:val="sk-SK"/>
        </w:rPr>
        <w:t xml:space="preserve"> (napr. príslušnou správou katastra)</w:t>
      </w:r>
      <w:r w:rsidR="001462C0">
        <w:rPr>
          <w:rFonts w:ascii="Times New Roman" w:hAnsi="Times New Roman"/>
          <w:lang w:val="sk-SK"/>
        </w:rPr>
        <w:t>. Následky nedodržania lehoty je potrebné vnímať hlavne v rovine (občianskoprávnej) zodpovednosti štatutárneho orgánu spoločnosti.</w:t>
      </w:r>
      <w:r w:rsidR="00450F24">
        <w:rPr>
          <w:rFonts w:ascii="Times New Roman" w:hAnsi="Times New Roman"/>
          <w:lang w:val="sk-SK"/>
        </w:rPr>
        <w:t xml:space="preserve"> Použitý pojem „osobitná evidencia podľa osobitného zákona“ je </w:t>
      </w:r>
      <w:r w:rsidR="00240B01">
        <w:rPr>
          <w:rFonts w:ascii="Times New Roman" w:hAnsi="Times New Roman"/>
          <w:lang w:val="sk-SK"/>
        </w:rPr>
        <w:t>úmyselne všeobecný, a to z dôvodu</w:t>
      </w:r>
      <w:r w:rsidRPr="00240B01" w:rsidR="00240B01">
        <w:rPr>
          <w:rFonts w:ascii="Times New Roman" w:hAnsi="Times New Roman"/>
          <w:lang w:val="sk-SK"/>
        </w:rPr>
        <w:t xml:space="preserve"> postihnutia</w:t>
      </w:r>
      <w:r w:rsidR="00240B01">
        <w:rPr>
          <w:rFonts w:ascii="Times New Roman" w:hAnsi="Times New Roman"/>
          <w:lang w:val="sk-SK"/>
        </w:rPr>
        <w:t xml:space="preserve"> prevodov práv </w:t>
      </w:r>
      <w:r w:rsidRPr="00240B01" w:rsidR="00240B01">
        <w:rPr>
          <w:rFonts w:ascii="Times New Roman" w:hAnsi="Times New Roman"/>
          <w:lang w:val="sk-SK"/>
        </w:rPr>
        <w:t>aj</w:t>
      </w:r>
      <w:r w:rsidR="00240B01">
        <w:rPr>
          <w:rFonts w:ascii="Times New Roman" w:hAnsi="Times New Roman"/>
          <w:lang w:val="sk-SK"/>
        </w:rPr>
        <w:t xml:space="preserve"> k</w:t>
      </w:r>
      <w:r w:rsidRPr="00240B01" w:rsidR="00240B01">
        <w:rPr>
          <w:rFonts w:ascii="Times New Roman" w:hAnsi="Times New Roman"/>
          <w:lang w:val="sk-SK"/>
        </w:rPr>
        <w:t xml:space="preserve"> iný</w:t>
      </w:r>
      <w:r w:rsidR="00240B01">
        <w:rPr>
          <w:rFonts w:ascii="Times New Roman" w:hAnsi="Times New Roman"/>
          <w:lang w:val="sk-SK"/>
        </w:rPr>
        <w:t>m</w:t>
      </w:r>
      <w:r w:rsidRPr="00240B01" w:rsidR="00240B01">
        <w:rPr>
          <w:rFonts w:ascii="Times New Roman" w:hAnsi="Times New Roman"/>
          <w:lang w:val="sk-SK"/>
        </w:rPr>
        <w:t xml:space="preserve"> predmeto</w:t>
      </w:r>
      <w:r w:rsidR="00240B01">
        <w:rPr>
          <w:rFonts w:ascii="Times New Roman" w:hAnsi="Times New Roman"/>
          <w:lang w:val="sk-SK"/>
        </w:rPr>
        <w:t>m</w:t>
      </w:r>
      <w:r w:rsidRPr="00240B01" w:rsidR="00240B01">
        <w:rPr>
          <w:rFonts w:ascii="Times New Roman" w:hAnsi="Times New Roman"/>
          <w:lang w:val="sk-SK"/>
        </w:rPr>
        <w:t xml:space="preserve"> nepeňažných vkladov ako sú nehnuteľnosti (napr. zaknihované cenné papiere, práva z ochrannej známky a pod.)</w:t>
      </w:r>
      <w:r w:rsidR="00240B01">
        <w:rPr>
          <w:rFonts w:ascii="Times New Roman" w:hAnsi="Times New Roman"/>
          <w:lang w:val="sk-SK"/>
        </w:rPr>
        <w:t>.</w:t>
      </w:r>
    </w:p>
    <w:p w:rsidR="006E35EA" w:rsidP="00B3038D">
      <w:pPr>
        <w:bidi w:val="0"/>
        <w:jc w:val="both"/>
        <w:rPr>
          <w:rFonts w:ascii="Times New Roman" w:hAnsi="Times New Roman"/>
          <w:lang w:val="sk-SK"/>
        </w:rPr>
      </w:pPr>
    </w:p>
    <w:p w:rsidR="00BD7712" w:rsidRPr="00495281" w:rsidP="00B3038D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Zmena v ustanovení § 60 si vyžiada aj zmeny vykonávacej vyhlášky</w:t>
      </w:r>
      <w:bookmarkStart w:id="0" w:name="_Ref354749274"/>
      <w:r>
        <w:rPr>
          <w:rStyle w:val="FootnoteReference"/>
          <w:rFonts w:ascii="Times New Roman" w:hAnsi="Times New Roman"/>
          <w:rtl w:val="0"/>
          <w:lang w:val="sk-SK"/>
        </w:rPr>
        <w:footnoteReference w:id="2"/>
      </w:r>
      <w:bookmarkEnd w:id="0"/>
      <w:r>
        <w:rPr>
          <w:rFonts w:ascii="Times New Roman" w:hAnsi="Times New Roman"/>
          <w:lang w:val="sk-SK"/>
        </w:rPr>
        <w:t>) k zákonu č. 530/2003 Z. z. o obchodnom registri a o zmene a doplnení niektorých zákonov v znení neskorších predpisov</w:t>
      </w:r>
      <w:r w:rsidR="00461EAB">
        <w:rPr>
          <w:rFonts w:ascii="Times New Roman" w:hAnsi="Times New Roman"/>
          <w:lang w:val="sk-SK"/>
        </w:rPr>
        <w:t>, príslušný návrh tvorí prílohu k tomuto návrhu zákona.</w:t>
      </w:r>
      <w:r>
        <w:rPr>
          <w:rFonts w:ascii="Times New Roman" w:hAnsi="Times New Roman"/>
          <w:lang w:val="sk-SK"/>
        </w:rPr>
        <w:t xml:space="preserve"> </w:t>
      </w:r>
      <w:r w:rsidR="00495281">
        <w:rPr>
          <w:rFonts w:ascii="Times New Roman" w:hAnsi="Times New Roman"/>
          <w:lang w:val="sk-SK"/>
        </w:rPr>
        <w:t>Písomné vyhlásenie správcu vkladu</w:t>
      </w:r>
      <w:r w:rsidRPr="00495281" w:rsidR="00495281">
        <w:rPr>
          <w:rFonts w:ascii="Times New Roman" w:hAnsi="Times New Roman"/>
          <w:lang w:val="sk-SK"/>
        </w:rPr>
        <w:t xml:space="preserve"> o splatení vkladu alebo jeho častí jednotlivými spoločníkmi</w:t>
      </w:r>
      <w:r w:rsidR="00495281">
        <w:rPr>
          <w:rFonts w:ascii="Times New Roman" w:hAnsi="Times New Roman"/>
          <w:lang w:val="sk-SK"/>
        </w:rPr>
        <w:t xml:space="preserve">, ktoré sa pripája k návrhu na zápis spoločnosti do obchodného registra sa po navrhnutých zmenách bude v praxi aplikovať len vo vzťahu k nepeňažným vkladom. Splatenie peňažného vkladu alebo jeho časti sa bude registrovému súdu preukazovať priložením </w:t>
      </w:r>
      <w:r w:rsidRPr="00B944AC" w:rsidR="00495281">
        <w:rPr>
          <w:rFonts w:ascii="Times New Roman" w:hAnsi="Times New Roman"/>
        </w:rPr>
        <w:t>výpis</w:t>
      </w:r>
      <w:r w:rsidR="00495281">
        <w:rPr>
          <w:rFonts w:ascii="Times New Roman" w:hAnsi="Times New Roman"/>
        </w:rPr>
        <w:t>u</w:t>
      </w:r>
      <w:r w:rsidRPr="00B944AC" w:rsidR="00495281">
        <w:rPr>
          <w:rFonts w:ascii="Times New Roman" w:hAnsi="Times New Roman"/>
        </w:rPr>
        <w:t xml:space="preserve"> </w:t>
      </w:r>
      <w:r w:rsidRPr="00360E09" w:rsidR="00495281">
        <w:rPr>
          <w:rFonts w:ascii="Times New Roman" w:hAnsi="Times New Roman"/>
          <w:lang w:val="sk-SK"/>
        </w:rPr>
        <w:t>z účtu v banke preukazujúci</w:t>
      </w:r>
      <w:r w:rsidR="00495281">
        <w:rPr>
          <w:rFonts w:ascii="Times New Roman" w:hAnsi="Times New Roman"/>
          <w:lang w:val="sk-SK"/>
        </w:rPr>
        <w:t>m</w:t>
      </w:r>
      <w:r w:rsidRPr="00360E09" w:rsidR="00495281">
        <w:rPr>
          <w:rFonts w:ascii="Times New Roman" w:hAnsi="Times New Roman"/>
          <w:lang w:val="sk-SK"/>
        </w:rPr>
        <w:t xml:space="preserve"> splatenie.</w:t>
      </w: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bodu </w:t>
      </w:r>
      <w:r w:rsidR="00D167A8">
        <w:rPr>
          <w:rStyle w:val="PlaceholderText"/>
          <w:rFonts w:ascii="Times New Roman" w:hAnsi="Times New Roman"/>
          <w:i/>
          <w:iCs/>
          <w:color w:val="000000"/>
          <w:lang w:val="sk-SK"/>
        </w:rPr>
        <w:t>3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(§ </w:t>
      </w:r>
      <w:r w:rsidR="00FE054E">
        <w:rPr>
          <w:rStyle w:val="PlaceholderText"/>
          <w:rFonts w:ascii="Times New Roman" w:hAnsi="Times New Roman"/>
          <w:i/>
          <w:iCs/>
          <w:color w:val="000000"/>
          <w:lang w:val="sk-SK"/>
        </w:rPr>
        <w:t>68 ods. 10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203792" w:rsidP="000F4BEF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406147" w:rsidR="00FE3760">
        <w:rPr>
          <w:rStyle w:val="PlaceholderText"/>
          <w:rFonts w:ascii="Times New Roman" w:hAnsi="Times New Roman"/>
          <w:iCs/>
          <w:color w:val="000000"/>
          <w:lang w:val="sk-SK"/>
        </w:rPr>
        <w:t>Predmetným novelizačným bodom reaguje predkladateľ na poznatky Finančného riaditeľstva Slovenskej republiky z aplikačnej praxe</w:t>
      </w:r>
      <w:r w:rsidR="003A13F9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a dochádza ním k predĺženiu pôvodnej lehoty troch mesiacov na lehotu šiestich mesiacov (od zverejnenia oznámenia v Obchodnom vestníku), počas ktorých nebude môcť registrový súd rozhodnúť</w:t>
      </w:r>
      <w:r w:rsidRPr="003A13F9" w:rsidR="003A13F9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o zrušení spoločnosti </w:t>
      </w:r>
      <w:r w:rsidR="003A13F9">
        <w:rPr>
          <w:rStyle w:val="PlaceholderText"/>
          <w:rFonts w:ascii="Times New Roman" w:hAnsi="Times New Roman"/>
          <w:iCs/>
          <w:color w:val="000000"/>
          <w:lang w:val="sk-SK"/>
        </w:rPr>
        <w:t xml:space="preserve">bez likvidácie </w:t>
      </w:r>
      <w:r w:rsidR="00C6655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z </w:t>
      </w:r>
      <w:r w:rsidR="003A13F9">
        <w:rPr>
          <w:rStyle w:val="PlaceholderText"/>
          <w:rFonts w:ascii="Times New Roman" w:hAnsi="Times New Roman"/>
          <w:iCs/>
          <w:color w:val="000000"/>
          <w:lang w:val="sk-SK"/>
        </w:rPr>
        <w:t>dôvodu, ž</w:t>
      </w:r>
      <w:r w:rsidRPr="003A13F9" w:rsidR="003A13F9">
        <w:rPr>
          <w:rStyle w:val="PlaceholderText"/>
          <w:rFonts w:ascii="Times New Roman" w:hAnsi="Times New Roman"/>
          <w:iCs/>
          <w:color w:val="000000"/>
          <w:lang w:val="sk-SK"/>
        </w:rPr>
        <w:t>e spoločnosť nemá obchodný majetok, ktorý by postačoval na náhradu primeraných výdavkov a odmeny za výkon funkcie likvidátora</w:t>
      </w:r>
      <w:r w:rsidR="003A13F9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(§ 69 ods. 9).</w:t>
      </w:r>
      <w:r w:rsidR="00C6655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Lehota </w:t>
      </w:r>
      <w:r w:rsidR="000F4BE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podľa § 68 ods. 10 má v prvom rade slúžiť na ochranu práv a oprávnených záujmov veriteľov obchodných spoločností a družstiev a poskytnúť im primeraný priestor pre využitie právnych prostriedkov </w:t>
      </w:r>
      <w:r w:rsidR="00D04E18">
        <w:rPr>
          <w:rStyle w:val="PlaceholderText"/>
          <w:rFonts w:ascii="Times New Roman" w:hAnsi="Times New Roman"/>
          <w:iCs/>
          <w:color w:val="000000"/>
          <w:lang w:val="sk-SK"/>
        </w:rPr>
        <w:t xml:space="preserve">na </w:t>
      </w:r>
      <w:r w:rsidR="000F4BEF">
        <w:rPr>
          <w:rStyle w:val="PlaceholderText"/>
          <w:rFonts w:ascii="Times New Roman" w:hAnsi="Times New Roman"/>
          <w:iCs/>
          <w:color w:val="000000"/>
          <w:lang w:val="sk-SK"/>
        </w:rPr>
        <w:t>iniciáciu konaní o odporovateľnosti právnych úkonov alebo konaní o</w:t>
      </w:r>
      <w:r w:rsidR="00170CA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="000F4BE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vyslovenie  neplatnosti 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>prevodu majetku spoločnosti alebo družstva alebo neplatnosti právneho úkonu, ktorý sa týka majetku, ktorý patrí alebo patril spoločnosti alebo družstvu</w:t>
      </w:r>
      <w:r w:rsidR="000F4BEF">
        <w:rPr>
          <w:rStyle w:val="PlaceholderText"/>
          <w:rFonts w:ascii="Times New Roman" w:hAnsi="Times New Roman"/>
          <w:iCs/>
          <w:color w:val="000000"/>
          <w:lang w:val="sk-SK"/>
        </w:rPr>
        <w:t>, ktoré mohli poškodiť oprávnený záujem veriteľa na uspokojení jeho pohľadávky</w:t>
      </w:r>
      <w:r w:rsidR="00170CAA">
        <w:rPr>
          <w:rStyle w:val="PlaceholderText"/>
          <w:rFonts w:ascii="Times New Roman" w:hAnsi="Times New Roman"/>
          <w:iCs/>
          <w:color w:val="000000"/>
          <w:lang w:val="sk-SK"/>
        </w:rPr>
        <w:t>, prípadne iných prostriedkov na vymáhanie pohľadávok</w:t>
      </w:r>
      <w:r w:rsidR="000F4BEF">
        <w:rPr>
          <w:rStyle w:val="PlaceholderText"/>
          <w:rFonts w:ascii="Times New Roman" w:hAnsi="Times New Roman"/>
          <w:iCs/>
          <w:color w:val="000000"/>
          <w:lang w:val="sk-SK"/>
        </w:rPr>
        <w:t>.</w:t>
      </w:r>
      <w:r w:rsidRPr="000F4BEF" w:rsidR="000F4BE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Pokiaľ veritelia oznámia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 xml:space="preserve"> v lehote podľa § 68 ods. 10</w:t>
      </w:r>
      <w:r w:rsidRPr="000F4BEF" w:rsidR="000F4BE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súdu </w:t>
      </w:r>
      <w:r w:rsidR="00170CA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iniciáciu </w:t>
      </w:r>
      <w:r w:rsidRPr="000F4BEF" w:rsidR="000F4BEF">
        <w:rPr>
          <w:rStyle w:val="PlaceholderText"/>
          <w:rFonts w:ascii="Times New Roman" w:hAnsi="Times New Roman"/>
          <w:iCs/>
          <w:color w:val="000000"/>
          <w:lang w:val="sk-SK"/>
        </w:rPr>
        <w:t>také</w:t>
      </w:r>
      <w:r w:rsidR="00170CAA">
        <w:rPr>
          <w:rStyle w:val="PlaceholderText"/>
          <w:rFonts w:ascii="Times New Roman" w:hAnsi="Times New Roman"/>
          <w:iCs/>
          <w:color w:val="000000"/>
          <w:lang w:val="sk-SK"/>
        </w:rPr>
        <w:t>ho</w:t>
      </w:r>
      <w:r w:rsidRPr="000F4BEF" w:rsidR="000F4BEF">
        <w:rPr>
          <w:rStyle w:val="PlaceholderText"/>
          <w:rFonts w:ascii="Times New Roman" w:hAnsi="Times New Roman"/>
          <w:iCs/>
          <w:color w:val="000000"/>
          <w:lang w:val="sk-SK"/>
        </w:rPr>
        <w:t>to konani</w:t>
      </w:r>
      <w:r w:rsidR="00170CAA">
        <w:rPr>
          <w:rStyle w:val="PlaceholderText"/>
          <w:rFonts w:ascii="Times New Roman" w:hAnsi="Times New Roman"/>
          <w:iCs/>
          <w:color w:val="000000"/>
          <w:lang w:val="sk-SK"/>
        </w:rPr>
        <w:t>a</w:t>
      </w:r>
      <w:r w:rsidRPr="000F4BEF" w:rsidR="000F4BE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, súd 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>v súlade s § 200e ods. 4 písm. f) Občianskeho súdneho poriadku v znení zákona č. 64/2013 Z. z. preruší konanie o zrušenie spoločnosti bez likvidácie tak, aby prebiehajúce konania o nároku neboli zmarené v dôsledku zrušenia a výmazu spoločnosti alebo družstva z obchodného registra a ich zániku ako subjektu práva (a teda aj zániku pasívne legitimovaného účastníka konania).</w:t>
      </w:r>
    </w:p>
    <w:p w:rsidR="0014124B" w:rsidRPr="00C5375D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BC1F6C">
        <w:rPr>
          <w:rStyle w:val="PlaceholderText"/>
          <w:rFonts w:ascii="Times New Roman" w:hAnsi="Times New Roman"/>
          <w:i/>
          <w:iCs/>
          <w:color w:val="000000"/>
          <w:lang w:val="sk-SK"/>
        </w:rPr>
        <w:t>K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BC1F6C">
        <w:rPr>
          <w:rStyle w:val="PlaceholderText"/>
          <w:rFonts w:ascii="Times New Roman" w:hAnsi="Times New Roman"/>
          <w:i/>
          <w:iCs/>
          <w:color w:val="000000"/>
          <w:lang w:val="sk-SK"/>
        </w:rPr>
        <w:t>bodu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</w:t>
      </w:r>
      <w:r w:rsidR="00D167A8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4 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(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§ </w:t>
      </w:r>
      <w:r w:rsidR="00FE054E">
        <w:rPr>
          <w:rStyle w:val="PlaceholderText"/>
          <w:rFonts w:ascii="Times New Roman" w:hAnsi="Times New Roman"/>
          <w:i/>
          <w:iCs/>
          <w:color w:val="000000"/>
          <w:lang w:val="sk-SK"/>
        </w:rPr>
        <w:t>97 ods. 4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="003A13F9">
        <w:rPr>
          <w:rStyle w:val="PlaceholderText"/>
          <w:rFonts w:ascii="Times New Roman" w:hAnsi="Times New Roman"/>
          <w:iCs/>
          <w:color w:val="000000"/>
          <w:lang w:val="sk-SK"/>
        </w:rPr>
        <w:t>Predmetným novelizačným bodom a spresnením vnútorného odkazu má predkladateľ ambíciu odstrániť výkladové nejasnosti, ktoré vyvstali po novelizácii Obchodného zákonníka vykonanej zákonom č. 246/2012 Z. z.</w:t>
      </w:r>
      <w:r w:rsidR="00406147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Pri prevode obchodného podielu komanditistu v komanditnej spoločnosti je vylúčená aplikácia ustanovení § 115 ods. 5 až 10.</w:t>
      </w:r>
    </w:p>
    <w:p w:rsidR="003A13F9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</w:p>
    <w:p w:rsidR="0014124B" w:rsidRPr="001C4B96" w:rsidP="0014124B">
      <w:pPr>
        <w:bidi w:val="0"/>
        <w:rPr>
          <w:rFonts w:ascii="Times New Roman" w:hAnsi="Times New Roman"/>
          <w:bCs/>
          <w:i/>
          <w:lang w:val="sk-SK"/>
        </w:rPr>
      </w:pPr>
      <w:r w:rsidRPr="001C4B96">
        <w:rPr>
          <w:rFonts w:ascii="Times New Roman" w:hAnsi="Times New Roman"/>
          <w:bCs/>
          <w:i/>
          <w:lang w:val="sk-SK"/>
        </w:rPr>
        <w:t xml:space="preserve">K bodu </w:t>
      </w:r>
      <w:r w:rsidR="00D167A8">
        <w:rPr>
          <w:rFonts w:ascii="Times New Roman" w:hAnsi="Times New Roman"/>
          <w:bCs/>
          <w:i/>
          <w:lang w:val="sk-SK"/>
        </w:rPr>
        <w:t>5</w:t>
      </w:r>
      <w:r w:rsidRPr="001C4B96" w:rsidR="00D167A8">
        <w:rPr>
          <w:rFonts w:ascii="Times New Roman" w:hAnsi="Times New Roman"/>
          <w:bCs/>
          <w:i/>
          <w:lang w:val="sk-SK"/>
        </w:rPr>
        <w:t xml:space="preserve"> </w:t>
      </w:r>
      <w:r w:rsidRPr="001C4B96">
        <w:rPr>
          <w:rFonts w:ascii="Times New Roman" w:hAnsi="Times New Roman"/>
          <w:bCs/>
          <w:i/>
          <w:lang w:val="sk-SK"/>
        </w:rPr>
        <w:t xml:space="preserve">(§ </w:t>
      </w:r>
      <w:r w:rsidR="00FE054E">
        <w:rPr>
          <w:rFonts w:ascii="Times New Roman" w:hAnsi="Times New Roman"/>
          <w:bCs/>
          <w:i/>
          <w:lang w:val="sk-SK"/>
        </w:rPr>
        <w:t>105b ods. 2</w:t>
      </w:r>
      <w:r w:rsidRPr="001C4B96">
        <w:rPr>
          <w:rFonts w:ascii="Times New Roman" w:hAnsi="Times New Roman"/>
          <w:bCs/>
          <w:i/>
          <w:lang w:val="sk-SK"/>
        </w:rPr>
        <w:t>)</w:t>
      </w:r>
    </w:p>
    <w:p w:rsidR="00FE054E" w:rsidRPr="00795590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="00406147">
        <w:rPr>
          <w:rStyle w:val="PlaceholderText"/>
          <w:rFonts w:ascii="Times New Roman" w:hAnsi="Times New Roman"/>
          <w:iCs/>
          <w:color w:val="000000"/>
          <w:lang w:val="sk-SK"/>
        </w:rPr>
        <w:t xml:space="preserve">Predmetným novelizačným bodom a doplnením nového odseku 2 v ustanovení § 105b má predkladateľ ambíciu odstrániť výkladové nejasnosti vo vzťahu k potrebe priloženia súhlasu správcu dane (daňového úradu alebo colného úradu) </w:t>
      </w:r>
      <w:r w:rsidR="007955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alebo čestného vyhlásenia </w:t>
      </w:r>
      <w:r w:rsidR="00406147">
        <w:rPr>
          <w:rStyle w:val="PlaceholderText"/>
          <w:rFonts w:ascii="Times New Roman" w:hAnsi="Times New Roman"/>
          <w:iCs/>
          <w:color w:val="000000"/>
          <w:lang w:val="sk-SK"/>
        </w:rPr>
        <w:t>k návrhu na prvý zápis spo</w:t>
      </w:r>
      <w:r w:rsidR="00795590">
        <w:rPr>
          <w:rStyle w:val="PlaceholderText"/>
          <w:rFonts w:ascii="Times New Roman" w:hAnsi="Times New Roman"/>
          <w:iCs/>
          <w:color w:val="000000"/>
          <w:lang w:val="sk-SK"/>
        </w:rPr>
        <w:t>lo</w:t>
      </w:r>
      <w:r w:rsidR="00406147">
        <w:rPr>
          <w:rStyle w:val="PlaceholderText"/>
          <w:rFonts w:ascii="Times New Roman" w:hAnsi="Times New Roman"/>
          <w:iCs/>
          <w:color w:val="000000"/>
          <w:lang w:val="sk-SK"/>
        </w:rPr>
        <w:t>čnosti s ručením obmedzeným do obchodného registra v</w:t>
      </w:r>
      <w:r w:rsidR="00795590">
        <w:rPr>
          <w:rStyle w:val="PlaceholderText"/>
          <w:rFonts w:ascii="Times New Roman" w:hAnsi="Times New Roman"/>
          <w:iCs/>
          <w:color w:val="000000"/>
          <w:lang w:val="sk-SK"/>
        </w:rPr>
        <w:t> prípade, ak je zakladateľom zahraničná osoba (t.j. fyzická osoba s bydliskom mimo územie Slovenskej republiky alebo právnická osoba so sídlom mimo územie Slovenskej republiky, pozri bližšie § 21). Uvedený návrh je v súlade výnimkou spod aplikácie § 115 ods. 5 založenou pre zahraničné osoby v § 115 ods. 8 druhá veta.</w:t>
      </w:r>
    </w:p>
    <w:p w:rsidR="00406147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bodu </w:t>
      </w:r>
      <w:r w:rsidR="00D167A8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6 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(§ </w:t>
      </w:r>
      <w:r w:rsidR="00FE054E">
        <w:rPr>
          <w:rStyle w:val="PlaceholderText"/>
          <w:rFonts w:ascii="Times New Roman" w:hAnsi="Times New Roman"/>
          <w:i/>
          <w:iCs/>
          <w:color w:val="000000"/>
          <w:lang w:val="sk-SK"/>
        </w:rPr>
        <w:t>117 ods. 4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14124B" w:rsidRPr="00795590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="00795590">
        <w:rPr>
          <w:rStyle w:val="PlaceholderText"/>
          <w:rFonts w:ascii="Times New Roman" w:hAnsi="Times New Roman"/>
          <w:iCs/>
          <w:color w:val="000000"/>
          <w:lang w:val="sk-SK"/>
        </w:rPr>
        <w:t>Predmetným novelizačným bodom dochádza k oprave vo vnútornom odkaze.</w:t>
      </w:r>
    </w:p>
    <w:p w:rsidR="00795590" w:rsidRPr="00E418A0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RPr="001C4B96" w:rsidP="0014124B">
      <w:pPr>
        <w:bidi w:val="0"/>
        <w:rPr>
          <w:rFonts w:ascii="Times New Roman" w:hAnsi="Times New Roman"/>
          <w:bCs/>
          <w:i/>
          <w:lang w:val="sk-SK"/>
        </w:rPr>
      </w:pPr>
      <w:r w:rsidRPr="001C4B96">
        <w:rPr>
          <w:rFonts w:ascii="Times New Roman" w:hAnsi="Times New Roman"/>
          <w:bCs/>
          <w:i/>
          <w:lang w:val="sk-SK"/>
        </w:rPr>
        <w:t xml:space="preserve">K bodu </w:t>
      </w:r>
      <w:r w:rsidR="00D167A8">
        <w:rPr>
          <w:rFonts w:ascii="Times New Roman" w:hAnsi="Times New Roman"/>
          <w:bCs/>
          <w:i/>
          <w:lang w:val="sk-SK"/>
        </w:rPr>
        <w:t>7</w:t>
      </w:r>
      <w:r w:rsidRPr="001C4B96" w:rsidR="00D167A8">
        <w:rPr>
          <w:rFonts w:ascii="Times New Roman" w:hAnsi="Times New Roman"/>
          <w:bCs/>
          <w:i/>
          <w:lang w:val="sk-SK"/>
        </w:rPr>
        <w:t xml:space="preserve"> </w:t>
      </w:r>
      <w:r w:rsidRPr="001C4B96">
        <w:rPr>
          <w:rFonts w:ascii="Times New Roman" w:hAnsi="Times New Roman"/>
          <w:bCs/>
          <w:i/>
          <w:lang w:val="sk-SK"/>
        </w:rPr>
        <w:t xml:space="preserve">(§ </w:t>
      </w:r>
      <w:r w:rsidR="00FE054E">
        <w:rPr>
          <w:rFonts w:ascii="Times New Roman" w:hAnsi="Times New Roman"/>
          <w:bCs/>
          <w:i/>
          <w:lang w:val="sk-SK"/>
        </w:rPr>
        <w:t>117 ods. 5</w:t>
      </w:r>
      <w:r w:rsidRPr="001C4B96">
        <w:rPr>
          <w:rFonts w:ascii="Times New Roman" w:hAnsi="Times New Roman"/>
          <w:bCs/>
          <w:i/>
          <w:lang w:val="sk-SK"/>
        </w:rPr>
        <w:t>)</w:t>
      </w:r>
    </w:p>
    <w:p w:rsidR="0014124B" w:rsidP="00795590">
      <w:pPr>
        <w:bidi w:val="0"/>
        <w:jc w:val="both"/>
        <w:rPr>
          <w:rFonts w:ascii="Times New Roman" w:hAnsi="Times New Roman"/>
          <w:lang w:val="sk-SK"/>
        </w:rPr>
      </w:pPr>
      <w:r w:rsidR="00795590">
        <w:rPr>
          <w:rFonts w:ascii="Times New Roman" w:hAnsi="Times New Roman"/>
          <w:lang w:val="sk-SK"/>
        </w:rPr>
        <w:t xml:space="preserve">Predmetným novelizačným bodom a doplnením nového odseku 5 v ustanovení § 117 má predkladateľ ambíciu </w:t>
      </w:r>
      <w:r w:rsidR="00C6655A">
        <w:rPr>
          <w:rFonts w:ascii="Times New Roman" w:hAnsi="Times New Roman"/>
          <w:lang w:val="sk-SK"/>
        </w:rPr>
        <w:t>zosúladiť účinky zápisu rozdelenia väčšinového obchodného podielu v spoločnosti s ručením obmedzeným s ustanovením § 115 ods. 10.</w:t>
      </w:r>
    </w:p>
    <w:p w:rsidR="00795590" w:rsidP="0014124B">
      <w:pPr>
        <w:bidi w:val="0"/>
        <w:rPr>
          <w:rFonts w:ascii="Times New Roman" w:hAnsi="Times New Roman"/>
          <w:lang w:val="sk-SK"/>
        </w:rPr>
      </w:pPr>
    </w:p>
    <w:p w:rsidR="00E14447" w:rsidRPr="008E6DD8" w:rsidP="0014124B">
      <w:pPr>
        <w:bidi w:val="0"/>
        <w:rPr>
          <w:rFonts w:ascii="Times New Roman" w:hAnsi="Times New Roman"/>
          <w:i/>
          <w:lang w:val="sk-SK"/>
        </w:rPr>
      </w:pPr>
      <w:r w:rsidRPr="008E6DD8">
        <w:rPr>
          <w:rFonts w:ascii="Times New Roman" w:hAnsi="Times New Roman"/>
          <w:i/>
          <w:lang w:val="sk-SK"/>
        </w:rPr>
        <w:t>K</w:t>
      </w:r>
      <w:r w:rsidRPr="00D972D8">
        <w:rPr>
          <w:rFonts w:ascii="Times New Roman" w:hAnsi="Times New Roman"/>
          <w:i/>
          <w:lang w:val="sk-SK"/>
        </w:rPr>
        <w:t> </w:t>
      </w:r>
      <w:r w:rsidRPr="008E6DD8">
        <w:rPr>
          <w:rFonts w:ascii="Times New Roman" w:hAnsi="Times New Roman"/>
          <w:i/>
          <w:lang w:val="sk-SK"/>
        </w:rPr>
        <w:t xml:space="preserve">bodu </w:t>
      </w:r>
      <w:r w:rsidR="00D167A8">
        <w:rPr>
          <w:rFonts w:ascii="Times New Roman" w:hAnsi="Times New Roman"/>
          <w:i/>
          <w:lang w:val="sk-SK"/>
        </w:rPr>
        <w:t>8</w:t>
      </w:r>
      <w:r w:rsidRPr="008E6DD8" w:rsidR="00D167A8">
        <w:rPr>
          <w:rFonts w:ascii="Times New Roman" w:hAnsi="Times New Roman"/>
          <w:i/>
          <w:lang w:val="sk-SK"/>
        </w:rPr>
        <w:t xml:space="preserve"> </w:t>
      </w:r>
      <w:r w:rsidRPr="008E6DD8">
        <w:rPr>
          <w:rFonts w:ascii="Times New Roman" w:hAnsi="Times New Roman"/>
          <w:i/>
          <w:lang w:val="sk-SK"/>
        </w:rPr>
        <w:t>(§ 144</w:t>
      </w:r>
      <w:r w:rsidR="000531D6">
        <w:rPr>
          <w:rFonts w:ascii="Times New Roman" w:hAnsi="Times New Roman"/>
          <w:i/>
          <w:lang w:val="sk-SK"/>
        </w:rPr>
        <w:t xml:space="preserve"> a </w:t>
      </w:r>
      <w:r w:rsidRPr="008E6DD8" w:rsidR="000531D6">
        <w:rPr>
          <w:rFonts w:ascii="Times New Roman" w:hAnsi="Times New Roman"/>
          <w:i/>
          <w:lang w:val="sk-SK"/>
        </w:rPr>
        <w:t>§ 179 ods. 3 písm. b)</w:t>
      </w:r>
    </w:p>
    <w:p w:rsidR="00E37F1F" w:rsidP="008E6DD8">
      <w:pPr>
        <w:bidi w:val="0"/>
        <w:jc w:val="both"/>
        <w:rPr>
          <w:rFonts w:ascii="Times New Roman" w:hAnsi="Times New Roman"/>
          <w:lang w:val="sk-SK"/>
        </w:rPr>
      </w:pPr>
      <w:r w:rsidRPr="004E428F" w:rsidR="00401538">
        <w:rPr>
          <w:rFonts w:ascii="Times New Roman" w:hAnsi="Times New Roman"/>
          <w:lang w:val="sk-SK"/>
        </w:rPr>
        <w:t>Predmetným novelizačným bodom dochádza k zapracovaniu zásadnej pripomienky Ministerstva financií Slovenskej republiky, Slovenskej bankovej asociáci</w:t>
      </w:r>
      <w:r w:rsidR="00D4692A">
        <w:rPr>
          <w:rFonts w:ascii="Times New Roman" w:hAnsi="Times New Roman"/>
          <w:lang w:val="sk-SK"/>
        </w:rPr>
        <w:t>e</w:t>
      </w:r>
      <w:r w:rsidRPr="004E428F" w:rsidR="00401538">
        <w:rPr>
          <w:rFonts w:ascii="Times New Roman" w:hAnsi="Times New Roman"/>
          <w:lang w:val="sk-SK"/>
        </w:rPr>
        <w:t xml:space="preserve"> a Republikovej únie zamestnávateľov, ktorú si uplatnili v rámci </w:t>
      </w:r>
      <w:r w:rsidRPr="00D972D8" w:rsidR="00401538">
        <w:rPr>
          <w:rFonts w:ascii="Times New Roman" w:hAnsi="Times New Roman"/>
          <w:lang w:val="sk-SK"/>
        </w:rPr>
        <w:t>medzirezortného pripomienkového konania</w:t>
      </w:r>
      <w:r w:rsidR="009F255C">
        <w:rPr>
          <w:rFonts w:ascii="Times New Roman" w:hAnsi="Times New Roman"/>
          <w:lang w:val="sk-SK"/>
        </w:rPr>
        <w:t xml:space="preserve"> a odstráneniu aplikačných problémov a</w:t>
      </w:r>
      <w:r w:rsidR="00D223B5">
        <w:rPr>
          <w:rFonts w:ascii="Times New Roman" w:hAnsi="Times New Roman"/>
          <w:lang w:val="sk-SK"/>
        </w:rPr>
        <w:t xml:space="preserve"> </w:t>
      </w:r>
      <w:r w:rsidR="009F255C">
        <w:rPr>
          <w:rFonts w:ascii="Times New Roman" w:hAnsi="Times New Roman"/>
          <w:lang w:val="sk-SK"/>
        </w:rPr>
        <w:t>výkladov</w:t>
      </w:r>
      <w:r w:rsidR="00D223B5">
        <w:rPr>
          <w:rFonts w:ascii="Times New Roman" w:hAnsi="Times New Roman"/>
          <w:lang w:val="sk-SK"/>
        </w:rPr>
        <w:t>ých pochybností</w:t>
      </w:r>
      <w:r w:rsidRPr="00D972D8" w:rsidR="00401538">
        <w:rPr>
          <w:rFonts w:ascii="Times New Roman" w:hAnsi="Times New Roman"/>
          <w:lang w:val="sk-SK"/>
        </w:rPr>
        <w:t xml:space="preserve">. </w:t>
      </w:r>
      <w:r w:rsidRPr="008E6DD8" w:rsidR="00010FC0">
        <w:rPr>
          <w:rFonts w:ascii="Times New Roman" w:hAnsi="Times New Roman"/>
          <w:lang w:val="sk-SK"/>
        </w:rPr>
        <w:t xml:space="preserve">Z odôvodnenia zásadnej pripomienky vyplýva, že sa ňou sleduje záujem na </w:t>
      </w:r>
      <w:r w:rsidR="00767902">
        <w:rPr>
          <w:rFonts w:ascii="Times New Roman" w:hAnsi="Times New Roman"/>
          <w:lang w:val="sk-SK"/>
        </w:rPr>
        <w:t>spresnení</w:t>
      </w:r>
      <w:r w:rsidRPr="00D972D8">
        <w:rPr>
          <w:rFonts w:ascii="Times New Roman" w:hAnsi="Times New Roman"/>
          <w:lang w:val="sk-SK"/>
        </w:rPr>
        <w:t xml:space="preserve"> </w:t>
      </w:r>
      <w:r w:rsidRPr="008E6DD8" w:rsidR="00010FC0">
        <w:rPr>
          <w:rFonts w:ascii="Times New Roman" w:hAnsi="Times New Roman"/>
          <w:lang w:val="sk-SK"/>
        </w:rPr>
        <w:t>národnej transpozičnej úpravy</w:t>
      </w:r>
      <w:r w:rsidR="00767902">
        <w:rPr>
          <w:rFonts w:ascii="Times New Roman" w:hAnsi="Times New Roman"/>
          <w:lang w:val="sk-SK"/>
        </w:rPr>
        <w:t xml:space="preserve"> § 179 ods. 3 písm. b) Obchodného zákonníka</w:t>
      </w:r>
      <w:r w:rsidRPr="008E6DD8" w:rsidR="00010FC0">
        <w:rPr>
          <w:rFonts w:ascii="Times New Roman" w:hAnsi="Times New Roman"/>
          <w:lang w:val="sk-SK"/>
        </w:rPr>
        <w:t xml:space="preserve"> s</w:t>
      </w:r>
      <w:r w:rsidRPr="00D972D8">
        <w:rPr>
          <w:rFonts w:ascii="Times New Roman" w:hAnsi="Times New Roman"/>
          <w:lang w:val="sk-SK"/>
        </w:rPr>
        <w:t xml:space="preserve"> článkom 17 ods. 3 </w:t>
      </w:r>
      <w:r w:rsidR="00482979">
        <w:rPr>
          <w:rFonts w:ascii="Times New Roman" w:hAnsi="Times New Roman"/>
          <w:lang w:val="sk-SK"/>
        </w:rPr>
        <w:t>kapitálovej smernice</w:t>
      </w:r>
      <w:r w:rsidRPr="00D972D8">
        <w:rPr>
          <w:rFonts w:ascii="Times New Roman" w:hAnsi="Times New Roman"/>
          <w:lang w:val="sk-SK"/>
        </w:rPr>
        <w:t>.</w:t>
      </w:r>
      <w:bookmarkStart w:id="1" w:name="_Ref358720618"/>
      <w:r>
        <w:rPr>
          <w:rStyle w:val="FootnoteReference"/>
          <w:rFonts w:ascii="Times New Roman" w:hAnsi="Times New Roman"/>
          <w:rtl w:val="0"/>
          <w:lang w:val="sk-SK"/>
        </w:rPr>
        <w:footnoteReference w:id="3"/>
      </w:r>
      <w:bookmarkEnd w:id="1"/>
      <w:r w:rsidR="00482979">
        <w:rPr>
          <w:rFonts w:ascii="Times New Roman" w:hAnsi="Times New Roman"/>
          <w:lang w:val="sk-SK"/>
        </w:rPr>
        <w:t>)</w:t>
      </w:r>
      <w:r w:rsidRPr="00D972D8">
        <w:rPr>
          <w:rFonts w:ascii="Times New Roman" w:hAnsi="Times New Roman"/>
          <w:lang w:val="sk-SK"/>
        </w:rPr>
        <w:t xml:space="preserve"> Podľa slovensk</w:t>
      </w:r>
      <w:r w:rsidRPr="008E6DD8" w:rsidR="00202A1D">
        <w:rPr>
          <w:rFonts w:ascii="Times New Roman" w:hAnsi="Times New Roman"/>
          <w:lang w:val="sk-SK"/>
        </w:rPr>
        <w:t>ej jazykovej verzie</w:t>
      </w:r>
      <w:r w:rsidRPr="00D972D8">
        <w:rPr>
          <w:rFonts w:ascii="Times New Roman" w:hAnsi="Times New Roman"/>
          <w:lang w:val="sk-SK"/>
        </w:rPr>
        <w:t xml:space="preserve"> článku 17 ods. 3 smernice čiastka na rozdelenie akcionárom nesmie prekročiť </w:t>
      </w:r>
      <w:r w:rsidR="00482979">
        <w:rPr>
          <w:rFonts w:ascii="Times New Roman" w:hAnsi="Times New Roman"/>
          <w:lang w:val="sk-SK"/>
        </w:rPr>
        <w:t>„</w:t>
      </w:r>
      <w:r w:rsidRPr="008E6DD8">
        <w:rPr>
          <w:rFonts w:ascii="Times New Roman" w:hAnsi="Times New Roman"/>
          <w:i/>
          <w:lang w:val="sk-SK"/>
        </w:rPr>
        <w:t xml:space="preserve">výšku zisku na konci posledného účtovného obdobia zvýšenú o zisk z predchádzajúcich období a platby z rezervných fondov </w:t>
      </w:r>
      <w:r w:rsidRPr="008E6DD8" w:rsidR="00202A1D">
        <w:rPr>
          <w:rFonts w:ascii="Times New Roman" w:hAnsi="Times New Roman"/>
          <w:i/>
          <w:lang w:val="sk-SK"/>
        </w:rPr>
        <w:t>určených</w:t>
      </w:r>
      <w:r w:rsidRPr="008E6DD8">
        <w:rPr>
          <w:rFonts w:ascii="Times New Roman" w:hAnsi="Times New Roman"/>
          <w:i/>
          <w:lang w:val="sk-SK"/>
        </w:rPr>
        <w:t xml:space="preserve"> na tento účel a zníženú o straty z predchádzajúcich období a o čiastky vložené do rezervných fondov v súlade s právnymi predpismi alebo stanovami</w:t>
      </w:r>
      <w:r w:rsidR="00482979">
        <w:rPr>
          <w:rFonts w:ascii="Times New Roman" w:hAnsi="Times New Roman"/>
          <w:i/>
          <w:lang w:val="sk-SK"/>
        </w:rPr>
        <w:t>“</w:t>
      </w:r>
      <w:r w:rsidRPr="00D972D8">
        <w:rPr>
          <w:rFonts w:ascii="Times New Roman" w:hAnsi="Times New Roman"/>
          <w:lang w:val="sk-SK"/>
        </w:rPr>
        <w:t xml:space="preserve">. Citované </w:t>
      </w:r>
      <w:r w:rsidRPr="008E6DD8">
        <w:rPr>
          <w:rFonts w:ascii="Times New Roman" w:hAnsi="Times New Roman"/>
          <w:i/>
          <w:lang w:val="sk-SK"/>
        </w:rPr>
        <w:t xml:space="preserve">„platby z rezervných fondov </w:t>
      </w:r>
      <w:r w:rsidRPr="008E6DD8" w:rsidR="00202A1D">
        <w:rPr>
          <w:rFonts w:ascii="Times New Roman" w:hAnsi="Times New Roman"/>
          <w:i/>
          <w:lang w:val="sk-SK"/>
        </w:rPr>
        <w:t>určené</w:t>
      </w:r>
      <w:r w:rsidRPr="008E6DD8">
        <w:rPr>
          <w:rFonts w:ascii="Times New Roman" w:hAnsi="Times New Roman"/>
          <w:i/>
          <w:lang w:val="sk-SK"/>
        </w:rPr>
        <w:t xml:space="preserve"> na tento účel“</w:t>
      </w:r>
      <w:r w:rsidRPr="00D972D8">
        <w:rPr>
          <w:rFonts w:ascii="Times New Roman" w:hAnsi="Times New Roman"/>
          <w:lang w:val="sk-SK"/>
        </w:rPr>
        <w:t xml:space="preserve"> sa v</w:t>
      </w:r>
      <w:r w:rsidRPr="008E6DD8" w:rsidR="00202A1D">
        <w:rPr>
          <w:rFonts w:ascii="Times New Roman" w:hAnsi="Times New Roman"/>
          <w:lang w:val="sk-SK"/>
        </w:rPr>
        <w:t> </w:t>
      </w:r>
      <w:r w:rsidRPr="008E6DD8">
        <w:rPr>
          <w:rFonts w:ascii="Times New Roman" w:hAnsi="Times New Roman"/>
          <w:lang w:val="sk-SK"/>
        </w:rPr>
        <w:t>anglick</w:t>
      </w:r>
      <w:r w:rsidRPr="008E6DD8" w:rsidR="00202A1D">
        <w:rPr>
          <w:rFonts w:ascii="Times New Roman" w:hAnsi="Times New Roman"/>
          <w:lang w:val="sk-SK"/>
        </w:rPr>
        <w:t>ej jazykovej verzii</w:t>
      </w:r>
      <w:r w:rsidRPr="00D972D8">
        <w:rPr>
          <w:rFonts w:ascii="Times New Roman" w:hAnsi="Times New Roman"/>
          <w:lang w:val="sk-SK"/>
        </w:rPr>
        <w:t xml:space="preserve"> </w:t>
      </w:r>
      <w:r w:rsidRPr="008E6DD8" w:rsidR="00202A1D">
        <w:rPr>
          <w:rFonts w:ascii="Times New Roman" w:hAnsi="Times New Roman"/>
          <w:lang w:val="sk-SK"/>
        </w:rPr>
        <w:t>s</w:t>
      </w:r>
      <w:r w:rsidRPr="00D972D8">
        <w:rPr>
          <w:rFonts w:ascii="Times New Roman" w:hAnsi="Times New Roman"/>
          <w:lang w:val="sk-SK"/>
        </w:rPr>
        <w:t xml:space="preserve">mernice definujú ako </w:t>
      </w:r>
      <w:r w:rsidRPr="008E6DD8">
        <w:rPr>
          <w:rFonts w:ascii="Times New Roman" w:hAnsi="Times New Roman"/>
          <w:i/>
          <w:lang w:val="sk-SK"/>
        </w:rPr>
        <w:t>„</w:t>
      </w:r>
      <w:r w:rsidRPr="00D972D8" w:rsidR="00D77832">
        <w:rPr>
          <w:rFonts w:ascii="Times New Roman" w:hAnsi="Times New Roman"/>
          <w:i/>
          <w:lang w:val="sk-SK"/>
        </w:rPr>
        <w:t>sums drawn from reserves available for this purpose</w:t>
      </w:r>
      <w:r w:rsidRPr="008E6DD8">
        <w:rPr>
          <w:rFonts w:ascii="Times New Roman" w:hAnsi="Times New Roman"/>
          <w:i/>
          <w:lang w:val="sk-SK"/>
        </w:rPr>
        <w:t>“</w:t>
      </w:r>
      <w:r w:rsidRPr="00D972D8">
        <w:rPr>
          <w:rFonts w:ascii="Times New Roman" w:hAnsi="Times New Roman"/>
          <w:lang w:val="sk-SK"/>
        </w:rPr>
        <w:t>, v</w:t>
      </w:r>
      <w:r w:rsidRPr="008E6DD8" w:rsidR="00202A1D">
        <w:rPr>
          <w:rFonts w:ascii="Times New Roman" w:hAnsi="Times New Roman"/>
          <w:lang w:val="sk-SK"/>
        </w:rPr>
        <w:t> </w:t>
      </w:r>
      <w:r w:rsidRPr="008E6DD8">
        <w:rPr>
          <w:rFonts w:ascii="Times New Roman" w:hAnsi="Times New Roman"/>
          <w:lang w:val="sk-SK"/>
        </w:rPr>
        <w:t>nemeck</w:t>
      </w:r>
      <w:r w:rsidRPr="008E6DD8" w:rsidR="00202A1D">
        <w:rPr>
          <w:rFonts w:ascii="Times New Roman" w:hAnsi="Times New Roman"/>
          <w:lang w:val="sk-SK"/>
        </w:rPr>
        <w:t>ej jazykovej verzii</w:t>
      </w:r>
      <w:r w:rsidRPr="00D972D8">
        <w:rPr>
          <w:rFonts w:ascii="Times New Roman" w:hAnsi="Times New Roman"/>
          <w:lang w:val="sk-SK"/>
        </w:rPr>
        <w:t xml:space="preserve"> ako </w:t>
      </w:r>
      <w:r w:rsidRPr="008E6DD8">
        <w:rPr>
          <w:rFonts w:ascii="Times New Roman" w:hAnsi="Times New Roman"/>
          <w:i/>
          <w:lang w:val="sk-SK"/>
        </w:rPr>
        <w:t>„</w:t>
      </w:r>
      <w:r w:rsidRPr="008E6DD8" w:rsidR="00D77832">
        <w:rPr>
          <w:rFonts w:ascii="Times New Roman" w:hAnsi="Times New Roman"/>
          <w:i/>
          <w:lang w:val="sk-SK"/>
        </w:rPr>
        <w:t>der Entnahmen aus hierfür verfügbaren Rücklagen</w:t>
      </w:r>
      <w:r w:rsidRPr="008E6DD8">
        <w:rPr>
          <w:rFonts w:ascii="Times New Roman" w:hAnsi="Times New Roman"/>
          <w:i/>
          <w:lang w:val="sk-SK"/>
        </w:rPr>
        <w:t>“</w:t>
      </w:r>
      <w:r w:rsidRPr="00D972D8">
        <w:rPr>
          <w:rFonts w:ascii="Times New Roman" w:hAnsi="Times New Roman"/>
          <w:lang w:val="sk-SK"/>
        </w:rPr>
        <w:t xml:space="preserve">. Slovenský ekvivalent </w:t>
      </w:r>
      <w:r w:rsidRPr="008E6DD8" w:rsidR="00D77832">
        <w:rPr>
          <w:rFonts w:ascii="Times New Roman" w:hAnsi="Times New Roman"/>
          <w:i/>
          <w:lang w:val="sk-SK"/>
        </w:rPr>
        <w:t>„</w:t>
      </w:r>
      <w:r w:rsidRPr="008E6DD8">
        <w:rPr>
          <w:rFonts w:ascii="Times New Roman" w:hAnsi="Times New Roman"/>
          <w:i/>
          <w:lang w:val="sk-SK"/>
        </w:rPr>
        <w:t>rezervné fondy</w:t>
      </w:r>
      <w:r w:rsidRPr="008E6DD8" w:rsidR="00D77832">
        <w:rPr>
          <w:rFonts w:ascii="Times New Roman" w:hAnsi="Times New Roman"/>
          <w:i/>
          <w:lang w:val="sk-SK"/>
        </w:rPr>
        <w:t>“</w:t>
      </w:r>
      <w:r w:rsidRPr="00D972D8">
        <w:rPr>
          <w:rFonts w:ascii="Times New Roman" w:hAnsi="Times New Roman"/>
          <w:lang w:val="sk-SK"/>
        </w:rPr>
        <w:t xml:space="preserve"> je významovo užší než je pojem </w:t>
      </w:r>
      <w:r w:rsidRPr="008E6DD8" w:rsidR="00D77832">
        <w:rPr>
          <w:rFonts w:ascii="Times New Roman" w:hAnsi="Times New Roman"/>
          <w:i/>
          <w:lang w:val="sk-SK"/>
        </w:rPr>
        <w:t>„r</w:t>
      </w:r>
      <w:r w:rsidRPr="008E6DD8">
        <w:rPr>
          <w:rFonts w:ascii="Times New Roman" w:hAnsi="Times New Roman"/>
          <w:i/>
          <w:lang w:val="sk-SK"/>
        </w:rPr>
        <w:t>eserves</w:t>
      </w:r>
      <w:r w:rsidRPr="008E6DD8" w:rsidR="00D77832">
        <w:rPr>
          <w:rFonts w:ascii="Times New Roman" w:hAnsi="Times New Roman"/>
          <w:lang w:val="sk-SK"/>
        </w:rPr>
        <w:t>“ alebo</w:t>
      </w:r>
      <w:r w:rsidRPr="00D972D8">
        <w:rPr>
          <w:rFonts w:ascii="Times New Roman" w:hAnsi="Times New Roman"/>
          <w:lang w:val="sk-SK"/>
        </w:rPr>
        <w:t xml:space="preserve"> </w:t>
      </w:r>
      <w:r w:rsidRPr="008E6DD8" w:rsidR="00D77832">
        <w:rPr>
          <w:rFonts w:ascii="Times New Roman" w:hAnsi="Times New Roman"/>
          <w:i/>
          <w:lang w:val="sk-SK"/>
        </w:rPr>
        <w:t>„</w:t>
      </w:r>
      <w:r w:rsidRPr="008E6DD8">
        <w:rPr>
          <w:rFonts w:ascii="Times New Roman" w:hAnsi="Times New Roman"/>
          <w:i/>
          <w:lang w:val="sk-SK"/>
        </w:rPr>
        <w:t>Rücklagen</w:t>
      </w:r>
      <w:r w:rsidRPr="008E6DD8" w:rsidR="00D77832">
        <w:rPr>
          <w:rFonts w:ascii="Times New Roman" w:hAnsi="Times New Roman"/>
          <w:i/>
          <w:lang w:val="sk-SK"/>
        </w:rPr>
        <w:t>“</w:t>
      </w:r>
      <w:r w:rsidRPr="00D972D8">
        <w:rPr>
          <w:rFonts w:ascii="Times New Roman" w:hAnsi="Times New Roman"/>
          <w:lang w:val="sk-SK"/>
        </w:rPr>
        <w:t>, keďže odkazuje na zákonný rezervný fond (§ 67 Obchodného zákonníka) a osobitný rezervný fond na vlastné akcie (§ 161d ods. 1 a § 215b ods. 2 Obchodného zák</w:t>
      </w:r>
      <w:r w:rsidRPr="008E6DD8">
        <w:rPr>
          <w:rFonts w:ascii="Times New Roman" w:hAnsi="Times New Roman"/>
          <w:lang w:val="sk-SK"/>
        </w:rPr>
        <w:t xml:space="preserve">onníka). Anglickému pojmu </w:t>
      </w:r>
      <w:r w:rsidRPr="008E6DD8">
        <w:rPr>
          <w:rFonts w:ascii="Times New Roman" w:hAnsi="Times New Roman"/>
          <w:i/>
          <w:lang w:val="sk-SK"/>
        </w:rPr>
        <w:t>„reserves“</w:t>
      </w:r>
      <w:r w:rsidRPr="00D972D8">
        <w:rPr>
          <w:rFonts w:ascii="Times New Roman" w:hAnsi="Times New Roman"/>
          <w:lang w:val="sk-SK"/>
        </w:rPr>
        <w:t xml:space="preserve"> a nemeckému pojmu </w:t>
      </w:r>
      <w:r w:rsidRPr="008E6DD8">
        <w:rPr>
          <w:rFonts w:ascii="Times New Roman" w:hAnsi="Times New Roman"/>
          <w:i/>
          <w:lang w:val="sk-SK"/>
        </w:rPr>
        <w:t>„Rücklagen</w:t>
      </w:r>
      <w:r w:rsidRPr="00D972D8">
        <w:rPr>
          <w:rFonts w:ascii="Times New Roman" w:hAnsi="Times New Roman"/>
          <w:lang w:val="sk-SK"/>
        </w:rPr>
        <w:t xml:space="preserve">“ však zodpovedajú nielen rezervné fondy, ale aj také </w:t>
      </w:r>
      <w:r w:rsidR="00D223B5">
        <w:rPr>
          <w:rFonts w:ascii="Times New Roman" w:hAnsi="Times New Roman"/>
          <w:lang w:val="sk-SK"/>
        </w:rPr>
        <w:t xml:space="preserve">vlastné </w:t>
      </w:r>
      <w:r w:rsidR="00FD0151">
        <w:rPr>
          <w:rFonts w:ascii="Times New Roman" w:hAnsi="Times New Roman"/>
          <w:lang w:val="sk-SK"/>
        </w:rPr>
        <w:t xml:space="preserve">zdroje, </w:t>
      </w:r>
      <w:r w:rsidRPr="00D972D8">
        <w:rPr>
          <w:rFonts w:ascii="Times New Roman" w:hAnsi="Times New Roman"/>
          <w:lang w:val="sk-SK"/>
        </w:rPr>
        <w:t>ktoré nie sú rezervnými fondmi a ku ktorým patrí napr. emisné ážio, ostatné kapitálové fondy, ako aj oceň</w:t>
      </w:r>
      <w:r w:rsidRPr="008E6DD8">
        <w:rPr>
          <w:rFonts w:ascii="Times New Roman" w:hAnsi="Times New Roman"/>
          <w:lang w:val="sk-SK"/>
        </w:rPr>
        <w:t>ovacie rozdiely z precenenia pri zlúčení, splynutí a rozdelení. Ide teda aj o také súčasti vlas</w:t>
      </w:r>
      <w:r w:rsidRPr="008E6DD8" w:rsidR="00FD0151">
        <w:rPr>
          <w:rFonts w:ascii="Times New Roman" w:hAnsi="Times New Roman"/>
          <w:lang w:val="sk-SK"/>
        </w:rPr>
        <w:t>tných zdrojov (vlastného imania podľa</w:t>
      </w:r>
      <w:r w:rsidRPr="00D972D8">
        <w:rPr>
          <w:rFonts w:ascii="Times New Roman" w:hAnsi="Times New Roman"/>
          <w:lang w:val="sk-SK"/>
        </w:rPr>
        <w:t xml:space="preserve"> § 6 ods. 4 Obchodného zákonníka) spoločnosti, ktoré nie sú nazvané ako rezervné fondy. </w:t>
      </w:r>
      <w:r w:rsidR="00D223B5">
        <w:rPr>
          <w:rFonts w:ascii="Times New Roman" w:hAnsi="Times New Roman"/>
          <w:lang w:val="sk-SK"/>
        </w:rPr>
        <w:t xml:space="preserve">Naviac je potrebné </w:t>
      </w:r>
      <w:r w:rsidRPr="00D972D8" w:rsidR="00D223B5">
        <w:rPr>
          <w:rFonts w:ascii="Times New Roman" w:hAnsi="Times New Roman"/>
          <w:lang w:val="sk-SK"/>
        </w:rPr>
        <w:t xml:space="preserve">upozorniť, že </w:t>
      </w:r>
      <w:r w:rsidRPr="008E6DD8" w:rsidR="009F255C">
        <w:rPr>
          <w:rFonts w:ascii="Times New Roman" w:hAnsi="Times New Roman"/>
          <w:lang w:val="sk-SK"/>
        </w:rPr>
        <w:t xml:space="preserve">článok 17 ods. 3 </w:t>
      </w:r>
      <w:r w:rsidR="00482979">
        <w:rPr>
          <w:rFonts w:ascii="Times New Roman" w:hAnsi="Times New Roman"/>
          <w:lang w:val="sk-SK"/>
        </w:rPr>
        <w:t xml:space="preserve">kapitálovej </w:t>
      </w:r>
      <w:r w:rsidRPr="008E6DD8" w:rsidR="009F255C">
        <w:rPr>
          <w:rFonts w:ascii="Times New Roman" w:hAnsi="Times New Roman"/>
          <w:lang w:val="sk-SK"/>
        </w:rPr>
        <w:t>smernice</w:t>
      </w:r>
      <w:r w:rsidR="00611BDA">
        <w:rPr>
          <w:rFonts w:ascii="Times New Roman" w:hAnsi="Times New Roman"/>
          <w:lang w:val="sk-SK"/>
        </w:rPr>
        <w:fldChar w:fldCharType="begin"/>
      </w:r>
      <w:r w:rsidR="00611BDA">
        <w:rPr>
          <w:rFonts w:ascii="Times New Roman" w:hAnsi="Times New Roman"/>
          <w:lang w:val="sk-SK"/>
        </w:rPr>
        <w:instrText xml:space="preserve"> NOTEREF _Ref358720618 \f \h </w:instrText>
      </w:r>
      <w:r w:rsidR="00611BDA">
        <w:rPr>
          <w:rFonts w:ascii="Times New Roman" w:hAnsi="Times New Roman"/>
          <w:lang w:val="sk-SK"/>
        </w:rPr>
        <w:fldChar w:fldCharType="separate"/>
      </w:r>
      <w:r w:rsidRPr="002A2D53" w:rsidR="002A2D53">
        <w:rPr>
          <w:rStyle w:val="FootnoteReference"/>
          <w:rFonts w:ascii="Times New Roman" w:hAnsi="Times New Roman"/>
        </w:rPr>
        <w:t>2</w:t>
      </w:r>
      <w:r w:rsidR="00611BDA">
        <w:rPr>
          <w:rFonts w:ascii="Times New Roman" w:hAnsi="Times New Roman"/>
          <w:lang w:val="sk-SK"/>
        </w:rPr>
        <w:fldChar w:fldCharType="end"/>
      </w:r>
      <w:r w:rsidR="00482979">
        <w:rPr>
          <w:rFonts w:ascii="Times New Roman" w:hAnsi="Times New Roman"/>
          <w:lang w:val="sk-SK"/>
        </w:rPr>
        <w:t>)</w:t>
      </w:r>
      <w:r w:rsidRPr="008E6DD8" w:rsidR="00D223B5">
        <w:rPr>
          <w:rFonts w:ascii="Times New Roman" w:hAnsi="Times New Roman"/>
          <w:lang w:val="sk-SK"/>
        </w:rPr>
        <w:t xml:space="preserve"> sa</w:t>
      </w:r>
      <w:r w:rsidRPr="008E6DD8" w:rsidR="009F255C">
        <w:rPr>
          <w:rFonts w:ascii="Times New Roman" w:hAnsi="Times New Roman"/>
          <w:lang w:val="sk-SK"/>
        </w:rPr>
        <w:t xml:space="preserve"> neobmedzuje</w:t>
      </w:r>
      <w:r w:rsidRPr="008E6DD8" w:rsidR="00D223B5">
        <w:rPr>
          <w:rFonts w:ascii="Times New Roman" w:hAnsi="Times New Roman"/>
          <w:lang w:val="sk-SK"/>
        </w:rPr>
        <w:t xml:space="preserve"> len</w:t>
      </w:r>
      <w:r w:rsidRPr="008E6DD8" w:rsidR="009F255C">
        <w:rPr>
          <w:rFonts w:ascii="Times New Roman" w:hAnsi="Times New Roman"/>
          <w:lang w:val="sk-SK"/>
        </w:rPr>
        <w:t xml:space="preserve"> </w:t>
      </w:r>
      <w:r w:rsidR="00767902">
        <w:rPr>
          <w:rFonts w:ascii="Times New Roman" w:hAnsi="Times New Roman"/>
          <w:lang w:val="sk-SK"/>
        </w:rPr>
        <w:t xml:space="preserve">na </w:t>
      </w:r>
      <w:r w:rsidRPr="008E6DD8" w:rsidR="009F255C">
        <w:rPr>
          <w:rFonts w:ascii="Times New Roman" w:hAnsi="Times New Roman"/>
          <w:lang w:val="sk-SK"/>
        </w:rPr>
        <w:t xml:space="preserve">rozdelenie </w:t>
      </w:r>
      <w:r w:rsidRPr="008E6DD8" w:rsidR="00D223B5">
        <w:rPr>
          <w:rFonts w:ascii="Times New Roman" w:hAnsi="Times New Roman"/>
          <w:lang w:val="sk-SK"/>
        </w:rPr>
        <w:t>fondov</w:t>
      </w:r>
      <w:r w:rsidRPr="008E6DD8" w:rsidR="009F255C">
        <w:rPr>
          <w:rFonts w:ascii="Times New Roman" w:hAnsi="Times New Roman"/>
          <w:lang w:val="sk-SK"/>
        </w:rPr>
        <w:t xml:space="preserve"> tvoren</w:t>
      </w:r>
      <w:r w:rsidRPr="008E6DD8" w:rsidR="00D223B5">
        <w:rPr>
          <w:rFonts w:ascii="Times New Roman" w:hAnsi="Times New Roman"/>
          <w:lang w:val="sk-SK"/>
        </w:rPr>
        <w:t>ých</w:t>
      </w:r>
      <w:r w:rsidRPr="008E6DD8" w:rsidR="009F255C">
        <w:rPr>
          <w:rFonts w:ascii="Times New Roman" w:hAnsi="Times New Roman"/>
          <w:lang w:val="sk-SK"/>
        </w:rPr>
        <w:t xml:space="preserve"> zo zisku, ako </w:t>
      </w:r>
      <w:r w:rsidRPr="008E6DD8" w:rsidR="00D223B5">
        <w:rPr>
          <w:rFonts w:ascii="Times New Roman" w:hAnsi="Times New Roman"/>
          <w:lang w:val="sk-SK"/>
        </w:rPr>
        <w:t>je to podľa § 179 ods. 3 písm. b</w:t>
      </w:r>
      <w:r w:rsidRPr="008E6DD8" w:rsidR="009F255C">
        <w:rPr>
          <w:rFonts w:ascii="Times New Roman" w:hAnsi="Times New Roman"/>
          <w:lang w:val="sk-SK"/>
        </w:rPr>
        <w:t xml:space="preserve">) Obchodného zákonníka, ale ustanovuje, že rozdeliť sa môžu všetky </w:t>
      </w:r>
      <w:r w:rsidRPr="008E6DD8" w:rsidR="00D223B5">
        <w:rPr>
          <w:rFonts w:ascii="Times New Roman" w:hAnsi="Times New Roman"/>
          <w:i/>
          <w:lang w:val="sk-SK"/>
        </w:rPr>
        <w:t>„r</w:t>
      </w:r>
      <w:r w:rsidRPr="008E6DD8" w:rsidR="009F255C">
        <w:rPr>
          <w:rFonts w:ascii="Times New Roman" w:hAnsi="Times New Roman"/>
          <w:i/>
          <w:lang w:val="sk-SK"/>
        </w:rPr>
        <w:t>eserves</w:t>
      </w:r>
      <w:r w:rsidRPr="008E6DD8" w:rsidR="00D223B5">
        <w:rPr>
          <w:rFonts w:ascii="Times New Roman" w:hAnsi="Times New Roman"/>
          <w:lang w:val="sk-SK"/>
        </w:rPr>
        <w:t>“, resp.</w:t>
      </w:r>
      <w:r w:rsidRPr="008E6DD8" w:rsidR="009F255C">
        <w:rPr>
          <w:rFonts w:ascii="Times New Roman" w:hAnsi="Times New Roman"/>
          <w:lang w:val="sk-SK"/>
        </w:rPr>
        <w:t xml:space="preserve"> </w:t>
      </w:r>
      <w:r w:rsidRPr="008E6DD8" w:rsidR="00D223B5">
        <w:rPr>
          <w:rFonts w:ascii="Times New Roman" w:hAnsi="Times New Roman"/>
          <w:i/>
          <w:lang w:val="sk-SK"/>
        </w:rPr>
        <w:t>„</w:t>
      </w:r>
      <w:r w:rsidRPr="008E6DD8" w:rsidR="009F255C">
        <w:rPr>
          <w:rFonts w:ascii="Times New Roman" w:hAnsi="Times New Roman"/>
          <w:i/>
          <w:lang w:val="sk-SK"/>
        </w:rPr>
        <w:t>Rücklagen</w:t>
      </w:r>
      <w:r w:rsidRPr="008E6DD8" w:rsidR="00D223B5">
        <w:rPr>
          <w:rFonts w:ascii="Times New Roman" w:hAnsi="Times New Roman"/>
          <w:i/>
          <w:lang w:val="sk-SK"/>
        </w:rPr>
        <w:t>“</w:t>
      </w:r>
      <w:r w:rsidRPr="008E6DD8" w:rsidR="009F255C">
        <w:rPr>
          <w:rFonts w:ascii="Times New Roman" w:hAnsi="Times New Roman"/>
          <w:lang w:val="sk-SK"/>
        </w:rPr>
        <w:t xml:space="preserve">, ktoré sú </w:t>
      </w:r>
      <w:r w:rsidRPr="008E6DD8" w:rsidR="00D223B5">
        <w:rPr>
          <w:rFonts w:ascii="Times New Roman" w:hAnsi="Times New Roman"/>
          <w:lang w:val="sk-SK"/>
        </w:rPr>
        <w:t>určené</w:t>
      </w:r>
      <w:r w:rsidRPr="008E6DD8" w:rsidR="009F255C">
        <w:rPr>
          <w:rFonts w:ascii="Times New Roman" w:hAnsi="Times New Roman"/>
          <w:lang w:val="sk-SK"/>
        </w:rPr>
        <w:t xml:space="preserve"> na tento účel. </w:t>
      </w:r>
      <w:r w:rsidRPr="00D972D8" w:rsidR="00D223B5">
        <w:rPr>
          <w:rFonts w:ascii="Times New Roman" w:hAnsi="Times New Roman"/>
          <w:lang w:val="sk-SK"/>
        </w:rPr>
        <w:t>Preto slová</w:t>
      </w:r>
      <w:r w:rsidRPr="008E6DD8">
        <w:rPr>
          <w:rFonts w:ascii="Times New Roman" w:hAnsi="Times New Roman"/>
          <w:lang w:val="sk-SK"/>
        </w:rPr>
        <w:t xml:space="preserve"> „</w:t>
      </w:r>
      <w:r w:rsidRPr="008E6DD8">
        <w:rPr>
          <w:rFonts w:ascii="Times New Roman" w:hAnsi="Times New Roman"/>
          <w:i/>
          <w:lang w:val="sk-SK"/>
        </w:rPr>
        <w:t xml:space="preserve">fondy vytvorené zo zisku“ </w:t>
      </w:r>
      <w:r w:rsidRPr="008E6DD8" w:rsidR="00D223B5">
        <w:rPr>
          <w:rFonts w:ascii="Times New Roman" w:hAnsi="Times New Roman"/>
          <w:lang w:val="sk-SK"/>
        </w:rPr>
        <w:t xml:space="preserve">použité </w:t>
      </w:r>
      <w:r w:rsidRPr="00D972D8">
        <w:rPr>
          <w:rFonts w:ascii="Times New Roman" w:hAnsi="Times New Roman"/>
          <w:lang w:val="sk-SK"/>
        </w:rPr>
        <w:t xml:space="preserve">v ustanovení § 179 ods. 3 písm. b) Obchodného zákonníka hoci </w:t>
      </w:r>
      <w:r w:rsidRPr="008E6DD8" w:rsidR="00D223B5">
        <w:rPr>
          <w:rFonts w:ascii="Times New Roman" w:hAnsi="Times New Roman"/>
          <w:lang w:val="sk-SK"/>
        </w:rPr>
        <w:t xml:space="preserve">výslovne </w:t>
      </w:r>
      <w:r w:rsidRPr="008E6DD8" w:rsidR="00767902">
        <w:rPr>
          <w:rFonts w:ascii="Times New Roman" w:hAnsi="Times New Roman"/>
          <w:lang w:val="sk-SK"/>
        </w:rPr>
        <w:t xml:space="preserve">neobsahujú </w:t>
      </w:r>
      <w:r w:rsidRPr="00D972D8">
        <w:rPr>
          <w:rFonts w:ascii="Times New Roman" w:hAnsi="Times New Roman"/>
          <w:lang w:val="sk-SK"/>
        </w:rPr>
        <w:t>prívlast</w:t>
      </w:r>
      <w:r w:rsidRPr="008E6DD8" w:rsidR="00767902">
        <w:rPr>
          <w:rFonts w:ascii="Times New Roman" w:hAnsi="Times New Roman"/>
          <w:lang w:val="sk-SK"/>
        </w:rPr>
        <w:t>o</w:t>
      </w:r>
      <w:r w:rsidRPr="00D972D8">
        <w:rPr>
          <w:rFonts w:ascii="Times New Roman" w:hAnsi="Times New Roman"/>
          <w:lang w:val="sk-SK"/>
        </w:rPr>
        <w:t>k</w:t>
      </w:r>
      <w:r w:rsidRPr="008E6DD8" w:rsidR="00767902">
        <w:rPr>
          <w:rFonts w:ascii="Times New Roman" w:hAnsi="Times New Roman"/>
          <w:lang w:val="sk-SK"/>
        </w:rPr>
        <w:t xml:space="preserve"> „rezervné“, obsahovo nie sú totožné s</w:t>
      </w:r>
      <w:r w:rsidRPr="00D972D8" w:rsidR="00767902">
        <w:rPr>
          <w:rFonts w:ascii="Times New Roman" w:hAnsi="Times New Roman"/>
          <w:lang w:val="sk-SK"/>
        </w:rPr>
        <w:t> </w:t>
      </w:r>
      <w:r w:rsidRPr="008E6DD8" w:rsidR="00767902">
        <w:rPr>
          <w:rFonts w:ascii="Times New Roman" w:hAnsi="Times New Roman"/>
          <w:lang w:val="sk-SK"/>
        </w:rPr>
        <w:t>obsahovým vymedzením anglického ekvivalentu „</w:t>
      </w:r>
      <w:r w:rsidRPr="008E6DD8" w:rsidR="00767902">
        <w:rPr>
          <w:rFonts w:ascii="Times New Roman" w:hAnsi="Times New Roman"/>
          <w:i/>
          <w:lang w:val="sk-SK"/>
        </w:rPr>
        <w:t>reserves“</w:t>
      </w:r>
      <w:r w:rsidRPr="008E6DD8" w:rsidR="00767902">
        <w:rPr>
          <w:rFonts w:ascii="Times New Roman" w:hAnsi="Times New Roman"/>
          <w:lang w:val="sk-SK"/>
        </w:rPr>
        <w:t xml:space="preserve"> a</w:t>
      </w:r>
      <w:r w:rsidR="00767902">
        <w:rPr>
          <w:rFonts w:ascii="Times New Roman" w:hAnsi="Times New Roman"/>
          <w:lang w:val="sk-SK"/>
        </w:rPr>
        <w:t xml:space="preserve"> </w:t>
      </w:r>
      <w:r w:rsidRPr="008E6DD8" w:rsidR="00767902">
        <w:rPr>
          <w:rFonts w:ascii="Times New Roman" w:hAnsi="Times New Roman"/>
          <w:lang w:val="sk-SK"/>
        </w:rPr>
        <w:t xml:space="preserve">nemeckého ekvivalentu </w:t>
      </w:r>
      <w:r w:rsidRPr="008E6DD8" w:rsidR="00767902">
        <w:rPr>
          <w:rFonts w:ascii="Times New Roman" w:hAnsi="Times New Roman"/>
          <w:i/>
          <w:lang w:val="sk-SK"/>
        </w:rPr>
        <w:t>„</w:t>
      </w:r>
      <w:r w:rsidRPr="00D972D8" w:rsidR="00767902">
        <w:rPr>
          <w:rFonts w:ascii="Times New Roman" w:hAnsi="Times New Roman"/>
          <w:i/>
          <w:lang w:val="sk-SK"/>
        </w:rPr>
        <w:t>Rücklagen</w:t>
      </w:r>
      <w:r w:rsidRPr="008E6DD8" w:rsidR="00767902">
        <w:rPr>
          <w:rFonts w:ascii="Times New Roman" w:hAnsi="Times New Roman"/>
          <w:i/>
          <w:lang w:val="sk-SK"/>
        </w:rPr>
        <w:t>“</w:t>
      </w:r>
      <w:r w:rsidR="00767902">
        <w:rPr>
          <w:rFonts w:ascii="Times New Roman" w:hAnsi="Times New Roman"/>
          <w:i/>
          <w:lang w:val="sk-SK"/>
        </w:rPr>
        <w:t xml:space="preserve">. </w:t>
      </w:r>
      <w:r w:rsidR="00767902">
        <w:rPr>
          <w:rFonts w:ascii="Times New Roman" w:hAnsi="Times New Roman"/>
          <w:lang w:val="sk-SK"/>
        </w:rPr>
        <w:t>V</w:t>
      </w:r>
      <w:r w:rsidRPr="008E6DD8" w:rsidR="00767902">
        <w:rPr>
          <w:rFonts w:ascii="Times New Roman" w:hAnsi="Times New Roman"/>
          <w:lang w:val="sk-SK"/>
        </w:rPr>
        <w:t xml:space="preserve">ýkladové </w:t>
      </w:r>
      <w:r w:rsidRPr="00D972D8" w:rsidR="00767902">
        <w:rPr>
          <w:rFonts w:ascii="Times New Roman" w:hAnsi="Times New Roman"/>
          <w:lang w:val="sk-SK"/>
        </w:rPr>
        <w:t>pochybnosti</w:t>
      </w:r>
      <w:r w:rsidR="00767902">
        <w:rPr>
          <w:rFonts w:ascii="Times New Roman" w:hAnsi="Times New Roman"/>
          <w:lang w:val="sk-SK"/>
        </w:rPr>
        <w:t xml:space="preserve"> preto považuje predkladateľ za odôvodnené.</w:t>
      </w:r>
      <w:r w:rsidR="0056679C">
        <w:rPr>
          <w:rFonts w:ascii="Times New Roman" w:hAnsi="Times New Roman"/>
          <w:lang w:val="sk-SK"/>
        </w:rPr>
        <w:t xml:space="preserve"> Nahradením slov </w:t>
      </w:r>
      <w:r w:rsidRPr="008E6DD8">
        <w:rPr>
          <w:rFonts w:ascii="Times New Roman" w:hAnsi="Times New Roman"/>
          <w:i/>
          <w:lang w:val="sk-SK"/>
        </w:rPr>
        <w:t>„fondy vytvorené zo zisku“</w:t>
      </w:r>
      <w:r w:rsidRPr="00D972D8">
        <w:rPr>
          <w:rFonts w:ascii="Times New Roman" w:hAnsi="Times New Roman"/>
          <w:lang w:val="sk-SK"/>
        </w:rPr>
        <w:t xml:space="preserve"> </w:t>
      </w:r>
      <w:r w:rsidRPr="008E6DD8" w:rsidR="0056679C">
        <w:rPr>
          <w:rFonts w:ascii="Times New Roman" w:hAnsi="Times New Roman"/>
          <w:lang w:val="sk-SK"/>
        </w:rPr>
        <w:t xml:space="preserve">slovami </w:t>
      </w:r>
      <w:r w:rsidRPr="008E6DD8">
        <w:rPr>
          <w:rFonts w:ascii="Times New Roman" w:hAnsi="Times New Roman"/>
          <w:i/>
          <w:lang w:val="sk-SK"/>
        </w:rPr>
        <w:t>„iné vlastné zdroje“</w:t>
      </w:r>
      <w:r w:rsidRPr="00D972D8">
        <w:rPr>
          <w:rFonts w:ascii="Times New Roman" w:hAnsi="Times New Roman"/>
          <w:lang w:val="sk-SK"/>
        </w:rPr>
        <w:t xml:space="preserve"> </w:t>
      </w:r>
      <w:r w:rsidRPr="008E6DD8" w:rsidR="0056679C">
        <w:rPr>
          <w:rFonts w:ascii="Times New Roman" w:hAnsi="Times New Roman"/>
          <w:lang w:val="sk-SK"/>
        </w:rPr>
        <w:t>s</w:t>
      </w:r>
      <w:r w:rsidRPr="00D972D8">
        <w:rPr>
          <w:rFonts w:ascii="Times New Roman" w:hAnsi="Times New Roman"/>
          <w:lang w:val="sk-SK"/>
        </w:rPr>
        <w:t xml:space="preserve">a </w:t>
      </w:r>
      <w:r w:rsidRPr="008E6DD8" w:rsidR="0056679C">
        <w:rPr>
          <w:rFonts w:ascii="Times New Roman" w:hAnsi="Times New Roman"/>
          <w:lang w:val="sk-SK"/>
        </w:rPr>
        <w:t xml:space="preserve">zároveň zosúladí znenie § 179 ods. 3 písm. b) s </w:t>
      </w:r>
      <w:r w:rsidRPr="00D972D8">
        <w:rPr>
          <w:rFonts w:ascii="Times New Roman" w:hAnsi="Times New Roman"/>
          <w:lang w:val="sk-SK"/>
        </w:rPr>
        <w:t xml:space="preserve">§ 179 ods. 4 Obchodného zákonníka. </w:t>
      </w:r>
    </w:p>
    <w:p w:rsidR="00D972D8" w:rsidRPr="008E6DD8" w:rsidP="008E6DD8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neposlednom rade je zmena ustanovenia potrebn</w:t>
      </w:r>
      <w:r w:rsidR="00BB545C">
        <w:rPr>
          <w:rFonts w:ascii="Times New Roman" w:hAnsi="Times New Roman"/>
          <w:lang w:val="sk-SK"/>
        </w:rPr>
        <w:t>á</w:t>
      </w:r>
      <w:r>
        <w:rPr>
          <w:rFonts w:ascii="Times New Roman" w:hAnsi="Times New Roman"/>
          <w:lang w:val="sk-SK"/>
        </w:rPr>
        <w:t xml:space="preserve"> aj vzhľadom na tú skutočnosť, že spoločnosti, ktor</w:t>
      </w:r>
      <w:r w:rsidR="00BB545C">
        <w:rPr>
          <w:rFonts w:ascii="Times New Roman" w:hAnsi="Times New Roman"/>
          <w:lang w:val="sk-SK"/>
        </w:rPr>
        <w:t>é</w:t>
      </w:r>
      <w:r>
        <w:rPr>
          <w:rFonts w:ascii="Times New Roman" w:hAnsi="Times New Roman"/>
          <w:lang w:val="sk-SK"/>
        </w:rPr>
        <w:t xml:space="preserve"> pri vedení účtovníctva postupujú podľa medzinárodných účtovných štandardov </w:t>
      </w:r>
      <w:r w:rsidR="007053DE">
        <w:rPr>
          <w:rFonts w:ascii="Times New Roman" w:hAnsi="Times New Roman"/>
          <w:lang w:val="sk-SK"/>
        </w:rPr>
        <w:t>môžu rozdeľovať čistý zisk (okrem iného) zvýšený aj o iné vlastné zdroje, ktorých použitie nie je v zákone ustanovené, teda nielen o fondy tvorené zo zisku, ktorých použitie nie je zákone ustanovené.</w:t>
      </w:r>
    </w:p>
    <w:p w:rsidR="00F82728" w:rsidRPr="00EE677D" w:rsidP="0014124B">
      <w:pPr>
        <w:bidi w:val="0"/>
        <w:rPr>
          <w:rFonts w:ascii="Times New Roman" w:hAnsi="Times New Roman"/>
          <w:lang w:val="sk-SK"/>
        </w:rPr>
      </w:pPr>
    </w:p>
    <w:p w:rsidR="0014124B" w:rsidRPr="00C5375D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BC1F6C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bodu </w:t>
      </w:r>
      <w:r w:rsidR="00D167A8">
        <w:rPr>
          <w:rStyle w:val="PlaceholderText"/>
          <w:rFonts w:ascii="Times New Roman" w:hAnsi="Times New Roman"/>
          <w:i/>
          <w:iCs/>
          <w:color w:val="000000"/>
          <w:lang w:val="sk-SK"/>
        </w:rPr>
        <w:t>9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(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§ 768</w:t>
      </w:r>
      <w:r w:rsidR="00FE054E">
        <w:rPr>
          <w:rStyle w:val="PlaceholderText"/>
          <w:rFonts w:ascii="Times New Roman" w:hAnsi="Times New Roman"/>
          <w:i/>
          <w:iCs/>
          <w:color w:val="000000"/>
          <w:lang w:val="sk-SK"/>
        </w:rPr>
        <w:t>l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14124B" w:rsidP="0014124B">
      <w:pPr>
        <w:bidi w:val="0"/>
        <w:jc w:val="both"/>
        <w:rPr>
          <w:rFonts w:ascii="Times New Roman" w:hAnsi="Times New Roman"/>
          <w:lang w:val="sk-SK"/>
        </w:rPr>
      </w:pPr>
      <w:r w:rsidRPr="00FE054E">
        <w:rPr>
          <w:rFonts w:ascii="Times New Roman" w:hAnsi="Times New Roman"/>
          <w:lang w:val="sk-SK"/>
        </w:rPr>
        <w:t>Predmetným novelizačným bodom navrhuje predkladateľ upraviť otázku inter</w:t>
      </w:r>
      <w:r w:rsidR="007B7FC5">
        <w:rPr>
          <w:rFonts w:ascii="Times New Roman" w:hAnsi="Times New Roman"/>
          <w:lang w:val="sk-SK"/>
        </w:rPr>
        <w:t>temporality</w:t>
      </w:r>
      <w:r w:rsidRPr="00FE054E">
        <w:rPr>
          <w:rFonts w:ascii="Times New Roman" w:hAnsi="Times New Roman"/>
          <w:lang w:val="sk-SK"/>
        </w:rPr>
        <w:t xml:space="preserve"> právnej úpravy.</w:t>
      </w:r>
      <w:r>
        <w:rPr>
          <w:rFonts w:ascii="Times New Roman" w:hAnsi="Times New Roman"/>
          <w:lang w:val="sk-SK"/>
        </w:rPr>
        <w:t xml:space="preserve"> </w:t>
      </w: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8E6DD8" w:rsidR="00E37F1F">
        <w:rPr>
          <w:rFonts w:ascii="Times New Roman" w:hAnsi="Times New Roman"/>
          <w:lang w:val="sk-SK"/>
        </w:rPr>
        <w:t>V</w:t>
      </w:r>
      <w:r w:rsidRPr="00D972D8" w:rsidR="00E37F1F">
        <w:rPr>
          <w:rFonts w:ascii="Times New Roman" w:hAnsi="Times New Roman"/>
          <w:lang w:val="sk-SK"/>
        </w:rPr>
        <w:t> </w:t>
      </w:r>
      <w:r w:rsidRPr="008E6DD8" w:rsidR="00E37F1F">
        <w:rPr>
          <w:rFonts w:ascii="Times New Roman" w:hAnsi="Times New Roman"/>
          <w:lang w:val="sk-SK"/>
        </w:rPr>
        <w:t xml:space="preserve">rozsahu </w:t>
      </w:r>
      <w:r w:rsidRPr="00D972D8" w:rsidR="00E14447">
        <w:rPr>
          <w:rFonts w:ascii="Times New Roman" w:hAnsi="Times New Roman"/>
          <w:lang w:val="sk-SK"/>
        </w:rPr>
        <w:t>§ 768l ods. 4</w:t>
      </w:r>
      <w:r w:rsidRPr="008E6DD8" w:rsidR="00E37F1F">
        <w:rPr>
          <w:rFonts w:ascii="Times New Roman" w:hAnsi="Times New Roman"/>
          <w:lang w:val="sk-SK"/>
        </w:rPr>
        <w:t xml:space="preserve"> predmetný novelizačný bod predstavuje akceptovanie a zapracovanie zásadnej pripomienky Ministerstva financií Slovenskej republiky, Slovenskej bankovej asociácie a</w:t>
      </w:r>
      <w:r w:rsidRPr="00D972D8" w:rsidR="00E37F1F">
        <w:rPr>
          <w:rFonts w:ascii="Times New Roman" w:hAnsi="Times New Roman"/>
          <w:lang w:val="sk-SK"/>
        </w:rPr>
        <w:t> </w:t>
      </w:r>
      <w:r w:rsidRPr="008E6DD8" w:rsidR="00E37F1F">
        <w:rPr>
          <w:rFonts w:ascii="Times New Roman" w:hAnsi="Times New Roman"/>
          <w:lang w:val="sk-SK"/>
        </w:rPr>
        <w:t>Republikovej únie zamestnávateľov, podporne aj Národnej banky Slovenska</w:t>
      </w:r>
      <w:r w:rsidR="00AA2874">
        <w:rPr>
          <w:rFonts w:ascii="Times New Roman" w:hAnsi="Times New Roman"/>
          <w:lang w:val="sk-SK"/>
        </w:rPr>
        <w:t>,</w:t>
      </w:r>
      <w:r w:rsidRPr="008E6DD8" w:rsidR="00E37F1F">
        <w:rPr>
          <w:rFonts w:ascii="Times New Roman" w:hAnsi="Times New Roman"/>
          <w:lang w:val="sk-SK"/>
        </w:rPr>
        <w:t xml:space="preserve"> </w:t>
      </w:r>
      <w:r w:rsidR="00AA2874">
        <w:rPr>
          <w:rFonts w:ascii="Times New Roman" w:hAnsi="Times New Roman"/>
          <w:lang w:val="sk-SK"/>
        </w:rPr>
        <w:t>k § 115 Obchodného zákonníka</w:t>
      </w:r>
      <w:r w:rsidRPr="008E6DD8" w:rsidR="00E37F1F">
        <w:rPr>
          <w:rFonts w:ascii="Times New Roman" w:hAnsi="Times New Roman"/>
          <w:lang w:val="sk-SK"/>
        </w:rPr>
        <w:t>.</w:t>
      </w:r>
    </w:p>
    <w:p w:rsidR="008E6DD8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RPr="003C3A66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3C3A66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bodom </w:t>
      </w:r>
      <w:r w:rsidR="009F004B">
        <w:rPr>
          <w:rStyle w:val="PlaceholderText"/>
          <w:rFonts w:ascii="Times New Roman" w:hAnsi="Times New Roman"/>
          <w:i/>
          <w:iCs/>
          <w:color w:val="000000"/>
          <w:lang w:val="sk-SK"/>
        </w:rPr>
        <w:t> 10 a 11</w:t>
      </w:r>
      <w:r w:rsidRPr="003C3A66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(príloha)</w:t>
      </w:r>
    </w:p>
    <w:p w:rsidR="0014124B" w:rsidRPr="003C3A66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3C3A66">
        <w:rPr>
          <w:rStyle w:val="PlaceholderText"/>
          <w:rFonts w:ascii="Times New Roman" w:hAnsi="Times New Roman"/>
          <w:iCs/>
          <w:color w:val="000000"/>
          <w:lang w:val="sk-SK"/>
        </w:rPr>
        <w:t>Predmetnými novelizačnými bodmi sa upravuje obsah transpozičnej prílohy zákona, a to v dôsledku nasledujúcich zmien:</w:t>
      </w:r>
    </w:p>
    <w:p w:rsidR="0014124B" w:rsidRPr="003C3A66" w:rsidP="00186983">
      <w:pPr>
        <w:numPr>
          <w:numId w:val="39"/>
        </w:num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3C3A66">
        <w:rPr>
          <w:rStyle w:val="PlaceholderText"/>
          <w:rFonts w:ascii="Times New Roman" w:hAnsi="Times New Roman"/>
          <w:iCs/>
          <w:color w:val="000000"/>
          <w:lang w:val="sk-SK"/>
        </w:rPr>
        <w:t xml:space="preserve">vypustením </w:t>
      </w:r>
      <w:r w:rsidRPr="003C3A66" w:rsidR="003C3A66">
        <w:rPr>
          <w:rStyle w:val="PlaceholderText"/>
          <w:rFonts w:ascii="Times New Roman" w:hAnsi="Times New Roman"/>
          <w:iCs/>
          <w:color w:val="000000"/>
          <w:lang w:val="sk-SK"/>
        </w:rPr>
        <w:t>druhej smernice Rady 77/91/EHS z 13. decembra 1976 o koordinácii ochranných opatrení, ktoré členské štáty vyžadujú od obchodných spoločností na ochranu záujmov spoločníkov a tretích osôb v zmysle druhého odseku článku 58 zmluvy, ak ide o zakladanie akciových spoločností, udržiavanie a zmenu ich základného imania, s cieľom dosiahnuť rovnocennosť týchto opatrení</w:t>
      </w:r>
      <w:r w:rsidR="003C3A66">
        <w:rPr>
          <w:rStyle w:val="PlaceholderText"/>
          <w:rFonts w:ascii="Times New Roman" w:hAnsi="Times New Roman"/>
          <w:iCs/>
          <w:color w:val="000000"/>
          <w:lang w:val="sk-SK"/>
        </w:rPr>
        <w:t xml:space="preserve">, </w:t>
      </w:r>
      <w:r w:rsidRPr="003C3A66">
        <w:rPr>
          <w:rStyle w:val="PlaceholderText"/>
          <w:rFonts w:ascii="Times New Roman" w:hAnsi="Times New Roman"/>
          <w:iCs/>
          <w:color w:val="000000"/>
          <w:lang w:val="sk-SK"/>
        </w:rPr>
        <w:t>a to v dôsledku prepracovania jej znenia a publikovania v Úradnom vestníku EU pod číslom 201</w:t>
      </w:r>
      <w:r w:rsidRPr="003C3A66" w:rsidR="003C3A66">
        <w:rPr>
          <w:rStyle w:val="PlaceholderText"/>
          <w:rFonts w:ascii="Times New Roman" w:hAnsi="Times New Roman"/>
          <w:iCs/>
          <w:color w:val="000000"/>
          <w:lang w:val="sk-SK"/>
        </w:rPr>
        <w:t>2</w:t>
      </w:r>
      <w:r w:rsidRPr="003C3A66">
        <w:rPr>
          <w:rStyle w:val="PlaceholderText"/>
          <w:rFonts w:ascii="Times New Roman" w:hAnsi="Times New Roman"/>
          <w:iCs/>
          <w:color w:val="000000"/>
          <w:lang w:val="sk-SK"/>
        </w:rPr>
        <w:t>/</w:t>
      </w:r>
      <w:r w:rsidRPr="003C3A66" w:rsidR="003C3A66">
        <w:rPr>
          <w:rStyle w:val="PlaceholderText"/>
          <w:rFonts w:ascii="Times New Roman" w:hAnsi="Times New Roman"/>
          <w:iCs/>
          <w:color w:val="000000"/>
          <w:lang w:val="sk-SK"/>
        </w:rPr>
        <w:t>30</w:t>
      </w:r>
      <w:r w:rsidRPr="003C3A66">
        <w:rPr>
          <w:rStyle w:val="PlaceholderText"/>
          <w:rFonts w:ascii="Times New Roman" w:hAnsi="Times New Roman"/>
          <w:iCs/>
          <w:color w:val="000000"/>
          <w:lang w:val="sk-SK"/>
        </w:rPr>
        <w:t>/EU,</w:t>
      </w:r>
    </w:p>
    <w:p w:rsidR="0014124B" w:rsidRPr="00981BD9" w:rsidP="00186983">
      <w:pPr>
        <w:numPr>
          <w:numId w:val="39"/>
        </w:num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3C3A66" w:rsidR="003C3A66">
        <w:rPr>
          <w:rStyle w:val="PlaceholderText"/>
          <w:rFonts w:ascii="Times New Roman" w:hAnsi="Times New Roman"/>
          <w:iCs/>
          <w:color w:val="000000"/>
          <w:lang w:val="sk-SK"/>
        </w:rPr>
        <w:t>rozšírením transpozičnej prílohy zákona o odkaz na smernicu Európskeho parlamentu a Rady 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 (prepracované znenie)</w:t>
      </w:r>
      <w:r w:rsidR="00EF559B">
        <w:rPr>
          <w:rStyle w:val="PlaceholderText"/>
          <w:rFonts w:ascii="Times New Roman" w:hAnsi="Times New Roman"/>
          <w:iCs/>
          <w:color w:val="000000"/>
          <w:lang w:val="sk-SK"/>
        </w:rPr>
        <w:t>,</w:t>
      </w:r>
      <w:r w:rsidRPr="00EF559B" w:rsidR="00EF559B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="00EF559B">
        <w:rPr>
          <w:rStyle w:val="PlaceholderText"/>
          <w:rFonts w:ascii="Times New Roman" w:hAnsi="Times New Roman"/>
          <w:iCs/>
          <w:color w:val="000000"/>
          <w:lang w:val="sk-SK"/>
        </w:rPr>
        <w:t>ktorá nahradila zrušenú druhú smernicu Rady 77/91/EHS, ktorá bola úplne transponovaná do právneho poriadku Slovenskej republiky skoršími novelizáciami Obchodného zákonníka</w:t>
      </w:r>
      <w:r w:rsidRPr="003C3A66" w:rsidR="003C3A66">
        <w:rPr>
          <w:rStyle w:val="PlaceholderText"/>
          <w:rFonts w:ascii="Times New Roman" w:hAnsi="Times New Roman"/>
          <w:iCs/>
          <w:color w:val="000000"/>
          <w:lang w:val="sk-SK"/>
        </w:rPr>
        <w:t xml:space="preserve">. </w:t>
      </w: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14124B" w:rsidRPr="00EA12BB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  <w:r>
        <w:rPr>
          <w:rFonts w:ascii="Times New Roman" w:hAnsi="Times New Roman"/>
          <w:b/>
          <w:bCs/>
          <w:u w:val="single"/>
          <w:lang w:val="sk-SK"/>
        </w:rPr>
        <w:t xml:space="preserve">K Čl. II </w:t>
      </w:r>
      <w:r w:rsidRPr="00EA12BB">
        <w:rPr>
          <w:rFonts w:ascii="Times New Roman" w:hAnsi="Times New Roman"/>
          <w:b/>
          <w:bCs/>
          <w:u w:val="single"/>
          <w:lang w:val="sk-SK"/>
        </w:rPr>
        <w:t>(</w:t>
      </w:r>
      <w:r w:rsidR="0094232E">
        <w:rPr>
          <w:rFonts w:ascii="Times New Roman" w:hAnsi="Times New Roman"/>
          <w:b/>
          <w:bCs/>
          <w:u w:val="single"/>
          <w:lang w:val="sk-SK"/>
        </w:rPr>
        <w:t>z</w:t>
      </w:r>
      <w:r w:rsidRPr="0094232E" w:rsidR="0094232E">
        <w:rPr>
          <w:rFonts w:ascii="Times New Roman" w:hAnsi="Times New Roman"/>
          <w:b/>
          <w:bCs/>
          <w:u w:val="single"/>
          <w:lang w:val="sk-SK"/>
        </w:rPr>
        <w:t>ákon Slovenskej národnej rady č. 71/1992 Zb. o súdnych poplatkoch  a poplatku za výpis z registra trestov</w:t>
      </w:r>
      <w:r w:rsidR="0094232E">
        <w:rPr>
          <w:rFonts w:ascii="Times New Roman" w:hAnsi="Times New Roman"/>
          <w:b/>
          <w:bCs/>
          <w:u w:val="single"/>
          <w:lang w:val="sk-SK"/>
        </w:rPr>
        <w:t xml:space="preserve"> v znení neskorších predpisov</w:t>
      </w:r>
      <w:r w:rsidRPr="00EA12BB">
        <w:rPr>
          <w:rFonts w:ascii="Times New Roman" w:hAnsi="Times New Roman"/>
          <w:b/>
          <w:bCs/>
          <w:u w:val="single"/>
          <w:lang w:val="sk-SK"/>
        </w:rPr>
        <w:t>)</w:t>
      </w: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4865F6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bodu 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1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(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§ </w:t>
      </w:r>
      <w:r w:rsidR="00981BD9">
        <w:rPr>
          <w:rStyle w:val="PlaceholderText"/>
          <w:rFonts w:ascii="Times New Roman" w:hAnsi="Times New Roman"/>
          <w:i/>
          <w:iCs/>
          <w:color w:val="000000"/>
          <w:lang w:val="sk-SK"/>
        </w:rPr>
        <w:t>11a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ods.4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14124B" w:rsidRPr="00C65E08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557263">
        <w:rPr>
          <w:rStyle w:val="PlaceholderText"/>
          <w:rFonts w:ascii="Times New Roman" w:hAnsi="Times New Roman"/>
          <w:iCs/>
          <w:color w:val="000000"/>
          <w:lang w:val="sk-SK"/>
        </w:rPr>
        <w:t xml:space="preserve">Predmetný novelizačný bod reaguje na 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>úlohu B.9 z uznesenia vlády Slovenskej republiky č. 153 z 3. apríla 2013 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uloženú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podpredsed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ovi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vlády a ministr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ovi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financií,  podpredsed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ovi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vlády a ministr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ovi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vnútra a ministr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ovi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spravodlivosti v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termíne do 31. 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>decembra 2013</w:t>
      </w:r>
      <w:r w:rsidRPr="00557263" w:rsidR="006319EC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557263" w:rsidR="00095C5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zosúladiť sadzbu súdneho poplatku pri vykonaní celého návrhu na zápis obchodnej spoločnosti v elektronickej podobe na jednotné kontaktné miesto so sadzbou súdneho poplatku pri celo-elektronickom podaní do obchodného registra realizovanom prostredníctvom ústredného portálu verejnej správy podľa § 6 ods. 4 zákona Slovenskej národnej rady č. 71/1992 Zb. o súdnych poplatkoch a poplatku za výpis z registra trestov v znení neskorších predpisov. </w:t>
      </w:r>
    </w:p>
    <w:p w:rsidR="00557263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bodu 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2 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(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§ 18</w:t>
      </w:r>
      <w:r w:rsidR="00981BD9">
        <w:rPr>
          <w:rStyle w:val="PlaceholderText"/>
          <w:rFonts w:ascii="Times New Roman" w:hAnsi="Times New Roman"/>
          <w:i/>
          <w:iCs/>
          <w:color w:val="000000"/>
          <w:lang w:val="sk-SK"/>
        </w:rPr>
        <w:t>cb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981BD9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557263" w:rsidR="00557263">
        <w:rPr>
          <w:rStyle w:val="PlaceholderText"/>
          <w:rFonts w:ascii="Times New Roman" w:hAnsi="Times New Roman"/>
          <w:iCs/>
          <w:color w:val="000000"/>
          <w:lang w:val="sk-SK"/>
        </w:rPr>
        <w:t>Predmetným novelizačným bodom navrhuje predkladateľ upraviť otázku inter</w:t>
      </w:r>
      <w:r w:rsidR="007B7FC5">
        <w:rPr>
          <w:rStyle w:val="PlaceholderText"/>
          <w:rFonts w:ascii="Times New Roman" w:hAnsi="Times New Roman"/>
          <w:iCs/>
          <w:color w:val="000000"/>
          <w:lang w:val="sk-SK"/>
        </w:rPr>
        <w:t>temporality</w:t>
      </w:r>
      <w:r w:rsidRPr="00557263" w:rsidR="00557263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právnej úpravy</w:t>
      </w:r>
      <w:r w:rsidR="00557263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vo vzťahu k zmenám navrhovaným v bode 1, 3 až 5</w:t>
      </w:r>
      <w:r w:rsidRPr="00557263" w:rsidR="00557263">
        <w:rPr>
          <w:rStyle w:val="PlaceholderText"/>
          <w:rFonts w:ascii="Times New Roman" w:hAnsi="Times New Roman"/>
          <w:iCs/>
          <w:color w:val="000000"/>
          <w:lang w:val="sk-SK"/>
        </w:rPr>
        <w:t xml:space="preserve">. </w:t>
      </w:r>
    </w:p>
    <w:p w:rsidR="00557263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</w:p>
    <w:p w:rsidR="00981BD9" w:rsidP="00981BD9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K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bodu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3</w:t>
      </w:r>
      <w:r w:rsidR="00D54790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a 4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(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sadzobník, položka 17 písm. a) bod 4. a</w:t>
      </w:r>
      <w:r w:rsidR="00D54790">
        <w:rPr>
          <w:rStyle w:val="PlaceholderText"/>
          <w:rFonts w:ascii="Times New Roman" w:hAnsi="Times New Roman"/>
          <w:i/>
          <w:iCs/>
          <w:color w:val="000000"/>
          <w:lang w:val="sk-SK"/>
        </w:rPr>
        <w:t>ž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="00D54790">
        <w:rPr>
          <w:rStyle w:val="PlaceholderText"/>
          <w:rFonts w:ascii="Times New Roman" w:hAnsi="Times New Roman"/>
          <w:i/>
          <w:iCs/>
          <w:color w:val="000000"/>
          <w:lang w:val="sk-SK"/>
        </w:rPr>
        <w:t>7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.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981BD9" w:rsidRPr="00557263" w:rsidP="00221092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0A330C" w:rsidR="00D54790">
        <w:rPr>
          <w:rStyle w:val="PlaceholderText"/>
          <w:rFonts w:ascii="Times New Roman" w:hAnsi="Times New Roman"/>
          <w:iCs/>
          <w:color w:val="000000"/>
          <w:lang w:val="sk-SK"/>
        </w:rPr>
        <w:t>Predmetn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>é</w:t>
      </w:r>
      <w:r w:rsidRPr="000A330C"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novelizačn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é body reagujú na poznatky aplikačnej praxe. 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>D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>ochádza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nimi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k zosúladeniu sadzb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>y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za prvý zápis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fyzickej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osoby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podnikateľa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>(165,50 €) so sadzbou</w:t>
      </w:r>
      <w:r w:rsidR="0094492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za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prvý zápis 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podniku alebo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organizačnej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z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ložky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podniku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zahraničnej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f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yzickej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D54790" w:rsidR="00D54790">
        <w:rPr>
          <w:rStyle w:val="PlaceholderText"/>
          <w:rFonts w:ascii="Times New Roman" w:hAnsi="Times New Roman"/>
          <w:iCs/>
          <w:color w:val="000000"/>
          <w:lang w:val="sk-SK"/>
        </w:rPr>
        <w:t>osoby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(33,- €), ktoré by mali byť vzhľadom na rovnaký rozsah 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>preskúmavacej povinnosti súdu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>,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a teda aj nákladov na jeho strane vzniknutých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, porovnateľné, tak ako tomu je v prípade poplatku za zápis organizačnej zložky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podniku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slovenskej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právnicke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j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osoby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(331,50 €) a poplatku za prvý zápis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podniku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alebo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organizačnej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zložky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podniku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zahraničnej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právnickej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221092" w:rsidR="00221092">
        <w:rPr>
          <w:rStyle w:val="PlaceholderText"/>
          <w:rFonts w:ascii="Times New Roman" w:hAnsi="Times New Roman"/>
          <w:iCs/>
          <w:color w:val="000000"/>
          <w:lang w:val="sk-SK"/>
        </w:rPr>
        <w:t>osoby</w:t>
      </w:r>
      <w:r w:rsidR="0022109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(331,50 €)</w:t>
      </w:r>
      <w:r w:rsidR="00D54790">
        <w:rPr>
          <w:rStyle w:val="PlaceholderText"/>
          <w:rFonts w:ascii="Times New Roman" w:hAnsi="Times New Roman"/>
          <w:iCs/>
          <w:color w:val="000000"/>
          <w:lang w:val="sk-SK"/>
        </w:rPr>
        <w:t xml:space="preserve">. 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>Súčasný stav je možné hodnotiť ako neodôvodnene diskriminačný vo vzťahu k fyzickým</w:t>
      </w:r>
      <w:r w:rsidRPr="008752EA" w:rsidR="008752E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osob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>ám</w:t>
      </w:r>
      <w:r w:rsidRPr="008752EA" w:rsidR="008752EA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s trvalým pobytom na území Slovenskej republiky, ktoré </w:t>
      </w:r>
      <w:r w:rsidR="008752EA">
        <w:rPr>
          <w:rStyle w:val="PlaceholderText"/>
          <w:rFonts w:ascii="Times New Roman" w:hAnsi="Times New Roman"/>
          <w:iCs/>
          <w:color w:val="000000"/>
          <w:lang w:val="sk-SK"/>
        </w:rPr>
        <w:t>navrhujú svoj zápis do obchodného registra</w:t>
      </w:r>
      <w:r w:rsidR="0094492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na tlačive podľa prílohy č. 1 vykonávacej vyhlášky</w:t>
      </w:r>
      <w:r w:rsidR="00611BDA">
        <w:rPr>
          <w:rStyle w:val="PlaceholderText"/>
          <w:rFonts w:ascii="Times New Roman" w:hAnsi="Times New Roman"/>
          <w:iCs/>
          <w:color w:val="000000"/>
          <w:lang w:val="sk-SK"/>
        </w:rPr>
        <w:fldChar w:fldCharType="begin"/>
      </w:r>
      <w:r w:rsidR="00611BDA">
        <w:rPr>
          <w:rStyle w:val="PlaceholderText"/>
          <w:rFonts w:ascii="Times New Roman" w:hAnsi="Times New Roman"/>
          <w:iCs/>
          <w:color w:val="000000"/>
          <w:lang w:val="sk-SK"/>
        </w:rPr>
        <w:instrText xml:space="preserve"> NOTEREF _Ref354749274 \f \h </w:instrText>
      </w:r>
      <w:r w:rsidR="00611BDA">
        <w:rPr>
          <w:rStyle w:val="PlaceholderText"/>
          <w:rFonts w:ascii="Times New Roman" w:hAnsi="Times New Roman"/>
          <w:iCs/>
          <w:color w:val="000000"/>
          <w:lang w:val="sk-SK"/>
        </w:rPr>
        <w:fldChar w:fldCharType="separate"/>
      </w:r>
      <w:r w:rsidRPr="002A2D53" w:rsidR="002A2D53">
        <w:rPr>
          <w:rStyle w:val="FootnoteReference"/>
          <w:rFonts w:ascii="Times New Roman" w:hAnsi="Times New Roman"/>
        </w:rPr>
        <w:t>1</w:t>
      </w:r>
      <w:r w:rsidR="00611BDA">
        <w:rPr>
          <w:rStyle w:val="PlaceholderText"/>
          <w:rFonts w:ascii="Times New Roman" w:hAnsi="Times New Roman"/>
          <w:iCs/>
          <w:color w:val="000000"/>
          <w:lang w:val="sk-SK"/>
        </w:rPr>
        <w:fldChar w:fldCharType="end"/>
      </w:r>
      <w:r w:rsidRPr="008E6DD8" w:rsidR="007B2C26">
        <w:rPr>
          <w:rStyle w:val="PlaceholderText"/>
          <w:rFonts w:ascii="Times New Roman" w:hAnsi="Times New Roman"/>
          <w:iCs/>
          <w:color w:val="000000"/>
          <w:lang w:val="sk-SK"/>
        </w:rPr>
        <w:t>)</w:t>
      </w:r>
      <w:r w:rsidR="0094492F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do oddielu Firm (t.j. fyzická osoba podnikateľ). </w:t>
      </w:r>
    </w:p>
    <w:p w:rsidR="00D54790" w:rsidP="00981BD9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981BD9" w:rsidP="00981BD9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K bodu 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5 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(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sadzobník, položka 20a</w:t>
      </w:r>
      <w:r w:rsidRPr="00C5375D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981BD9" w:rsidRPr="00C65E08" w:rsidP="00395F12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>Predmetným novelizačným bodom predkladateľ za účelom vyjasnenia výkladových nejasností výslovne upravuje, že vytvorenie registrového spisu v prípade podania do obchodného registra realizovaného elektronickými prostriedkami v zmysle § 5a a nasl. zákona č. 530/2003 Z. z. o obchodnom registri a o zmene a doplnení niektorých zákonov v znení neskorších predpisov nepodlieha poplatku z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a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vyhotovenie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rovnopisu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podaní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a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> 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ich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príloh, ktoré   vytvoria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súdny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spis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, ak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bolo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podanie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urobené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elektronickými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prostriedkami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podpísané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zaručeným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elektronickým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p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odpisom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</w:t>
      </w:r>
      <w:r w:rsidRPr="00395F12" w:rsidR="00395F12">
        <w:rPr>
          <w:rStyle w:val="PlaceholderText"/>
          <w:rFonts w:ascii="Times New Roman" w:hAnsi="Times New Roman"/>
          <w:iCs/>
          <w:color w:val="000000"/>
          <w:lang w:val="sk-SK"/>
        </w:rPr>
        <w:t>podľa</w:t>
      </w:r>
      <w:r w:rsidR="00395F12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položky 20a sadzobníka.</w:t>
      </w:r>
    </w:p>
    <w:p w:rsidR="0014124B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</w:p>
    <w:p w:rsidR="0014124B" w:rsidRPr="00F3048F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  <w:r w:rsidRPr="00F3048F">
        <w:rPr>
          <w:rFonts w:ascii="Times New Roman" w:hAnsi="Times New Roman"/>
          <w:b/>
          <w:bCs/>
          <w:u w:val="single"/>
          <w:lang w:val="sk-SK"/>
        </w:rPr>
        <w:t>K</w:t>
      </w:r>
      <w:r w:rsidRPr="00995722">
        <w:rPr>
          <w:rFonts w:ascii="Times New Roman" w:hAnsi="Times New Roman"/>
          <w:b/>
          <w:bCs/>
          <w:u w:val="single"/>
          <w:lang w:val="sk-SK"/>
        </w:rPr>
        <w:t> </w:t>
      </w:r>
      <w:r w:rsidRPr="00F3048F">
        <w:rPr>
          <w:rFonts w:ascii="Times New Roman" w:hAnsi="Times New Roman"/>
          <w:b/>
          <w:bCs/>
          <w:u w:val="single"/>
          <w:lang w:val="sk-SK"/>
        </w:rPr>
        <w:t>Čl. III (zákon č. 530/2003 Z. z. o</w:t>
      </w:r>
      <w:r w:rsidRPr="00995722">
        <w:rPr>
          <w:rFonts w:ascii="Times New Roman" w:hAnsi="Times New Roman"/>
          <w:b/>
          <w:bCs/>
          <w:u w:val="single"/>
          <w:lang w:val="sk-SK"/>
        </w:rPr>
        <w:t> </w:t>
      </w:r>
      <w:r w:rsidRPr="00F3048F">
        <w:rPr>
          <w:rFonts w:ascii="Times New Roman" w:hAnsi="Times New Roman"/>
          <w:b/>
          <w:bCs/>
          <w:u w:val="single"/>
          <w:lang w:val="sk-SK"/>
        </w:rPr>
        <w:t>obchodnom registri a</w:t>
      </w:r>
      <w:r w:rsidRPr="00995722">
        <w:rPr>
          <w:rFonts w:ascii="Times New Roman" w:hAnsi="Times New Roman"/>
          <w:b/>
          <w:bCs/>
          <w:u w:val="single"/>
          <w:lang w:val="sk-SK"/>
        </w:rPr>
        <w:t> </w:t>
      </w:r>
      <w:r w:rsidRPr="00F3048F">
        <w:rPr>
          <w:rFonts w:ascii="Times New Roman" w:hAnsi="Times New Roman"/>
          <w:b/>
          <w:bCs/>
          <w:u w:val="single"/>
          <w:lang w:val="sk-SK"/>
        </w:rPr>
        <w:t>o</w:t>
      </w:r>
      <w:r w:rsidRPr="00995722">
        <w:rPr>
          <w:rFonts w:ascii="Times New Roman" w:hAnsi="Times New Roman"/>
          <w:b/>
          <w:bCs/>
          <w:u w:val="single"/>
          <w:lang w:val="sk-SK"/>
        </w:rPr>
        <w:t> </w:t>
      </w:r>
      <w:r w:rsidRPr="00F3048F">
        <w:rPr>
          <w:rFonts w:ascii="Times New Roman" w:hAnsi="Times New Roman"/>
          <w:b/>
          <w:bCs/>
          <w:u w:val="single"/>
          <w:lang w:val="sk-SK"/>
        </w:rPr>
        <w:t>zmene a</w:t>
      </w:r>
      <w:r w:rsidRPr="00995722">
        <w:rPr>
          <w:rFonts w:ascii="Times New Roman" w:hAnsi="Times New Roman"/>
          <w:b/>
          <w:bCs/>
          <w:u w:val="single"/>
          <w:lang w:val="sk-SK"/>
        </w:rPr>
        <w:t> </w:t>
      </w:r>
      <w:r w:rsidRPr="00F3048F">
        <w:rPr>
          <w:rFonts w:ascii="Times New Roman" w:hAnsi="Times New Roman"/>
          <w:b/>
          <w:bCs/>
          <w:u w:val="single"/>
          <w:lang w:val="sk-SK"/>
        </w:rPr>
        <w:t>doplnení niektorých zákonov v</w:t>
      </w:r>
      <w:r w:rsidRPr="00995722">
        <w:rPr>
          <w:rFonts w:ascii="Times New Roman" w:hAnsi="Times New Roman"/>
          <w:b/>
          <w:bCs/>
          <w:u w:val="single"/>
          <w:lang w:val="sk-SK"/>
        </w:rPr>
        <w:t> </w:t>
      </w:r>
      <w:r w:rsidRPr="00F3048F">
        <w:rPr>
          <w:rFonts w:ascii="Times New Roman" w:hAnsi="Times New Roman"/>
          <w:b/>
          <w:bCs/>
          <w:u w:val="single"/>
          <w:lang w:val="sk-SK"/>
        </w:rPr>
        <w:t>znení neskorších predpisov)</w:t>
      </w:r>
    </w:p>
    <w:p w:rsidR="0014124B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4865F6" w:rsidRPr="00F3048F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CB291E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K bodu 1 (§ 8 ods. 1)</w:t>
      </w:r>
    </w:p>
    <w:p w:rsidR="00CB291E" w:rsidRPr="00186983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>
        <w:rPr>
          <w:rStyle w:val="PlaceholderText"/>
          <w:rFonts w:ascii="Times New Roman" w:hAnsi="Times New Roman"/>
          <w:iCs/>
          <w:color w:val="000000"/>
          <w:lang w:val="sk-SK"/>
        </w:rPr>
        <w:t>Vo väzbe na čl. 3 bod 1 smernice 2012/17/EU (nový čl. 2a ods. 1 prvej tzv. publikačnej smernice</w:t>
      </w:r>
      <w:bookmarkStart w:id="2" w:name="_Ref359508987"/>
      <w:r>
        <w:rPr>
          <w:rStyle w:val="FootnoteReference"/>
          <w:rFonts w:ascii="Times New Roman" w:hAnsi="Times New Roman"/>
          <w:iCs/>
          <w:color w:val="000000"/>
          <w:rtl w:val="0"/>
          <w:lang w:val="sk-SK"/>
        </w:rPr>
        <w:footnoteReference w:id="4"/>
      </w:r>
      <w:bookmarkEnd w:id="2"/>
      <w:r>
        <w:rPr>
          <w:rStyle w:val="PlaceholderText"/>
          <w:rFonts w:ascii="Times New Roman" w:hAnsi="Times New Roman"/>
          <w:iCs/>
          <w:color w:val="000000"/>
          <w:lang w:val="sk-SK"/>
        </w:rPr>
        <w:t>)</w:t>
      </w:r>
      <w:r w:rsidR="006F0763">
        <w:rPr>
          <w:rStyle w:val="PlaceholderText"/>
          <w:rFonts w:ascii="Times New Roman" w:hAnsi="Times New Roman"/>
          <w:iCs/>
          <w:color w:val="000000"/>
          <w:lang w:val="sk-SK"/>
        </w:rPr>
        <w:t>)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 xml:space="preserve"> sa mení lehota pre registráciu (resp. odmietnutie zápisu) </w:t>
      </w:r>
      <w:r w:rsidRPr="00CB291E">
        <w:rPr>
          <w:rStyle w:val="PlaceholderText"/>
          <w:rFonts w:ascii="Times New Roman" w:hAnsi="Times New Roman"/>
          <w:iCs/>
          <w:color w:val="000000"/>
          <w:lang w:val="sk-SK"/>
        </w:rPr>
        <w:t>cezhraničného zlúčenia alebo cezhraničného splynutia spoločností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>, nakoľko toto zakladá (v zmysle terminológie smernice) „</w:t>
      </w:r>
      <w:r w:rsidRPr="00186983">
        <w:rPr>
          <w:rStyle w:val="PlaceholderText"/>
          <w:rFonts w:ascii="Times New Roman" w:hAnsi="Times New Roman"/>
          <w:i/>
          <w:iCs/>
          <w:color w:val="000000"/>
          <w:lang w:val="sk-SK"/>
        </w:rPr>
        <w:t>zmenu v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>
        <w:rPr>
          <w:rStyle w:val="PlaceholderText"/>
          <w:rFonts w:ascii="Times New Roman" w:hAnsi="Times New Roman"/>
          <w:i/>
          <w:iCs/>
          <w:color w:val="000000"/>
          <w:lang w:val="sk-SK"/>
        </w:rPr>
        <w:t>dokumentoch</w:t>
      </w:r>
      <w:r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a údajoch uvedených v článku 2“ 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>prvej publikačnej smernice</w:t>
      </w:r>
      <w:r w:rsidR="00CF0E6E">
        <w:rPr>
          <w:rStyle w:val="PlaceholderText"/>
          <w:rFonts w:ascii="Times New Roman" w:hAnsi="Times New Roman"/>
          <w:iCs/>
          <w:color w:val="000000"/>
          <w:lang w:val="sk-SK"/>
        </w:rPr>
        <w:t>,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fldChar w:fldCharType="begin"/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instrText xml:space="preserve"> NOTEREF _Ref359508987 \f \h </w:instrTex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fldChar w:fldCharType="separate"/>
      </w:r>
      <w:r w:rsidRPr="002A2D53" w:rsidR="002A2D53">
        <w:rPr>
          <w:rStyle w:val="FootnoteReference"/>
          <w:rFonts w:ascii="Times New Roman" w:hAnsi="Times New Roman"/>
        </w:rPr>
        <w:t>3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fldChar w:fldCharType="end"/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>)</w:t>
      </w:r>
      <w:r w:rsidR="00CF0E6E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ktorá </w:t>
      </w:r>
      <w:r w:rsidR="00C80169">
        <w:rPr>
          <w:rStyle w:val="PlaceholderText"/>
          <w:rFonts w:ascii="Times New Roman" w:hAnsi="Times New Roman"/>
          <w:iCs/>
          <w:color w:val="000000"/>
          <w:lang w:val="sk-SK"/>
        </w:rPr>
        <w:t xml:space="preserve">musí byť 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„zapísaná do príslušného registra a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zverejnená v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súlade s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článkom 3 ods. 3 a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5 za normálnych okolnost</w:t>
      </w:r>
      <w:r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í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do 21 dní po doručení kompletnej dokumentácie týkajúcej sa uvedených zmien a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vrátane prípadného preskúmania zákonnosti, ako sa vyžaduje podľa vnútroštátneho práva  v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súvislosti s</w:t>
      </w:r>
      <w:r w:rsidRPr="00140DFB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186983" w:rsidR="00C80169">
        <w:rPr>
          <w:rStyle w:val="PlaceholderText"/>
          <w:rFonts w:ascii="Times New Roman" w:hAnsi="Times New Roman"/>
          <w:i/>
          <w:iCs/>
          <w:color w:val="000000"/>
          <w:lang w:val="sk-SK"/>
        </w:rPr>
        <w:t>vložením do spisu“</w:t>
      </w:r>
      <w:r w:rsidR="00C80169">
        <w:rPr>
          <w:rStyle w:val="PlaceholderText"/>
          <w:rFonts w:ascii="Times New Roman" w:hAnsi="Times New Roman"/>
          <w:iCs/>
          <w:color w:val="000000"/>
          <w:lang w:val="sk-SK"/>
        </w:rPr>
        <w:t>.</w:t>
      </w:r>
    </w:p>
    <w:p w:rsidR="00CB291E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RPr="00F3048F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>K</w:t>
      </w:r>
      <w:r w:rsidRPr="00995722">
        <w:rPr>
          <w:rStyle w:val="PlaceholderText"/>
          <w:rFonts w:ascii="Times New Roman" w:hAnsi="Times New Roman"/>
          <w:i/>
          <w:iCs/>
          <w:color w:val="000000"/>
          <w:lang w:val="sk-SK"/>
        </w:rPr>
        <w:t> 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bodu </w:t>
      </w:r>
      <w:r w:rsidR="00CB291E">
        <w:rPr>
          <w:rStyle w:val="PlaceholderText"/>
          <w:rFonts w:ascii="Times New Roman" w:hAnsi="Times New Roman"/>
          <w:i/>
          <w:iCs/>
          <w:color w:val="000000"/>
          <w:lang w:val="sk-SK"/>
        </w:rPr>
        <w:t>2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(§ </w:t>
      </w:r>
      <w:r w:rsidR="00981BD9">
        <w:rPr>
          <w:rStyle w:val="PlaceholderText"/>
          <w:rFonts w:ascii="Times New Roman" w:hAnsi="Times New Roman"/>
          <w:i/>
          <w:iCs/>
          <w:color w:val="000000"/>
          <w:lang w:val="sk-SK"/>
        </w:rPr>
        <w:t>8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ods.</w:t>
      </w:r>
      <w:r w:rsidR="00981BD9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4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FE054E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557263" w:rsidR="00B7667B">
        <w:rPr>
          <w:rStyle w:val="PlaceholderText"/>
          <w:rFonts w:ascii="Times New Roman" w:hAnsi="Times New Roman"/>
          <w:iCs/>
          <w:color w:val="000000"/>
          <w:lang w:val="sk-SK"/>
        </w:rPr>
        <w:t>Predmetný novelizačný bod reaguje na úlohu B.</w:t>
      </w:r>
      <w:r w:rsidR="00AC1905">
        <w:rPr>
          <w:rStyle w:val="PlaceholderText"/>
          <w:rFonts w:ascii="Times New Roman" w:hAnsi="Times New Roman"/>
          <w:iCs/>
          <w:color w:val="000000"/>
          <w:lang w:val="sk-SK"/>
        </w:rPr>
        <w:t>4</w:t>
      </w:r>
      <w:r w:rsidRPr="00557263" w:rsidR="00B7667B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z uznesenia vlády Slovenskej republiky č. </w:t>
      </w:r>
      <w:r w:rsidRPr="00AC1905" w:rsidR="00B7667B">
        <w:rPr>
          <w:rStyle w:val="PlaceholderText"/>
          <w:rFonts w:ascii="Times New Roman" w:hAnsi="Times New Roman"/>
          <w:iCs/>
          <w:color w:val="000000"/>
          <w:lang w:val="sk-SK"/>
        </w:rPr>
        <w:t xml:space="preserve">153 z 3. apríla 2013 uloženú </w:t>
      </w:r>
      <w:r w:rsidRPr="00AC1905" w:rsidR="00AC1905">
        <w:rPr>
          <w:rStyle w:val="PlaceholderText"/>
          <w:rFonts w:ascii="Times New Roman" w:hAnsi="Times New Roman"/>
          <w:iCs/>
          <w:color w:val="000000"/>
          <w:lang w:val="sk-SK"/>
        </w:rPr>
        <w:t>ministrovi spravodlivosti v termíne do 31. marca 2014 skrátiť lehotu na odoslanie oznámenia o odmietnutí vykonania zápisu spoločnosti do obchodného registra zo súčasnej formulácie „bez zbytočného odkladu“ na „</w:t>
      </w:r>
      <w:r w:rsidR="00AC1905">
        <w:rPr>
          <w:rStyle w:val="PlaceholderText"/>
          <w:rFonts w:ascii="Times New Roman" w:hAnsi="Times New Roman"/>
          <w:iCs/>
          <w:color w:val="000000"/>
          <w:lang w:val="sk-SK"/>
        </w:rPr>
        <w:t>do 2 pracovných dní“.</w:t>
      </w:r>
    </w:p>
    <w:p w:rsidR="00AC1905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</w:p>
    <w:p w:rsidR="0014124B" w:rsidRPr="00F3048F" w:rsidP="0014124B">
      <w:pPr>
        <w:bidi w:val="0"/>
        <w:jc w:val="both"/>
        <w:rPr>
          <w:rStyle w:val="PlaceholderText"/>
          <w:rFonts w:ascii="Times New Roman" w:hAnsi="Times New Roman"/>
          <w:i/>
          <w:iCs/>
          <w:color w:val="000000"/>
          <w:lang w:val="sk-SK"/>
        </w:rPr>
      </w:pP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>K bod</w:t>
      </w:r>
      <w:r w:rsidR="00981BD9">
        <w:rPr>
          <w:rStyle w:val="PlaceholderText"/>
          <w:rFonts w:ascii="Times New Roman" w:hAnsi="Times New Roman"/>
          <w:i/>
          <w:iCs/>
          <w:color w:val="000000"/>
          <w:lang w:val="sk-SK"/>
        </w:rPr>
        <w:t>om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</w:t>
      </w:r>
      <w:r w:rsidR="00186983">
        <w:rPr>
          <w:rStyle w:val="PlaceholderText"/>
          <w:rFonts w:ascii="Times New Roman" w:hAnsi="Times New Roman"/>
          <w:i/>
          <w:iCs/>
          <w:color w:val="000000"/>
          <w:lang w:val="sk-SK"/>
        </w:rPr>
        <w:t>3 až 5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 xml:space="preserve"> (</w:t>
      </w:r>
      <w:r w:rsidR="00981BD9">
        <w:rPr>
          <w:rStyle w:val="PlaceholderText"/>
          <w:rFonts w:ascii="Times New Roman" w:hAnsi="Times New Roman"/>
          <w:i/>
          <w:iCs/>
          <w:color w:val="000000"/>
          <w:lang w:val="sk-SK"/>
        </w:rPr>
        <w:t>príloha</w:t>
      </w:r>
      <w:r w:rsidRPr="00F3048F">
        <w:rPr>
          <w:rStyle w:val="PlaceholderText"/>
          <w:rFonts w:ascii="Times New Roman" w:hAnsi="Times New Roman"/>
          <w:i/>
          <w:iCs/>
          <w:color w:val="000000"/>
          <w:lang w:val="sk-SK"/>
        </w:rPr>
        <w:t>)</w:t>
      </w:r>
    </w:p>
    <w:p w:rsidR="0014124B" w:rsidRPr="00F3048F" w:rsidP="0014124B">
      <w:p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F3048F">
        <w:rPr>
          <w:rStyle w:val="PlaceholderText"/>
          <w:rFonts w:ascii="Times New Roman" w:hAnsi="Times New Roman"/>
          <w:iCs/>
          <w:color w:val="000000"/>
          <w:lang w:val="sk-SK"/>
        </w:rPr>
        <w:t>Predmetnými novelizačnými bodmi sa chronologicky upravuje obsah transpozičnej prílohy zákona, a</w:t>
      </w:r>
      <w:r w:rsidRPr="00995722">
        <w:rPr>
          <w:rStyle w:val="PlaceholderText"/>
          <w:rFonts w:ascii="Times New Roman" w:hAnsi="Times New Roman"/>
          <w:iCs/>
          <w:color w:val="000000"/>
          <w:lang w:val="sk-SK"/>
        </w:rPr>
        <w:t> </w:t>
      </w:r>
      <w:r w:rsidRPr="00F3048F">
        <w:rPr>
          <w:rStyle w:val="PlaceholderText"/>
          <w:rFonts w:ascii="Times New Roman" w:hAnsi="Times New Roman"/>
          <w:iCs/>
          <w:color w:val="000000"/>
          <w:lang w:val="sk-SK"/>
        </w:rPr>
        <w:t>to v</w:t>
      </w:r>
      <w:r w:rsidRPr="00995722">
        <w:rPr>
          <w:rStyle w:val="PlaceholderText"/>
          <w:rFonts w:ascii="Times New Roman" w:hAnsi="Times New Roman"/>
          <w:iCs/>
          <w:color w:val="000000"/>
          <w:lang w:val="sk-SK"/>
        </w:rPr>
        <w:t> </w:t>
      </w:r>
      <w:r w:rsidRPr="00F3048F">
        <w:rPr>
          <w:rStyle w:val="PlaceholderText"/>
          <w:rFonts w:ascii="Times New Roman" w:hAnsi="Times New Roman"/>
          <w:iCs/>
          <w:color w:val="000000"/>
          <w:lang w:val="sk-SK"/>
        </w:rPr>
        <w:t>dôsledku nasledujúcich zmien:</w:t>
      </w:r>
    </w:p>
    <w:p w:rsidR="00981BD9" w:rsidRPr="00981BD9" w:rsidP="00186983">
      <w:pPr>
        <w:numPr>
          <w:numId w:val="39"/>
        </w:num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981BD9">
        <w:rPr>
          <w:rStyle w:val="PlaceholderText"/>
          <w:rFonts w:ascii="Times New Roman" w:hAnsi="Times New Roman"/>
          <w:iCs/>
          <w:color w:val="000000"/>
          <w:lang w:val="sk-SK"/>
        </w:rPr>
        <w:t>vypustením druhej smernice Rady 77/91/EHS z 13. decembra 1976 o koordinácii ochranných opatrení, ktoré členské štáty vyžadujú od obchodných spoločností na ochranu záujmov spoločníkov a tretích osôb v zmysle druhého odseku článku 58 zmluvy, ak ide o zakladanie akciových spoločností, udržiavanie a zmenu ich základného imania, s cieľom dosiahnuť rovnocennosť týchto opatrení, a to v dôsledku prepracovania jej znenia a publikovania v Úradnom vestníku EU pod číslom 2012/30/EU,</w:t>
      </w:r>
    </w:p>
    <w:p w:rsidR="00CB291E" w:rsidP="00186983">
      <w:pPr>
        <w:numPr>
          <w:numId w:val="39"/>
        </w:num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Pr="00981BD9" w:rsidR="00981BD9">
        <w:rPr>
          <w:rStyle w:val="PlaceholderText"/>
          <w:rFonts w:ascii="Times New Roman" w:hAnsi="Times New Roman"/>
          <w:iCs/>
          <w:color w:val="000000"/>
          <w:lang w:val="sk-SK"/>
        </w:rPr>
        <w:t>rozšírením transpozičnej prílohy zákona o odkaz na smernicu Európskeho parlamentu a Rady 2012/30/EÚ z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 (prepracované znenie)</w:t>
      </w:r>
      <w:r w:rsidR="00461EAB">
        <w:rPr>
          <w:rStyle w:val="PlaceholderText"/>
          <w:rFonts w:ascii="Times New Roman" w:hAnsi="Times New Roman"/>
          <w:iCs/>
          <w:color w:val="000000"/>
          <w:lang w:val="sk-SK"/>
        </w:rPr>
        <w:t>, ktorá nahradila zrušenú druhú smernicu Rady 77/91/EHS</w:t>
      </w:r>
      <w:r w:rsidR="00EF559B">
        <w:rPr>
          <w:rStyle w:val="PlaceholderText"/>
          <w:rFonts w:ascii="Times New Roman" w:hAnsi="Times New Roman"/>
          <w:iCs/>
          <w:color w:val="000000"/>
          <w:lang w:val="sk-SK"/>
        </w:rPr>
        <w:t>, ktorá bola</w:t>
      </w:r>
      <w:r w:rsidR="00461EAB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úplne transponovaná do právneho poriadku Slovenskej republiky skoršími novelizáciami Obchodného zákonníka</w:t>
      </w:r>
      <w:r>
        <w:rPr>
          <w:rStyle w:val="PlaceholderText"/>
          <w:rFonts w:ascii="Times New Roman" w:hAnsi="Times New Roman"/>
          <w:iCs/>
          <w:color w:val="000000"/>
          <w:lang w:val="sk-SK"/>
        </w:rPr>
        <w:t>,</w:t>
      </w:r>
    </w:p>
    <w:p w:rsidR="00981BD9" w:rsidRPr="00981BD9" w:rsidP="00186983">
      <w:pPr>
        <w:numPr>
          <w:numId w:val="39"/>
        </w:numPr>
        <w:bidi w:val="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  <w:r w:rsidR="00CB291E">
        <w:rPr>
          <w:rStyle w:val="PlaceholderText"/>
          <w:rFonts w:ascii="Times New Roman" w:hAnsi="Times New Roman"/>
          <w:iCs/>
          <w:color w:val="000000"/>
          <w:lang w:val="sk-SK"/>
        </w:rPr>
        <w:t xml:space="preserve">rozšírením </w:t>
      </w:r>
      <w:r w:rsidRPr="00981BD9" w:rsidR="00CB291E">
        <w:rPr>
          <w:rStyle w:val="PlaceholderText"/>
          <w:rFonts w:ascii="Times New Roman" w:hAnsi="Times New Roman"/>
          <w:iCs/>
          <w:color w:val="000000"/>
          <w:lang w:val="sk-SK"/>
        </w:rPr>
        <w:t xml:space="preserve">transpozičnej prílohy zákona o odkaz na </w:t>
      </w:r>
      <w:r w:rsidR="00CB291E">
        <w:rPr>
          <w:rStyle w:val="PlaceholderText"/>
          <w:rFonts w:ascii="Times New Roman" w:hAnsi="Times New Roman"/>
          <w:iCs/>
          <w:color w:val="000000"/>
          <w:lang w:val="sk-SK"/>
        </w:rPr>
        <w:t>s</w:t>
      </w:r>
      <w:r w:rsidRPr="00CB291E" w:rsidR="00CB291E">
        <w:rPr>
          <w:rStyle w:val="PlaceholderText"/>
          <w:rFonts w:ascii="Times New Roman" w:hAnsi="Times New Roman"/>
          <w:iCs/>
          <w:color w:val="000000"/>
          <w:lang w:val="sk-SK"/>
        </w:rPr>
        <w:t>mernic</w:t>
      </w:r>
      <w:r w:rsidR="00CB291E">
        <w:rPr>
          <w:rStyle w:val="PlaceholderText"/>
          <w:rFonts w:ascii="Times New Roman" w:hAnsi="Times New Roman"/>
          <w:iCs/>
          <w:color w:val="000000"/>
          <w:lang w:val="sk-SK"/>
        </w:rPr>
        <w:t>u</w:t>
      </w:r>
      <w:r w:rsidRPr="00CB291E" w:rsidR="00CB291E">
        <w:rPr>
          <w:rStyle w:val="PlaceholderText"/>
          <w:rFonts w:ascii="Times New Roman" w:hAnsi="Times New Roman"/>
          <w:iCs/>
          <w:color w:val="000000"/>
          <w:lang w:val="sk-SK"/>
        </w:rPr>
        <w:t xml:space="preserve"> Európskeho parlamentu a Rady 2012/17/EÚ z 13. júna 2012, ktorou sa mení a dopĺňa smernica Rady 89/666/EHS a smernice Európskeho parlamentu a Rady 2005/56/ES a 2009/101/ES, pokiaľ ide o prepojenie centrálnych registrov, obchodných registrov a registrov spoločností</w:t>
      </w:r>
      <w:r w:rsidRPr="00981BD9">
        <w:rPr>
          <w:rStyle w:val="PlaceholderText"/>
          <w:rFonts w:ascii="Times New Roman" w:hAnsi="Times New Roman"/>
          <w:iCs/>
          <w:color w:val="000000"/>
          <w:lang w:val="sk-SK"/>
        </w:rPr>
        <w:t xml:space="preserve">. </w:t>
      </w:r>
    </w:p>
    <w:p w:rsidR="0014124B" w:rsidP="00981BD9">
      <w:pPr>
        <w:bidi w:val="0"/>
        <w:ind w:left="72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</w:p>
    <w:p w:rsidR="004865F6" w:rsidRPr="00F3048F" w:rsidP="00981BD9">
      <w:pPr>
        <w:bidi w:val="0"/>
        <w:ind w:left="720"/>
        <w:jc w:val="both"/>
        <w:rPr>
          <w:rStyle w:val="PlaceholderText"/>
          <w:rFonts w:ascii="Times New Roman" w:hAnsi="Times New Roman"/>
          <w:iCs/>
          <w:color w:val="000000"/>
          <w:lang w:val="sk-SK"/>
        </w:rPr>
      </w:pPr>
    </w:p>
    <w:p w:rsidR="0014124B" w:rsidRPr="00EA12BB" w:rsidP="0014124B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  <w:r>
        <w:rPr>
          <w:rFonts w:ascii="Times New Roman" w:hAnsi="Times New Roman"/>
          <w:b/>
          <w:bCs/>
          <w:u w:val="single"/>
          <w:lang w:val="sk-SK"/>
        </w:rPr>
        <w:t xml:space="preserve">K Čl. </w:t>
      </w:r>
      <w:r w:rsidR="0094232E">
        <w:rPr>
          <w:rFonts w:ascii="Times New Roman" w:hAnsi="Times New Roman"/>
          <w:b/>
          <w:bCs/>
          <w:u w:val="single"/>
          <w:lang w:val="sk-SK"/>
        </w:rPr>
        <w:t>I</w:t>
      </w:r>
      <w:r>
        <w:rPr>
          <w:rFonts w:ascii="Times New Roman" w:hAnsi="Times New Roman"/>
          <w:b/>
          <w:bCs/>
          <w:u w:val="single"/>
          <w:lang w:val="sk-SK"/>
        </w:rPr>
        <w:t>V</w:t>
      </w:r>
      <w:r w:rsidRPr="00EA12BB">
        <w:rPr>
          <w:rFonts w:ascii="Times New Roman" w:hAnsi="Times New Roman"/>
          <w:b/>
          <w:bCs/>
          <w:u w:val="single"/>
          <w:lang w:val="sk-SK"/>
        </w:rPr>
        <w:t xml:space="preserve"> (</w:t>
      </w:r>
      <w:r>
        <w:rPr>
          <w:rFonts w:ascii="Times New Roman" w:hAnsi="Times New Roman"/>
          <w:b/>
          <w:bCs/>
          <w:u w:val="single"/>
          <w:lang w:val="sk-SK"/>
        </w:rPr>
        <w:t>Účinnosť</w:t>
      </w:r>
      <w:r w:rsidRPr="00EA12BB">
        <w:rPr>
          <w:rFonts w:ascii="Times New Roman" w:hAnsi="Times New Roman"/>
          <w:b/>
          <w:bCs/>
          <w:u w:val="single"/>
          <w:lang w:val="sk-SK"/>
        </w:rPr>
        <w:t>)</w:t>
      </w:r>
    </w:p>
    <w:p w:rsidR="0014124B" w:rsidP="0014124B">
      <w:pPr>
        <w:bidi w:val="0"/>
        <w:jc w:val="both"/>
        <w:rPr>
          <w:rFonts w:ascii="Times New Roman" w:hAnsi="Times New Roman"/>
          <w:lang w:val="sk-SK"/>
        </w:rPr>
      </w:pPr>
    </w:p>
    <w:p w:rsidR="004865F6" w:rsidP="0014124B">
      <w:pPr>
        <w:bidi w:val="0"/>
        <w:jc w:val="both"/>
        <w:rPr>
          <w:rFonts w:ascii="Times New Roman" w:hAnsi="Times New Roman"/>
          <w:lang w:val="sk-SK"/>
        </w:rPr>
      </w:pPr>
    </w:p>
    <w:p w:rsidR="0014124B" w:rsidP="0014124B">
      <w:pPr>
        <w:bidi w:val="0"/>
        <w:jc w:val="both"/>
        <w:rPr>
          <w:rFonts w:ascii="Times New Roman" w:hAnsi="Times New Roman"/>
        </w:rPr>
      </w:pPr>
      <w:r w:rsidR="00A435B4">
        <w:rPr>
          <w:rFonts w:ascii="Times New Roman" w:hAnsi="Times New Roman"/>
          <w:lang w:val="sk-SK"/>
        </w:rPr>
        <w:t>Ú</w:t>
      </w:r>
      <w:r w:rsidRPr="000C60FA">
        <w:rPr>
          <w:rFonts w:ascii="Times New Roman" w:hAnsi="Times New Roman"/>
          <w:lang w:val="sk-SK"/>
        </w:rPr>
        <w:t xml:space="preserve">činnosť zákona </w:t>
      </w:r>
      <w:r w:rsidR="00A435B4">
        <w:rPr>
          <w:rFonts w:ascii="Times New Roman" w:hAnsi="Times New Roman"/>
          <w:lang w:val="sk-SK"/>
        </w:rPr>
        <w:t xml:space="preserve">sa navrhuje vzhľadom na ďalší priebeh legislatívneho procesu </w:t>
      </w:r>
      <w:r w:rsidRPr="000C60FA">
        <w:rPr>
          <w:rFonts w:ascii="Times New Roman" w:hAnsi="Times New Roman"/>
          <w:lang w:val="sk-SK"/>
        </w:rPr>
        <w:t xml:space="preserve">na </w:t>
      </w:r>
      <w:r w:rsidR="00695E25">
        <w:rPr>
          <w:rFonts w:ascii="Times New Roman" w:hAnsi="Times New Roman"/>
          <w:lang w:val="sk-SK"/>
        </w:rPr>
        <w:t xml:space="preserve">               </w:t>
      </w:r>
      <w:r w:rsidRPr="000C60FA">
        <w:rPr>
          <w:rFonts w:ascii="Times New Roman" w:hAnsi="Times New Roman"/>
          <w:lang w:val="sk-SK"/>
        </w:rPr>
        <w:t xml:space="preserve">1. </w:t>
      </w:r>
      <w:r w:rsidR="001C19F5">
        <w:rPr>
          <w:rFonts w:ascii="Times New Roman" w:hAnsi="Times New Roman"/>
          <w:lang w:val="sk-SK"/>
        </w:rPr>
        <w:t>decembra</w:t>
      </w:r>
      <w:r w:rsidRPr="000C60FA" w:rsidR="001C19F5">
        <w:rPr>
          <w:rFonts w:ascii="Times New Roman" w:hAnsi="Times New Roman"/>
          <w:lang w:val="sk-SK"/>
        </w:rPr>
        <w:t xml:space="preserve"> </w:t>
      </w:r>
      <w:r w:rsidRPr="000C60FA">
        <w:rPr>
          <w:rFonts w:ascii="Times New Roman" w:hAnsi="Times New Roman"/>
          <w:lang w:val="sk-SK"/>
        </w:rPr>
        <w:t>2013</w:t>
      </w:r>
      <w:r w:rsidR="00776688">
        <w:rPr>
          <w:rFonts w:ascii="Times New Roman" w:hAnsi="Times New Roman"/>
          <w:lang w:val="sk-SK"/>
        </w:rPr>
        <w:t xml:space="preserve"> s výnimkou ustanovení čl. II </w:t>
      </w:r>
      <w:r w:rsidR="00776688">
        <w:rPr>
          <w:rFonts w:ascii="Symbol" w:eastAsia="Times New Roman" w:hAnsi="Symbol" w:cs="Times New Roman"/>
          <w:rtl w:val="0"/>
          <w:lang w:val="sk-SK"/>
        </w:rPr>
        <w:sym w:font="Symbol" w:char="F05B"/>
      </w:r>
      <w:r w:rsidR="00776688">
        <w:rPr>
          <w:rFonts w:ascii="Times New Roman" w:hAnsi="Times New Roman"/>
          <w:lang w:val="sk-SK"/>
        </w:rPr>
        <w:t>zákon Slovenskej národnej rady č. 71/1992 Zb.</w:t>
      </w:r>
      <w:r w:rsidR="00776688">
        <w:rPr>
          <w:rFonts w:ascii="Symbol" w:eastAsia="Times New Roman" w:hAnsi="Symbol" w:cs="Times New Roman"/>
          <w:rtl w:val="0"/>
          <w:lang w:val="sk-SK"/>
        </w:rPr>
        <w:sym w:font="Symbol" w:char="F05D"/>
      </w:r>
      <w:r w:rsidR="00776688">
        <w:rPr>
          <w:rFonts w:ascii="Times New Roman" w:hAnsi="Times New Roman"/>
          <w:lang w:val="sk-SK"/>
        </w:rPr>
        <w:t xml:space="preserve">, pri ktorých sa </w:t>
      </w:r>
      <w:r w:rsidR="00611BDA">
        <w:rPr>
          <w:rFonts w:ascii="Times New Roman" w:hAnsi="Times New Roman"/>
          <w:lang w:val="sk-SK"/>
        </w:rPr>
        <w:t xml:space="preserve">vzhľadom na termín plnenia úlohy B.9 z uznesenia vlády Slovenskej republiky č. 153 z 3. apríla 2013 </w:t>
      </w:r>
      <w:r w:rsidR="00776688">
        <w:rPr>
          <w:rFonts w:ascii="Times New Roman" w:hAnsi="Times New Roman"/>
          <w:lang w:val="sk-SK"/>
        </w:rPr>
        <w:t>navrhuje účinnosť 1. januára 2014</w:t>
      </w:r>
      <w:r w:rsidRPr="000C60FA">
        <w:rPr>
          <w:rFonts w:ascii="Times New Roman" w:hAnsi="Times New Roman"/>
          <w:lang w:val="sk-SK"/>
        </w:rPr>
        <w:t>.</w:t>
      </w:r>
    </w:p>
    <w:p w:rsidR="00875A14">
      <w:pPr>
        <w:bidi w:val="0"/>
        <w:rPr>
          <w:rFonts w:ascii="Times New Roman" w:hAnsi="Times New Roman"/>
        </w:rPr>
      </w:pPr>
    </w:p>
    <w:p w:rsidR="00875A14" w:rsidRPr="006F0763">
      <w:pPr>
        <w:bidi w:val="0"/>
        <w:rPr>
          <w:rFonts w:ascii="Times New Roman" w:hAnsi="Times New Roman"/>
          <w:lang w:val="sk-SK"/>
        </w:rPr>
      </w:pPr>
      <w:r w:rsidRPr="006F0763">
        <w:rPr>
          <w:rFonts w:ascii="Times New Roman" w:hAnsi="Times New Roman"/>
          <w:lang w:val="sk-SK"/>
        </w:rPr>
        <w:t>Bratislav</w:t>
      </w:r>
      <w:r>
        <w:rPr>
          <w:rFonts w:ascii="Times New Roman" w:hAnsi="Times New Roman"/>
          <w:lang w:val="sk-SK"/>
        </w:rPr>
        <w:t>a</w:t>
      </w:r>
      <w:r w:rsidRPr="006F0763">
        <w:rPr>
          <w:rFonts w:ascii="Times New Roman" w:hAnsi="Times New Roman"/>
          <w:lang w:val="sk-SK"/>
        </w:rPr>
        <w:t xml:space="preserve">, 03. </w:t>
      </w:r>
      <w:r>
        <w:rPr>
          <w:rFonts w:ascii="Times New Roman" w:hAnsi="Times New Roman"/>
          <w:lang w:val="sk-SK"/>
        </w:rPr>
        <w:t>j</w:t>
      </w:r>
      <w:r w:rsidRPr="006F0763">
        <w:rPr>
          <w:rFonts w:ascii="Times New Roman" w:hAnsi="Times New Roman"/>
          <w:lang w:val="sk-SK"/>
        </w:rPr>
        <w:t>úla 2013</w:t>
      </w:r>
    </w:p>
    <w:p w:rsidR="00875A14" w:rsidRPr="006F0763">
      <w:pPr>
        <w:bidi w:val="0"/>
        <w:rPr>
          <w:rFonts w:ascii="Times New Roman" w:hAnsi="Times New Roman"/>
          <w:lang w:val="sk-SK"/>
        </w:rPr>
      </w:pPr>
    </w:p>
    <w:p w:rsidR="00875A14" w:rsidRPr="006F0763">
      <w:pPr>
        <w:bidi w:val="0"/>
        <w:rPr>
          <w:rFonts w:ascii="Times New Roman" w:hAnsi="Times New Roman"/>
          <w:lang w:val="sk-SK"/>
        </w:rPr>
      </w:pPr>
    </w:p>
    <w:p w:rsidR="00875A14" w:rsidRPr="006F0763" w:rsidP="006F0763">
      <w:pPr>
        <w:bidi w:val="0"/>
        <w:jc w:val="center"/>
        <w:rPr>
          <w:rFonts w:ascii="Times New Roman" w:hAnsi="Times New Roman"/>
          <w:b/>
          <w:lang w:val="sk-SK"/>
        </w:rPr>
      </w:pPr>
      <w:r w:rsidRPr="006F0763">
        <w:rPr>
          <w:rFonts w:ascii="Times New Roman" w:hAnsi="Times New Roman"/>
          <w:b/>
          <w:lang w:val="sk-SK"/>
        </w:rPr>
        <w:t>Robert Fico</w:t>
      </w:r>
      <w:r w:rsidR="009C3609">
        <w:rPr>
          <w:rFonts w:ascii="Times New Roman" w:hAnsi="Times New Roman"/>
          <w:b/>
          <w:lang w:val="sk-SK"/>
        </w:rPr>
        <w:t xml:space="preserve"> v.r.</w:t>
      </w:r>
    </w:p>
    <w:p w:rsidR="00875A14" w:rsidP="006F0763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</w:t>
      </w:r>
      <w:r w:rsidRPr="006F0763">
        <w:rPr>
          <w:rFonts w:ascii="Times New Roman" w:hAnsi="Times New Roman"/>
          <w:lang w:val="sk-SK"/>
        </w:rPr>
        <w:t>redseda vlády</w:t>
      </w:r>
    </w:p>
    <w:p w:rsidR="00875A14" w:rsidRPr="006F0763" w:rsidP="006F0763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Slovenskej republiky</w:t>
      </w:r>
    </w:p>
    <w:p w:rsidR="00875A14" w:rsidP="006F0763">
      <w:pPr>
        <w:bidi w:val="0"/>
        <w:jc w:val="center"/>
        <w:rPr>
          <w:rFonts w:ascii="Times New Roman" w:hAnsi="Times New Roman"/>
          <w:lang w:val="sk-SK"/>
        </w:rPr>
      </w:pPr>
    </w:p>
    <w:p w:rsidR="00875A14" w:rsidRPr="006F0763" w:rsidP="006F0763">
      <w:pPr>
        <w:bidi w:val="0"/>
        <w:jc w:val="center"/>
        <w:rPr>
          <w:rFonts w:ascii="Times New Roman" w:hAnsi="Times New Roman"/>
          <w:lang w:val="sk-SK"/>
        </w:rPr>
      </w:pPr>
    </w:p>
    <w:p w:rsidR="00875A14" w:rsidP="006F0763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75A14" w:rsidP="006F0763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875A14" w:rsidRPr="006F0763" w:rsidP="006F0763">
      <w:pPr>
        <w:bidi w:val="0"/>
        <w:jc w:val="center"/>
        <w:rPr>
          <w:rFonts w:ascii="Times New Roman" w:hAnsi="Times New Roman"/>
          <w:b/>
          <w:lang w:val="sk-SK"/>
        </w:rPr>
      </w:pPr>
      <w:r w:rsidRPr="006F0763">
        <w:rPr>
          <w:rFonts w:ascii="Times New Roman" w:hAnsi="Times New Roman"/>
          <w:b/>
          <w:lang w:val="sk-SK"/>
        </w:rPr>
        <w:t>Tomáš Borec</w:t>
      </w:r>
      <w:r w:rsidR="009C3609">
        <w:rPr>
          <w:rFonts w:ascii="Times New Roman" w:hAnsi="Times New Roman"/>
          <w:b/>
          <w:lang w:val="sk-SK"/>
        </w:rPr>
        <w:t xml:space="preserve"> v.r.</w:t>
      </w:r>
    </w:p>
    <w:p w:rsidR="00875A14" w:rsidP="006F0763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</w:t>
      </w:r>
      <w:r w:rsidRPr="006F0763">
        <w:rPr>
          <w:rFonts w:ascii="Times New Roman" w:hAnsi="Times New Roman"/>
          <w:lang w:val="sk-SK"/>
        </w:rPr>
        <w:t>inister spravodlivosti</w:t>
      </w:r>
    </w:p>
    <w:p w:rsidR="00875A14" w:rsidRPr="006F0763" w:rsidP="006F0763">
      <w:pPr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Slovenskej republiky</w:t>
      </w:r>
    </w:p>
    <w:sectPr w:rsidSect="00827563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29E" w:rsidRPr="00265B7B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265B7B" w:rsidR="00522051">
      <w:rPr>
        <w:rFonts w:ascii="Times New Roman" w:hAnsi="Times New Roman"/>
        <w:sz w:val="20"/>
        <w:szCs w:val="20"/>
        <w:lang w:val="sk-SK"/>
      </w:rPr>
      <w:t xml:space="preserve">Strana </w:t>
    </w:r>
    <w:r w:rsidRPr="00265B7B" w:rsidR="00522051">
      <w:rPr>
        <w:rFonts w:ascii="Times New Roman" w:hAnsi="Times New Roman"/>
        <w:bCs/>
        <w:sz w:val="20"/>
        <w:szCs w:val="20"/>
      </w:rPr>
      <w:fldChar w:fldCharType="begin"/>
    </w:r>
    <w:r w:rsidRPr="00265B7B" w:rsidR="00522051">
      <w:rPr>
        <w:rFonts w:ascii="Times New Roman" w:hAnsi="Times New Roman"/>
        <w:bCs/>
        <w:sz w:val="20"/>
        <w:szCs w:val="20"/>
      </w:rPr>
      <w:instrText>PAGE</w:instrText>
    </w:r>
    <w:r w:rsidRPr="00265B7B" w:rsidR="00522051">
      <w:rPr>
        <w:rFonts w:ascii="Times New Roman" w:hAnsi="Times New Roman"/>
        <w:bCs/>
        <w:sz w:val="20"/>
        <w:szCs w:val="20"/>
      </w:rPr>
      <w:fldChar w:fldCharType="separate"/>
    </w:r>
    <w:r w:rsidR="002A2D53">
      <w:rPr>
        <w:rFonts w:ascii="Times New Roman" w:hAnsi="Times New Roman"/>
        <w:bCs/>
        <w:noProof/>
        <w:sz w:val="20"/>
        <w:szCs w:val="20"/>
      </w:rPr>
      <w:t>2</w:t>
    </w:r>
    <w:r w:rsidRPr="00265B7B" w:rsidR="00522051">
      <w:rPr>
        <w:rFonts w:ascii="Times New Roman" w:hAnsi="Times New Roman"/>
        <w:bCs/>
        <w:sz w:val="20"/>
        <w:szCs w:val="20"/>
      </w:rPr>
      <w:fldChar w:fldCharType="end"/>
    </w:r>
    <w:r w:rsidRPr="00265B7B" w:rsidR="00522051">
      <w:rPr>
        <w:rFonts w:ascii="Times New Roman" w:hAnsi="Times New Roman"/>
        <w:sz w:val="20"/>
        <w:szCs w:val="20"/>
        <w:lang w:val="sk-SK"/>
      </w:rPr>
      <w:t xml:space="preserve"> z </w:t>
    </w:r>
    <w:r w:rsidRPr="00265B7B" w:rsidR="00522051">
      <w:rPr>
        <w:rFonts w:ascii="Times New Roman" w:hAnsi="Times New Roman"/>
        <w:bCs/>
        <w:sz w:val="20"/>
        <w:szCs w:val="20"/>
      </w:rPr>
      <w:fldChar w:fldCharType="begin"/>
    </w:r>
    <w:r w:rsidRPr="00265B7B" w:rsidR="00522051">
      <w:rPr>
        <w:rFonts w:ascii="Times New Roman" w:hAnsi="Times New Roman"/>
        <w:bCs/>
        <w:sz w:val="20"/>
        <w:szCs w:val="20"/>
      </w:rPr>
      <w:instrText>NUMPAGES</w:instrText>
    </w:r>
    <w:r w:rsidRPr="00265B7B" w:rsidR="00522051">
      <w:rPr>
        <w:rFonts w:ascii="Times New Roman" w:hAnsi="Times New Roman"/>
        <w:bCs/>
        <w:sz w:val="20"/>
        <w:szCs w:val="20"/>
      </w:rPr>
      <w:fldChar w:fldCharType="separate"/>
    </w:r>
    <w:r w:rsidR="002A2D53">
      <w:rPr>
        <w:rFonts w:ascii="Times New Roman" w:hAnsi="Times New Roman"/>
        <w:bCs/>
        <w:noProof/>
        <w:sz w:val="20"/>
        <w:szCs w:val="20"/>
      </w:rPr>
      <w:t>7</w:t>
    </w:r>
    <w:r w:rsidRPr="00265B7B" w:rsidR="00522051">
      <w:rPr>
        <w:rFonts w:ascii="Times New Roman" w:hAnsi="Times New Roman"/>
        <w:bCs/>
        <w:sz w:val="20"/>
        <w:szCs w:val="20"/>
      </w:rPr>
      <w:fldChar w:fldCharType="end"/>
    </w:r>
  </w:p>
  <w:p w:rsidR="00E4529E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DC" w:rsidP="001412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1945DC" w:rsidP="001412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BD7712">
      <w:pPr>
        <w:pStyle w:val="FootnoteText"/>
        <w:bidi w:val="0"/>
        <w:jc w:val="both"/>
        <w:rPr>
          <w:rFonts w:ascii="Times New Roman" w:hAnsi="Times New Roman"/>
        </w:rPr>
      </w:pPr>
      <w:r w:rsidR="00BD7712">
        <w:rPr>
          <w:rStyle w:val="FootnoteReference"/>
          <w:rFonts w:ascii="Times New Roman" w:hAnsi="Times New Roman"/>
        </w:rPr>
        <w:footnoteRef/>
      </w:r>
      <w:r w:rsidR="00BD7712">
        <w:rPr>
          <w:rFonts w:ascii="Times New Roman" w:hAnsi="Times New Roman"/>
        </w:rPr>
        <w:t xml:space="preserve">) </w:t>
      </w:r>
      <w:r w:rsidRPr="00557263" w:rsidR="00BD7712">
        <w:rPr>
          <w:rFonts w:ascii="Times New Roman" w:hAnsi="Times New Roman"/>
          <w:lang w:val="sk-SK"/>
        </w:rPr>
        <w:t>Vyhláška</w:t>
      </w:r>
      <w:r w:rsidR="00BD7712">
        <w:rPr>
          <w:rFonts w:ascii="Times New Roman" w:hAnsi="Times New Roman"/>
          <w:lang w:val="sk-SK"/>
        </w:rPr>
        <w:t xml:space="preserve"> Ministerstva spravodlivosti Slovenskej republiky č. 25/2004 Z. z.,</w:t>
      </w:r>
      <w:r w:rsidRPr="00557263" w:rsidR="00BD7712">
        <w:rPr>
          <w:rFonts w:ascii="Times New Roman" w:hAnsi="Times New Roman"/>
          <w:lang w:val="sk-SK"/>
        </w:rPr>
        <w:t xml:space="preserve"> ktorou sa ustanovujú vzory tlačív na podávanie návrhov na zápis do obchodného registra a zoznam listín, ktoré je potrebné k návrhu na zápis priložiť</w:t>
      </w:r>
      <w:r w:rsidR="00BD7712">
        <w:rPr>
          <w:rFonts w:ascii="Times New Roman" w:hAnsi="Times New Roman"/>
          <w:lang w:val="sk-SK"/>
        </w:rPr>
        <w:t xml:space="preserve"> v znení neskorších predpisov.</w:t>
      </w:r>
    </w:p>
  </w:footnote>
  <w:footnote w:id="3">
    <w:p w:rsidP="00482979">
      <w:pPr>
        <w:pStyle w:val="FootnoteText"/>
        <w:bidi w:val="0"/>
        <w:jc w:val="both"/>
        <w:rPr>
          <w:rFonts w:ascii="Times New Roman" w:hAnsi="Times New Roman"/>
        </w:rPr>
      </w:pPr>
      <w:r w:rsidRPr="00482979" w:rsidR="00482979">
        <w:rPr>
          <w:rStyle w:val="FootnoteReference"/>
          <w:rFonts w:ascii="Times New Roman" w:hAnsi="Times New Roman"/>
          <w:lang w:val="sk-SK"/>
        </w:rPr>
        <w:footnoteRef/>
      </w:r>
      <w:r w:rsidRPr="00482979" w:rsidR="00482979">
        <w:rPr>
          <w:rFonts w:ascii="Times New Roman" w:hAnsi="Times New Roman"/>
          <w:lang w:val="sk-SK"/>
        </w:rPr>
        <w:t>) Smernica č. 2012/30/EÚ z 20.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opatrení.</w:t>
      </w:r>
    </w:p>
  </w:footnote>
  <w:footnote w:id="4">
    <w:p w:rsidP="00186983">
      <w:pPr>
        <w:pStyle w:val="FootnoteText"/>
        <w:bidi w:val="0"/>
        <w:jc w:val="both"/>
        <w:rPr>
          <w:rFonts w:ascii="Times New Roman" w:hAnsi="Times New Roman"/>
        </w:rPr>
      </w:pPr>
      <w:r w:rsidRPr="00140DFB" w:rsidR="00CB291E">
        <w:rPr>
          <w:rStyle w:val="FootnoteReference"/>
          <w:rFonts w:ascii="Times New Roman" w:hAnsi="Times New Roman"/>
          <w:lang w:val="sk-SK"/>
        </w:rPr>
        <w:footnoteRef/>
      </w:r>
      <w:r w:rsidRPr="00186983" w:rsidR="00CB291E">
        <w:rPr>
          <w:rFonts w:ascii="Times New Roman" w:hAnsi="Times New Roman"/>
          <w:lang w:val="sk-SK"/>
        </w:rPr>
        <w:t>) Smernica Európskeho parlamentu a Rady 2009/101/ES zo 16. septembra 2009 o koordinácii záruk, ktoré sa od obchodných spoločností v zmysle článku 48 druhého odseku zmluvy vyžadujú v členských štátoch na ochranu záujmov spoločníkov a tretích osôb s cieľom zabezpečiť rovnocennosť týchto záruk (kodifikované znenie)</w:t>
      </w:r>
      <w:r w:rsidR="00CB291E">
        <w:rPr>
          <w:rFonts w:ascii="Times New Roman" w:hAnsi="Times New Roman"/>
          <w:lang w:val="sk-SK"/>
        </w:rPr>
        <w:t xml:space="preserve"> v platnom znení</w:t>
      </w:r>
      <w:r w:rsidRPr="00186983" w:rsidR="00CB291E">
        <w:rPr>
          <w:rFonts w:ascii="Times New Roman" w:hAnsi="Times New Roman"/>
          <w:lang w:val="sk-SK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9ECED0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>
    <w:nsid w:val="FFFFFF82"/>
    <w:multiLevelType w:val="singleLevel"/>
    <w:tmpl w:val="FC144F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95C3482"/>
    <w:multiLevelType w:val="hybridMultilevel"/>
    <w:tmpl w:val="D88AAB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72B37"/>
    <w:multiLevelType w:val="singleLevel"/>
    <w:tmpl w:val="D654CF24"/>
    <w:name w:val="List Bullet 3__1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">
    <w:nsid w:val="3DF52D81"/>
    <w:multiLevelType w:val="hybridMultilevel"/>
    <w:tmpl w:val="2528C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562F4"/>
    <w:multiLevelType w:val="multilevel"/>
    <w:tmpl w:val="72BAC934"/>
    <w:name w:val="List Number 3__1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  <w:rtl w:val="0"/>
        <w:cs w:val="0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 w:hint="default"/>
        <w:rtl w:val="0"/>
        <w:cs w:val="0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0"/>
  </w:num>
  <w:num w:numId="31">
    <w:abstractNumId w:val="1"/>
  </w:num>
  <w:num w:numId="32">
    <w:abstractNumId w:val="0"/>
  </w:num>
  <w:num w:numId="33">
    <w:abstractNumId w:val="1"/>
  </w:num>
  <w:num w:numId="34">
    <w:abstractNumId w:val="0"/>
  </w:num>
  <w:num w:numId="35">
    <w:abstractNumId w:val="1"/>
  </w:num>
  <w:num w:numId="36">
    <w:abstractNumId w:val="0"/>
  </w:num>
  <w:num w:numId="37">
    <w:abstractNumId w:val="5"/>
  </w:num>
  <w:num w:numId="38">
    <w:abstractNumId w:val="3"/>
  </w:num>
  <w:num w:numId="39">
    <w:abstractNumId w:val="2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A77320"/>
    <w:rsid w:val="00010FC0"/>
    <w:rsid w:val="00013B69"/>
    <w:rsid w:val="0001680B"/>
    <w:rsid w:val="00025D8A"/>
    <w:rsid w:val="00043C13"/>
    <w:rsid w:val="000531D6"/>
    <w:rsid w:val="00054E69"/>
    <w:rsid w:val="00061F6B"/>
    <w:rsid w:val="00074FD1"/>
    <w:rsid w:val="00095C5F"/>
    <w:rsid w:val="000A330C"/>
    <w:rsid w:val="000C60FA"/>
    <w:rsid w:val="000E0876"/>
    <w:rsid w:val="000F4BEF"/>
    <w:rsid w:val="00102BC9"/>
    <w:rsid w:val="001117BF"/>
    <w:rsid w:val="00140D7B"/>
    <w:rsid w:val="00140DFB"/>
    <w:rsid w:val="0014124B"/>
    <w:rsid w:val="001422B9"/>
    <w:rsid w:val="001462C0"/>
    <w:rsid w:val="0015247A"/>
    <w:rsid w:val="00170CAA"/>
    <w:rsid w:val="00186983"/>
    <w:rsid w:val="0019339B"/>
    <w:rsid w:val="001945DC"/>
    <w:rsid w:val="001957EC"/>
    <w:rsid w:val="001A213A"/>
    <w:rsid w:val="001A69FF"/>
    <w:rsid w:val="001C0A95"/>
    <w:rsid w:val="001C19F5"/>
    <w:rsid w:val="001C4B96"/>
    <w:rsid w:val="001C5F7C"/>
    <w:rsid w:val="001D5E37"/>
    <w:rsid w:val="001D791C"/>
    <w:rsid w:val="001E154C"/>
    <w:rsid w:val="001F7713"/>
    <w:rsid w:val="00201366"/>
    <w:rsid w:val="00201A95"/>
    <w:rsid w:val="00201E30"/>
    <w:rsid w:val="00201E7E"/>
    <w:rsid w:val="00202A1D"/>
    <w:rsid w:val="00203792"/>
    <w:rsid w:val="00210F1A"/>
    <w:rsid w:val="00220E5F"/>
    <w:rsid w:val="00221092"/>
    <w:rsid w:val="00233D69"/>
    <w:rsid w:val="00240B01"/>
    <w:rsid w:val="00255FF2"/>
    <w:rsid w:val="00265B7B"/>
    <w:rsid w:val="00273574"/>
    <w:rsid w:val="00282740"/>
    <w:rsid w:val="00284577"/>
    <w:rsid w:val="00287112"/>
    <w:rsid w:val="00294BE1"/>
    <w:rsid w:val="002A2D53"/>
    <w:rsid w:val="002C1D9C"/>
    <w:rsid w:val="002C46F7"/>
    <w:rsid w:val="002C73D3"/>
    <w:rsid w:val="002D4A80"/>
    <w:rsid w:val="002E6E43"/>
    <w:rsid w:val="00305F1A"/>
    <w:rsid w:val="00324F16"/>
    <w:rsid w:val="00360E09"/>
    <w:rsid w:val="00361724"/>
    <w:rsid w:val="00377CBD"/>
    <w:rsid w:val="00383691"/>
    <w:rsid w:val="00395F12"/>
    <w:rsid w:val="003A0645"/>
    <w:rsid w:val="003A13F9"/>
    <w:rsid w:val="003A7D27"/>
    <w:rsid w:val="003C1E3E"/>
    <w:rsid w:val="003C3A66"/>
    <w:rsid w:val="003E513E"/>
    <w:rsid w:val="003E643E"/>
    <w:rsid w:val="003F105C"/>
    <w:rsid w:val="00401538"/>
    <w:rsid w:val="0040562D"/>
    <w:rsid w:val="00406147"/>
    <w:rsid w:val="00406BA2"/>
    <w:rsid w:val="004179E9"/>
    <w:rsid w:val="004466BE"/>
    <w:rsid w:val="00450F24"/>
    <w:rsid w:val="00461EAB"/>
    <w:rsid w:val="0047433B"/>
    <w:rsid w:val="00482979"/>
    <w:rsid w:val="004865F6"/>
    <w:rsid w:val="00495281"/>
    <w:rsid w:val="004A2112"/>
    <w:rsid w:val="004C3AA6"/>
    <w:rsid w:val="004D6578"/>
    <w:rsid w:val="004E428F"/>
    <w:rsid w:val="004F1667"/>
    <w:rsid w:val="005007F7"/>
    <w:rsid w:val="00522051"/>
    <w:rsid w:val="00534A8C"/>
    <w:rsid w:val="0053589C"/>
    <w:rsid w:val="00555D8E"/>
    <w:rsid w:val="00557263"/>
    <w:rsid w:val="0056679C"/>
    <w:rsid w:val="00567D9F"/>
    <w:rsid w:val="00575F45"/>
    <w:rsid w:val="005C7FB6"/>
    <w:rsid w:val="00604FFC"/>
    <w:rsid w:val="00605DCB"/>
    <w:rsid w:val="00607CE8"/>
    <w:rsid w:val="00611BDA"/>
    <w:rsid w:val="006156EC"/>
    <w:rsid w:val="006271CA"/>
    <w:rsid w:val="006319EC"/>
    <w:rsid w:val="00662168"/>
    <w:rsid w:val="00695E25"/>
    <w:rsid w:val="006B01B7"/>
    <w:rsid w:val="006E07A9"/>
    <w:rsid w:val="006E35EA"/>
    <w:rsid w:val="006F0763"/>
    <w:rsid w:val="007053DE"/>
    <w:rsid w:val="00705D52"/>
    <w:rsid w:val="007278CB"/>
    <w:rsid w:val="00762D5E"/>
    <w:rsid w:val="00763D33"/>
    <w:rsid w:val="00767902"/>
    <w:rsid w:val="00776688"/>
    <w:rsid w:val="00795590"/>
    <w:rsid w:val="007B2C26"/>
    <w:rsid w:val="007B7FC5"/>
    <w:rsid w:val="007F0FAD"/>
    <w:rsid w:val="00815599"/>
    <w:rsid w:val="00816AD1"/>
    <w:rsid w:val="00827563"/>
    <w:rsid w:val="00842400"/>
    <w:rsid w:val="00851D85"/>
    <w:rsid w:val="00860170"/>
    <w:rsid w:val="008637AF"/>
    <w:rsid w:val="008648EE"/>
    <w:rsid w:val="008752EA"/>
    <w:rsid w:val="00875A14"/>
    <w:rsid w:val="00884E1F"/>
    <w:rsid w:val="008B2502"/>
    <w:rsid w:val="008D1CEC"/>
    <w:rsid w:val="008E6DD8"/>
    <w:rsid w:val="009229AF"/>
    <w:rsid w:val="00923DD8"/>
    <w:rsid w:val="0094232E"/>
    <w:rsid w:val="0094492F"/>
    <w:rsid w:val="00951C84"/>
    <w:rsid w:val="00952FB7"/>
    <w:rsid w:val="009540A0"/>
    <w:rsid w:val="009566A1"/>
    <w:rsid w:val="00981BD9"/>
    <w:rsid w:val="0098487F"/>
    <w:rsid w:val="00995722"/>
    <w:rsid w:val="009A1DAD"/>
    <w:rsid w:val="009B4268"/>
    <w:rsid w:val="009C3609"/>
    <w:rsid w:val="009F004B"/>
    <w:rsid w:val="009F255C"/>
    <w:rsid w:val="00A11E92"/>
    <w:rsid w:val="00A23518"/>
    <w:rsid w:val="00A2785D"/>
    <w:rsid w:val="00A3001E"/>
    <w:rsid w:val="00A41CCD"/>
    <w:rsid w:val="00A435B4"/>
    <w:rsid w:val="00A56A24"/>
    <w:rsid w:val="00A6605D"/>
    <w:rsid w:val="00A6771E"/>
    <w:rsid w:val="00A71186"/>
    <w:rsid w:val="00A77320"/>
    <w:rsid w:val="00A776F3"/>
    <w:rsid w:val="00A811C1"/>
    <w:rsid w:val="00A924C1"/>
    <w:rsid w:val="00AA1C90"/>
    <w:rsid w:val="00AA2874"/>
    <w:rsid w:val="00AC1905"/>
    <w:rsid w:val="00AE06F6"/>
    <w:rsid w:val="00B02ECD"/>
    <w:rsid w:val="00B0577D"/>
    <w:rsid w:val="00B100FE"/>
    <w:rsid w:val="00B2131B"/>
    <w:rsid w:val="00B268C2"/>
    <w:rsid w:val="00B3038D"/>
    <w:rsid w:val="00B33C5B"/>
    <w:rsid w:val="00B64FBC"/>
    <w:rsid w:val="00B65A34"/>
    <w:rsid w:val="00B75AB8"/>
    <w:rsid w:val="00B7667B"/>
    <w:rsid w:val="00B944AC"/>
    <w:rsid w:val="00B97CDC"/>
    <w:rsid w:val="00BB545C"/>
    <w:rsid w:val="00BB5ECC"/>
    <w:rsid w:val="00BC007C"/>
    <w:rsid w:val="00BC1F6C"/>
    <w:rsid w:val="00BC66D4"/>
    <w:rsid w:val="00BD356D"/>
    <w:rsid w:val="00BD7712"/>
    <w:rsid w:val="00BE2631"/>
    <w:rsid w:val="00C10F28"/>
    <w:rsid w:val="00C13FE7"/>
    <w:rsid w:val="00C17726"/>
    <w:rsid w:val="00C5375D"/>
    <w:rsid w:val="00C606D6"/>
    <w:rsid w:val="00C65E08"/>
    <w:rsid w:val="00C6655A"/>
    <w:rsid w:val="00C71644"/>
    <w:rsid w:val="00C753E7"/>
    <w:rsid w:val="00C80169"/>
    <w:rsid w:val="00CA3180"/>
    <w:rsid w:val="00CB291E"/>
    <w:rsid w:val="00CC70F7"/>
    <w:rsid w:val="00CD30EF"/>
    <w:rsid w:val="00CD6AC5"/>
    <w:rsid w:val="00CE3201"/>
    <w:rsid w:val="00CF0E6E"/>
    <w:rsid w:val="00CF2F2E"/>
    <w:rsid w:val="00CF75B0"/>
    <w:rsid w:val="00D04E18"/>
    <w:rsid w:val="00D04E92"/>
    <w:rsid w:val="00D06022"/>
    <w:rsid w:val="00D116A0"/>
    <w:rsid w:val="00D167A8"/>
    <w:rsid w:val="00D216C8"/>
    <w:rsid w:val="00D223B5"/>
    <w:rsid w:val="00D228D9"/>
    <w:rsid w:val="00D3140D"/>
    <w:rsid w:val="00D443D2"/>
    <w:rsid w:val="00D4692A"/>
    <w:rsid w:val="00D54790"/>
    <w:rsid w:val="00D70A9E"/>
    <w:rsid w:val="00D77832"/>
    <w:rsid w:val="00D811C7"/>
    <w:rsid w:val="00D9180C"/>
    <w:rsid w:val="00D972D8"/>
    <w:rsid w:val="00D979B1"/>
    <w:rsid w:val="00DA3F43"/>
    <w:rsid w:val="00DB10ED"/>
    <w:rsid w:val="00DC05AE"/>
    <w:rsid w:val="00DC7C71"/>
    <w:rsid w:val="00DD5AD8"/>
    <w:rsid w:val="00DF3CDA"/>
    <w:rsid w:val="00DF4404"/>
    <w:rsid w:val="00E01AE6"/>
    <w:rsid w:val="00E026C3"/>
    <w:rsid w:val="00E14447"/>
    <w:rsid w:val="00E1547B"/>
    <w:rsid w:val="00E31630"/>
    <w:rsid w:val="00E333BC"/>
    <w:rsid w:val="00E37F1F"/>
    <w:rsid w:val="00E418A0"/>
    <w:rsid w:val="00E44F30"/>
    <w:rsid w:val="00E4529E"/>
    <w:rsid w:val="00E5562D"/>
    <w:rsid w:val="00E64A44"/>
    <w:rsid w:val="00E75BAA"/>
    <w:rsid w:val="00E84FBF"/>
    <w:rsid w:val="00EA12BB"/>
    <w:rsid w:val="00EB6D97"/>
    <w:rsid w:val="00EE677D"/>
    <w:rsid w:val="00EE7019"/>
    <w:rsid w:val="00EF3CB5"/>
    <w:rsid w:val="00EF559B"/>
    <w:rsid w:val="00F008D3"/>
    <w:rsid w:val="00F038BB"/>
    <w:rsid w:val="00F3048F"/>
    <w:rsid w:val="00F44E3A"/>
    <w:rsid w:val="00F53BB7"/>
    <w:rsid w:val="00F72375"/>
    <w:rsid w:val="00F7394A"/>
    <w:rsid w:val="00F73A0F"/>
    <w:rsid w:val="00F73A52"/>
    <w:rsid w:val="00F73DDB"/>
    <w:rsid w:val="00F82728"/>
    <w:rsid w:val="00F97137"/>
    <w:rsid w:val="00FA1656"/>
    <w:rsid w:val="00FA5CA3"/>
    <w:rsid w:val="00FB653C"/>
    <w:rsid w:val="00FD0151"/>
    <w:rsid w:val="00FD6FBC"/>
    <w:rsid w:val="00FE054E"/>
    <w:rsid w:val="00FE37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4124B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1412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4124B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14124B"/>
    <w:rPr>
      <w:rFonts w:cs="Times New Roman"/>
      <w:color w:val="80808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14124B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4124B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4124B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sid w:val="0014124B"/>
    <w:rPr>
      <w:rFonts w:cs="Times New Roman"/>
      <w:color w:val="auto"/>
      <w:u w:val="single"/>
      <w:rtl w:val="0"/>
      <w:cs w:val="0"/>
    </w:rPr>
  </w:style>
  <w:style w:type="character" w:customStyle="1" w:styleId="ppp-input-value">
    <w:name w:val="ppp-input-value"/>
    <w:rsid w:val="0014124B"/>
  </w:style>
  <w:style w:type="paragraph" w:styleId="BalloonText">
    <w:name w:val="Balloon Text"/>
    <w:basedOn w:val="Normal"/>
    <w:link w:val="TextbublinyChar"/>
    <w:uiPriority w:val="99"/>
    <w:semiHidden/>
    <w:rsid w:val="001412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124B"/>
    <w:rPr>
      <w:rFonts w:ascii="Tahoma" w:hAnsi="Tahoma" w:cs="Tahoma"/>
      <w:sz w:val="16"/>
      <w:szCs w:val="16"/>
      <w:rtl w:val="0"/>
      <w:cs w:val="0"/>
      <w:lang w:val="cs-CZ" w:eastAsia="cs-CZ"/>
    </w:rPr>
  </w:style>
  <w:style w:type="character" w:styleId="CommentReference">
    <w:name w:val="annotation reference"/>
    <w:basedOn w:val="DefaultParagraphFont"/>
    <w:uiPriority w:val="99"/>
    <w:rsid w:val="0014124B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14124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14124B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14124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14124B"/>
    <w:rPr>
      <w:b/>
      <w:bCs/>
    </w:rPr>
  </w:style>
  <w:style w:type="paragraph" w:styleId="Footer">
    <w:name w:val="footer"/>
    <w:basedOn w:val="Normal"/>
    <w:link w:val="PtaChar"/>
    <w:uiPriority w:val="99"/>
    <w:rsid w:val="001412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4124B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ListBullet3">
    <w:name w:val="List Bullet 3"/>
    <w:basedOn w:val="Normal"/>
    <w:uiPriority w:val="99"/>
    <w:rsid w:val="0014124B"/>
    <w:pPr>
      <w:numPr>
        <w:numId w:val="38"/>
      </w:numPr>
      <w:tabs>
        <w:tab w:val="num" w:pos="1134"/>
      </w:tabs>
      <w:spacing w:before="120" w:after="120"/>
      <w:ind w:left="1134" w:hanging="283"/>
      <w:jc w:val="both"/>
    </w:pPr>
    <w:rPr>
      <w:lang w:val="sk-SK" w:eastAsia="en-GB"/>
    </w:rPr>
  </w:style>
  <w:style w:type="paragraph" w:styleId="ListNumber3">
    <w:name w:val="List Number 3"/>
    <w:basedOn w:val="Normal"/>
    <w:uiPriority w:val="99"/>
    <w:rsid w:val="0014124B"/>
    <w:pPr>
      <w:numPr>
        <w:numId w:val="37"/>
      </w:numPr>
      <w:tabs>
        <w:tab w:val="num" w:pos="1560"/>
      </w:tabs>
      <w:spacing w:before="120" w:after="120"/>
      <w:ind w:left="1560" w:hanging="709"/>
      <w:jc w:val="both"/>
    </w:pPr>
    <w:rPr>
      <w:lang w:val="sk-SK" w:eastAsia="de-DE"/>
    </w:rPr>
  </w:style>
  <w:style w:type="paragraph" w:customStyle="1" w:styleId="Text1">
    <w:name w:val="Text 1"/>
    <w:basedOn w:val="Normal"/>
    <w:uiPriority w:val="99"/>
    <w:rsid w:val="0014124B"/>
    <w:pPr>
      <w:spacing w:before="120" w:after="120"/>
      <w:ind w:left="850"/>
      <w:jc w:val="both"/>
    </w:pPr>
    <w:rPr>
      <w:lang w:val="sk-SK" w:eastAsia="en-GB"/>
    </w:rPr>
  </w:style>
  <w:style w:type="paragraph" w:customStyle="1" w:styleId="ListNumber3Level2">
    <w:name w:val="List Number 3 (Level 2)"/>
    <w:basedOn w:val="Normal"/>
    <w:uiPriority w:val="99"/>
    <w:rsid w:val="0014124B"/>
    <w:pPr>
      <w:numPr>
        <w:ilvl w:val="1"/>
        <w:numId w:val="37"/>
      </w:numPr>
      <w:tabs>
        <w:tab w:val="num" w:pos="2268"/>
      </w:tabs>
      <w:spacing w:before="120" w:after="120"/>
      <w:ind w:left="2268" w:hanging="708"/>
      <w:jc w:val="both"/>
    </w:pPr>
    <w:rPr>
      <w:lang w:val="sk-SK" w:eastAsia="en-GB"/>
    </w:rPr>
  </w:style>
  <w:style w:type="paragraph" w:customStyle="1" w:styleId="ListNumber3Level3">
    <w:name w:val="List Number 3 (Level 3)"/>
    <w:basedOn w:val="Normal"/>
    <w:uiPriority w:val="99"/>
    <w:rsid w:val="0014124B"/>
    <w:pPr>
      <w:numPr>
        <w:ilvl w:val="2"/>
        <w:numId w:val="37"/>
      </w:numPr>
      <w:tabs>
        <w:tab w:val="num" w:pos="2977"/>
      </w:tabs>
      <w:spacing w:before="120" w:after="120"/>
      <w:ind w:left="2977" w:hanging="709"/>
      <w:jc w:val="both"/>
    </w:pPr>
    <w:rPr>
      <w:lang w:val="sk-SK" w:eastAsia="en-GB"/>
    </w:rPr>
  </w:style>
  <w:style w:type="paragraph" w:customStyle="1" w:styleId="ListNumber3Level4">
    <w:name w:val="List Number 3 (Level 4)"/>
    <w:basedOn w:val="Normal"/>
    <w:uiPriority w:val="99"/>
    <w:rsid w:val="0014124B"/>
    <w:pPr>
      <w:numPr>
        <w:ilvl w:val="3"/>
        <w:numId w:val="37"/>
      </w:numPr>
      <w:tabs>
        <w:tab w:val="num" w:pos="3686"/>
      </w:tabs>
      <w:spacing w:before="120" w:after="120"/>
      <w:ind w:left="3686" w:hanging="709"/>
      <w:jc w:val="both"/>
    </w:pPr>
    <w:rPr>
      <w:lang w:val="sk-SK" w:eastAsia="en-GB"/>
    </w:rPr>
  </w:style>
  <w:style w:type="paragraph" w:customStyle="1" w:styleId="tl">
    <w:name w:val="Štýl"/>
    <w:basedOn w:val="Normal"/>
    <w:uiPriority w:val="99"/>
    <w:rsid w:val="0014124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14124B"/>
    <w:pPr>
      <w:spacing w:before="100" w:beforeAutospacing="1" w:after="100" w:afterAutospacing="1"/>
      <w:jc w:val="left"/>
    </w:pPr>
    <w:rPr>
      <w:lang w:val="sk-SK" w:eastAsia="sk-SK"/>
    </w:rPr>
  </w:style>
  <w:style w:type="paragraph" w:styleId="ListParagraph">
    <w:name w:val="List Paragraph"/>
    <w:basedOn w:val="Normal"/>
    <w:uiPriority w:val="34"/>
    <w:qFormat/>
    <w:rsid w:val="0014124B"/>
    <w:pPr>
      <w:ind w:left="708"/>
      <w:jc w:val="left"/>
    </w:pPr>
    <w:rPr>
      <w:lang w:val="sk-SK" w:eastAsia="sk-SK"/>
    </w:rPr>
  </w:style>
  <w:style w:type="paragraph" w:styleId="BodyTextIndent">
    <w:name w:val="Body Text Indent"/>
    <w:basedOn w:val="Normal"/>
    <w:link w:val="ZarkazkladnhotextuChar"/>
    <w:uiPriority w:val="99"/>
    <w:rsid w:val="0014124B"/>
    <w:pPr>
      <w:spacing w:before="100" w:beforeAutospacing="1" w:after="100" w:afterAutospacing="1"/>
      <w:jc w:val="left"/>
    </w:pPr>
    <w:rPr>
      <w:lang w:val="sk-SK"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412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ra">
    <w:name w:val="ra"/>
    <w:rsid w:val="001412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00400-9591-4270-B7C3-C629698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7</Pages>
  <Words>2898</Words>
  <Characters>16522</Characters>
  <Application>Microsoft Office Word</Application>
  <DocSecurity>0</DocSecurity>
  <Lines>0</Lines>
  <Paragraphs>0</Paragraphs>
  <ScaleCrop>false</ScaleCrop>
  <Company/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KOVALOVA</dc:creator>
  <cp:lastModifiedBy>Anna KOVALOVA</cp:lastModifiedBy>
  <cp:revision>9</cp:revision>
  <cp:lastPrinted>2013-07-09T15:54:00Z</cp:lastPrinted>
  <dcterms:created xsi:type="dcterms:W3CDTF">2013-07-01T10:01:00Z</dcterms:created>
  <dcterms:modified xsi:type="dcterms:W3CDTF">2013-07-09T15:54:00Z</dcterms:modified>
</cp:coreProperties>
</file>