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B25A6" w:rsidRPr="00A64D2D" w:rsidP="008B25A6">
      <w:pPr>
        <w:widowControl/>
        <w:bidi w:val="0"/>
        <w:jc w:val="center"/>
        <w:rPr>
          <w:rFonts w:ascii="Times New Roman" w:hAnsi="Times New Roman"/>
          <w:b/>
          <w:caps/>
          <w:color w:val="000000"/>
          <w:spacing w:val="30"/>
        </w:rPr>
      </w:pPr>
      <w:r w:rsidRPr="00A64D2D">
        <w:rPr>
          <w:rFonts w:ascii="Times New Roman" w:hAnsi="Times New Roman"/>
          <w:b/>
          <w:caps/>
          <w:color w:val="000000"/>
          <w:spacing w:val="30"/>
        </w:rPr>
        <w:t>Dôvodová správa</w:t>
      </w:r>
    </w:p>
    <w:p w:rsidR="008B25A6" w:rsidRPr="00A64D2D" w:rsidP="008B25A6">
      <w:pPr>
        <w:widowControl/>
        <w:bidi w:val="0"/>
        <w:jc w:val="both"/>
        <w:rPr>
          <w:rFonts w:ascii="Times New Roman" w:hAnsi="Times New Roman"/>
          <w:color w:val="000000"/>
        </w:rPr>
      </w:pPr>
    </w:p>
    <w:p w:rsidR="008B25A6" w:rsidRPr="00A64D2D" w:rsidP="008B25A6">
      <w:pPr>
        <w:widowControl/>
        <w:bidi w:val="0"/>
        <w:jc w:val="both"/>
        <w:rPr>
          <w:rFonts w:ascii="Times New Roman" w:hAnsi="Times New Roman"/>
          <w:b/>
          <w:color w:val="000000"/>
        </w:rPr>
      </w:pPr>
      <w:r w:rsidRPr="00A64D2D">
        <w:rPr>
          <w:rFonts w:ascii="Times New Roman" w:hAnsi="Times New Roman"/>
          <w:b/>
          <w:color w:val="000000"/>
        </w:rPr>
        <w:t>A. Všeobecná časť</w:t>
      </w:r>
    </w:p>
    <w:p w:rsidR="008B25A6" w:rsidRPr="00A64D2D" w:rsidP="008B25A6">
      <w:pPr>
        <w:widowControl/>
        <w:bidi w:val="0"/>
        <w:jc w:val="both"/>
        <w:rPr>
          <w:rFonts w:ascii="Times New Roman" w:hAnsi="Times New Roman"/>
          <w:color w:val="000000"/>
        </w:rPr>
      </w:pPr>
    </w:p>
    <w:p w:rsidR="008B25A6" w:rsidRPr="00A64D2D">
      <w:pPr>
        <w:widowControl/>
        <w:bidi w:val="0"/>
        <w:ind w:left="30" w:firstLine="678"/>
        <w:jc w:val="both"/>
        <w:rPr>
          <w:rFonts w:ascii="Times New Roman" w:hAnsi="Times New Roman"/>
          <w:color w:val="000000"/>
        </w:rPr>
      </w:pPr>
      <w:r w:rsidR="00C0489E">
        <w:rPr>
          <w:rStyle w:val="PlaceholderText"/>
          <w:color w:val="000000"/>
        </w:rPr>
        <w:t>Návrh novely zákona o DPH nadväzuje na nelegislatívny materiál s názvom Akčný plán boja proti daňovým podvodom na roky 2012 až 2016, ktorý vláda Slovenskej republiky schválila uznesením č. 235 dňa 31. mája 2012. Akčný plán boja proti daňový</w:t>
      </w:r>
      <w:r w:rsidR="00163D4C">
        <w:rPr>
          <w:rStyle w:val="PlaceholderText"/>
          <w:color w:val="000000"/>
        </w:rPr>
        <w:t>m podvodom na roky 2012 až 2016</w:t>
      </w:r>
      <w:r w:rsidR="00C0489E">
        <w:rPr>
          <w:rStyle w:val="PlaceholderText"/>
          <w:color w:val="000000"/>
        </w:rPr>
        <w:t xml:space="preserve"> spolu s Programovým vyhlásením vlády Slovenskej republiky (časť Trvalo udržateľný h</w:t>
      </w:r>
      <w:r w:rsidR="00163D4C">
        <w:rPr>
          <w:rStyle w:val="PlaceholderText"/>
          <w:color w:val="000000"/>
        </w:rPr>
        <w:t>ospodársky rozvoj - Boj proti daňovým podvodom)</w:t>
      </w:r>
      <w:r w:rsidR="00C0489E">
        <w:rPr>
          <w:rStyle w:val="PlaceholderText"/>
          <w:color w:val="000000"/>
        </w:rPr>
        <w:t xml:space="preserve"> sa zameriavajú na vytváranie systematickej legislatívnej podpory boja proti podvodom na dani z pridanej hodnoty.</w:t>
      </w:r>
    </w:p>
    <w:p w:rsidR="00C0489E">
      <w:pPr>
        <w:widowControl/>
        <w:bidi w:val="0"/>
        <w:jc w:val="both"/>
        <w:rPr>
          <w:rStyle w:val="PlaceholderText"/>
          <w:color w:val="000000"/>
        </w:rPr>
      </w:pPr>
      <w:r>
        <w:rPr>
          <w:rStyle w:val="PlaceholderText"/>
          <w:color w:val="000000"/>
        </w:rPr>
        <w:t> </w:t>
      </w:r>
    </w:p>
    <w:p w:rsidR="00C0489E">
      <w:pPr>
        <w:widowControl/>
        <w:bidi w:val="0"/>
        <w:jc w:val="both"/>
        <w:rPr>
          <w:rStyle w:val="PlaceholderText"/>
          <w:color w:val="000000"/>
        </w:rPr>
      </w:pPr>
      <w:r>
        <w:rPr>
          <w:rStyle w:val="PlaceholderText"/>
          <w:color w:val="000000"/>
        </w:rPr>
        <w:t>            Boj proti daňovým podvodom a daňovým únikom je legitímnym cieľom Slovenskej republiky, uznaným aj sekundárnym právom Európskej únie, keďže daňové podvody a úniky v </w:t>
      </w:r>
      <w:r w:rsidR="00163D4C">
        <w:rPr>
          <w:rStyle w:val="PlaceholderText"/>
          <w:color w:val="000000"/>
        </w:rPr>
        <w:t>oblasti dane z pridanej hodnoty</w:t>
      </w:r>
    </w:p>
    <w:p w:rsidR="00C0489E" w:rsidP="00CB4E5A">
      <w:pPr>
        <w:widowControl/>
        <w:numPr>
          <w:numId w:val="2"/>
        </w:numPr>
        <w:bidi w:val="0"/>
        <w:jc w:val="both"/>
        <w:rPr>
          <w:rStyle w:val="PlaceholderText"/>
          <w:color w:val="000000"/>
        </w:rPr>
      </w:pPr>
      <w:r>
        <w:rPr>
          <w:rStyle w:val="PlaceholderText"/>
          <w:color w:val="000000"/>
        </w:rPr>
        <w:t>oberajú Slovenskú republiku o príjmy, ktoré by sa inak vynaložili na plnenie dôležitých hospodárskych a sociálnych funkcií,</w:t>
      </w:r>
    </w:p>
    <w:p w:rsidR="00C0489E" w:rsidP="00CB4E5A">
      <w:pPr>
        <w:widowControl/>
        <w:numPr>
          <w:numId w:val="2"/>
        </w:numPr>
        <w:bidi w:val="0"/>
        <w:jc w:val="both"/>
        <w:rPr>
          <w:rStyle w:val="PlaceholderText"/>
          <w:color w:val="000000"/>
        </w:rPr>
      </w:pPr>
      <w:r>
        <w:rPr>
          <w:rStyle w:val="PlaceholderText"/>
          <w:color w:val="000000"/>
        </w:rPr>
        <w:t>znižujú príjmy Európskej únie (daň z pridanej hodnoty tvorí podstatnú časť mixu príjmov, tzv. vlastných zdrojov Európskej únie),</w:t>
      </w:r>
    </w:p>
    <w:p w:rsidR="00C0489E" w:rsidP="00CB4E5A">
      <w:pPr>
        <w:widowControl/>
        <w:numPr>
          <w:numId w:val="2"/>
        </w:numPr>
        <w:bidi w:val="0"/>
        <w:jc w:val="both"/>
        <w:rPr>
          <w:rStyle w:val="PlaceholderText"/>
          <w:color w:val="000000"/>
        </w:rPr>
      </w:pPr>
      <w:r>
        <w:rPr>
          <w:rStyle w:val="PlaceholderText"/>
          <w:color w:val="000000"/>
        </w:rPr>
        <w:t>deformujú zdravé podnikateľské prostredie poskytovaním neoprávnenej daňovej výhody neserióznym podnikateľom,</w:t>
      </w:r>
    </w:p>
    <w:p w:rsidR="00C0489E" w:rsidP="00CB4E5A">
      <w:pPr>
        <w:widowControl/>
        <w:numPr>
          <w:numId w:val="2"/>
        </w:numPr>
        <w:bidi w:val="0"/>
        <w:jc w:val="both"/>
        <w:rPr>
          <w:rStyle w:val="PlaceholderText"/>
          <w:color w:val="000000"/>
        </w:rPr>
      </w:pPr>
      <w:r>
        <w:rPr>
          <w:rStyle w:val="PlaceholderText"/>
          <w:color w:val="000000"/>
        </w:rPr>
        <w:t>zabezpečujú financovanie iných druhov protiprávnych konaní.</w:t>
      </w:r>
    </w:p>
    <w:p w:rsidR="00C0489E">
      <w:pPr>
        <w:widowControl/>
        <w:bidi w:val="0"/>
        <w:ind w:left="30"/>
        <w:jc w:val="both"/>
        <w:rPr>
          <w:rStyle w:val="PlaceholderText"/>
          <w:color w:val="000000"/>
        </w:rPr>
      </w:pPr>
      <w:r>
        <w:rPr>
          <w:rStyle w:val="PlaceholderText"/>
          <w:color w:val="000000"/>
        </w:rPr>
        <w:t> </w:t>
      </w:r>
    </w:p>
    <w:p w:rsidR="00C0489E" w:rsidP="00163D4C">
      <w:pPr>
        <w:widowControl/>
        <w:bidi w:val="0"/>
        <w:ind w:left="30" w:firstLine="678"/>
        <w:jc w:val="both"/>
        <w:rPr>
          <w:rStyle w:val="PlaceholderText"/>
          <w:color w:val="000000"/>
        </w:rPr>
      </w:pPr>
      <w:r>
        <w:rPr>
          <w:rStyle w:val="PlaceholderText"/>
          <w:color w:val="000000"/>
        </w:rPr>
        <w:t>Z Akčného plánu boja proti daňovým podvodom na roky 2012 až 2016 vyplynula pre Ministerstvo financií Slovenskej republiky povinnosť implementovať opatrenie č. 35 s názvom „Zavedenie povinnosti predkladať  údaje o tuzemských dodávkach tovarov a služieb správcovi dane elektronickou formou“. Z toh</w:t>
      </w:r>
      <w:r w:rsidR="00163D4C">
        <w:rPr>
          <w:rStyle w:val="PlaceholderText"/>
          <w:color w:val="000000"/>
        </w:rPr>
        <w:t>t</w:t>
      </w:r>
      <w:r>
        <w:rPr>
          <w:rStyle w:val="PlaceholderText"/>
          <w:color w:val="000000"/>
        </w:rPr>
        <w:t>o dôvodu sa návrhom novely zákona o DPH zavádza povinnosť platiteľov dane predkladať  údaje o dodávkach tovarov a služieb v elektronicke</w:t>
      </w:r>
      <w:r w:rsidR="00163D4C">
        <w:rPr>
          <w:rStyle w:val="PlaceholderText"/>
          <w:color w:val="000000"/>
        </w:rPr>
        <w:t xml:space="preserve">j forme, tzv. kontrolný výkaz. </w:t>
      </w:r>
      <w:r>
        <w:rPr>
          <w:rStyle w:val="PlaceholderText"/>
          <w:color w:val="000000"/>
        </w:rPr>
        <w:t> </w:t>
      </w:r>
    </w:p>
    <w:p w:rsidR="00C0489E" w:rsidP="00163D4C">
      <w:pPr>
        <w:widowControl/>
        <w:bidi w:val="0"/>
        <w:ind w:left="30" w:firstLine="678"/>
        <w:jc w:val="both"/>
        <w:rPr>
          <w:rStyle w:val="PlaceholderText"/>
          <w:color w:val="000000"/>
        </w:rPr>
      </w:pPr>
      <w:r>
        <w:rPr>
          <w:rStyle w:val="PlaceholderText"/>
          <w:color w:val="000000"/>
        </w:rPr>
        <w:t>Platitelia dane budú povinní uvádzať v kontrolnom výkaze tie údaje, ktoré oni sami neuvádzajú už v iných typoch výkazov, ako sú napríklad colné vyhlásenia pri vývoze tovarov do tretích štátov, prípadne súhrnné výkazy pri intrakomunitárnych dodaniach tovarov do iných členských štátov. K selektívnemu výberu transakcií, ktoré je platiteľ dane povinný uvádzať v kontrolnom výkaze, pristúpilo Ministerstvo financií Slovenskej republiky okrem už spomínanej duplicity údajov, najmä z dôvodu potreby krížovej kontroly len tých údajov, ktoré sú predmetom dane z pridanej hodnoty v tuzemsku a platitelia dane sú zároveň os</w:t>
      </w:r>
      <w:r w:rsidR="00163D4C">
        <w:rPr>
          <w:rStyle w:val="PlaceholderText"/>
          <w:color w:val="000000"/>
        </w:rPr>
        <w:t>obami povinnými platiť daň.    </w:t>
      </w:r>
      <w:r>
        <w:rPr>
          <w:rStyle w:val="PlaceholderText"/>
          <w:color w:val="000000"/>
        </w:rPr>
        <w:t> </w:t>
      </w:r>
    </w:p>
    <w:p w:rsidR="00C0489E">
      <w:pPr>
        <w:widowControl/>
        <w:bidi w:val="0"/>
        <w:ind w:left="30" w:firstLine="678"/>
        <w:jc w:val="both"/>
        <w:rPr>
          <w:rStyle w:val="PlaceholderText"/>
          <w:color w:val="000000"/>
        </w:rPr>
      </w:pPr>
      <w:r>
        <w:rPr>
          <w:rStyle w:val="PlaceholderText"/>
          <w:color w:val="000000"/>
        </w:rPr>
        <w:t xml:space="preserve">Kontrolný výkaz, ako dokument obsahujúci informácie o vymedzených dodávkach tovaru a služieb platiteľov dane na vstupe aj výstupe, predstavuje jedinečný zdroj informácií pre finančnú správu. Prostredníctvom automatizovaného systému krížovej kontroly v ňom uvedených údajov bude finančná správa vedieť efektívne plánovať daňové kontroly. Sprievodným efektom zavedenia kontrolného výkazu bude zlepšenie dobrovoľného plnenia daňových povinností platiteľov dane, čo sa v konečnom dôsledku odrazí na zlepšenom výbere dane z pridanej hodnoty. Ambíciou kontrolného výkazu je odhaľovanie nových typov podvodov a ich predchádzanie, do budúcnosti takisto rozšírenie jeho uplatnenia na kontrolu plnenia zákonných povinnosti pri iných druhoch priamych a nepriamych daní. </w:t>
      </w:r>
    </w:p>
    <w:p w:rsidR="00C0489E">
      <w:pPr>
        <w:widowControl/>
        <w:bidi w:val="0"/>
        <w:jc w:val="both"/>
        <w:rPr>
          <w:rStyle w:val="PlaceholderText"/>
          <w:color w:val="000000"/>
        </w:rPr>
      </w:pPr>
      <w:r>
        <w:rPr>
          <w:rStyle w:val="PlaceholderText"/>
          <w:color w:val="000000"/>
        </w:rPr>
        <w:t> </w:t>
      </w:r>
    </w:p>
    <w:p w:rsidR="00C0489E">
      <w:pPr>
        <w:widowControl/>
        <w:bidi w:val="0"/>
        <w:ind w:firstLine="708"/>
        <w:jc w:val="both"/>
        <w:rPr>
          <w:rStyle w:val="PlaceholderText"/>
          <w:color w:val="000000"/>
        </w:rPr>
      </w:pPr>
      <w:r>
        <w:rPr>
          <w:rStyle w:val="PlaceholderText"/>
          <w:color w:val="000000"/>
        </w:rPr>
        <w:t>Krížovou kontrolou údajov, uvedených v kontrolných výkazoch vzájomne obchodujúcich platit</w:t>
      </w:r>
      <w:r w:rsidR="00163D4C">
        <w:rPr>
          <w:rStyle w:val="PlaceholderText"/>
          <w:color w:val="000000"/>
        </w:rPr>
        <w:t>eľov dane, bude možné napríklad</w:t>
      </w:r>
    </w:p>
    <w:p w:rsidR="00C0489E" w:rsidP="00CB4E5A">
      <w:pPr>
        <w:widowControl/>
        <w:numPr>
          <w:numId w:val="1"/>
        </w:numPr>
        <w:bidi w:val="0"/>
        <w:jc w:val="both"/>
        <w:rPr>
          <w:rStyle w:val="PlaceholderText"/>
          <w:color w:val="000000"/>
        </w:rPr>
      </w:pPr>
      <w:r>
        <w:rPr>
          <w:rStyle w:val="PlaceholderText"/>
          <w:color w:val="000000"/>
        </w:rPr>
        <w:t>odhaliť tuzemské a cezhraničné karuselové podvody,</w:t>
      </w:r>
    </w:p>
    <w:p w:rsidR="00C0489E" w:rsidP="00CB4E5A">
      <w:pPr>
        <w:widowControl/>
        <w:numPr>
          <w:numId w:val="1"/>
        </w:numPr>
        <w:bidi w:val="0"/>
        <w:jc w:val="both"/>
        <w:rPr>
          <w:rStyle w:val="PlaceholderText"/>
          <w:color w:val="000000"/>
        </w:rPr>
      </w:pPr>
      <w:r>
        <w:rPr>
          <w:rStyle w:val="PlaceholderText"/>
          <w:color w:val="000000"/>
        </w:rPr>
        <w:t xml:space="preserve">odhaliť machinácie s faktúrami, ako sú napr. nezaradenie faktúr do účtovníctva dodávateľa, pričom odberateľ z nich uplatňuje odpočítanie dane, výmena faktúr, vystavenie fiktívnych faktúr, nevystavenie faktúr, vystavenie faktúr neplatiteľmi dane, uplatnenie si odpočtu dvakrát z tej istej faktúry, </w:t>
      </w:r>
    </w:p>
    <w:p w:rsidR="00C0489E" w:rsidP="00CB4E5A">
      <w:pPr>
        <w:widowControl/>
        <w:numPr>
          <w:numId w:val="1"/>
        </w:numPr>
        <w:bidi w:val="0"/>
        <w:jc w:val="both"/>
        <w:rPr>
          <w:rStyle w:val="PlaceholderText"/>
          <w:color w:val="000000"/>
        </w:rPr>
      </w:pPr>
      <w:r>
        <w:rPr>
          <w:rStyle w:val="PlaceholderText"/>
          <w:color w:val="000000"/>
        </w:rPr>
        <w:t xml:space="preserve">monitorovať rizikových platiteľov dane, </w:t>
      </w:r>
    </w:p>
    <w:p w:rsidR="00C0489E" w:rsidP="00CB4E5A">
      <w:pPr>
        <w:widowControl/>
        <w:numPr>
          <w:numId w:val="1"/>
        </w:numPr>
        <w:bidi w:val="0"/>
        <w:jc w:val="both"/>
        <w:rPr>
          <w:rStyle w:val="PlaceholderText"/>
          <w:color w:val="000000"/>
        </w:rPr>
      </w:pPr>
      <w:r>
        <w:rPr>
          <w:rStyle w:val="PlaceholderText"/>
          <w:color w:val="000000"/>
        </w:rPr>
        <w:t>preventívne pôsobiť proti uvádzaniu nepravdivých údajov.</w:t>
      </w:r>
    </w:p>
    <w:p w:rsidR="00C0489E">
      <w:pPr>
        <w:widowControl/>
        <w:bidi w:val="0"/>
        <w:ind w:left="708"/>
        <w:jc w:val="both"/>
        <w:rPr>
          <w:rStyle w:val="PlaceholderText"/>
          <w:color w:val="000000"/>
        </w:rPr>
      </w:pPr>
      <w:r>
        <w:rPr>
          <w:rStyle w:val="PlaceholderText"/>
          <w:color w:val="000000"/>
        </w:rPr>
        <w:t> </w:t>
      </w:r>
    </w:p>
    <w:p w:rsidR="00C0489E">
      <w:pPr>
        <w:widowControl/>
        <w:bidi w:val="0"/>
        <w:ind w:left="30" w:firstLine="678"/>
        <w:jc w:val="both"/>
        <w:rPr>
          <w:rStyle w:val="PlaceholderText"/>
          <w:color w:val="000000"/>
        </w:rPr>
      </w:pPr>
      <w:r>
        <w:rPr>
          <w:rStyle w:val="PlaceholderText"/>
          <w:color w:val="000000"/>
        </w:rPr>
        <w:t xml:space="preserve">Vzhľadom na predpokladaný pozitívny efekt zavedenia kontrolného výkazu sa termín jeho účinnosti oproti pôvodnému termínu 1. október 2014 posúva na 1. január 2014. </w:t>
      </w:r>
    </w:p>
    <w:p w:rsidR="00C0489E" w:rsidP="00163D4C">
      <w:pPr>
        <w:widowControl/>
        <w:bidi w:val="0"/>
        <w:ind w:left="30" w:firstLine="678"/>
        <w:jc w:val="both"/>
        <w:rPr>
          <w:rStyle w:val="PlaceholderText"/>
          <w:color w:val="000000"/>
        </w:rPr>
      </w:pPr>
      <w:r>
        <w:rPr>
          <w:rStyle w:val="PlaceholderText"/>
          <w:color w:val="000000"/>
        </w:rPr>
        <w:t xml:space="preserve"> Podmienkou zavedenia kontrolného výkazu je elektronická komunikácia medzi finančnou správou a platiteľmi dane. Keďže elektronické podávanie daňových priznaní predpokladá čerpanie dát z elektronicky vedeného účtovníctva, sumár údajov o dodávateľoch a odberateľoch platiteľa dane, v podobe elektronicky podávaného kontrolného výkazu, by nemal byť pre platiteľov dane v porovnaní so súčasným stavom neprimeranou administratívnou záťažou. </w:t>
      </w:r>
    </w:p>
    <w:p w:rsidR="00C0489E">
      <w:pPr>
        <w:widowControl/>
        <w:bidi w:val="0"/>
        <w:jc w:val="both"/>
        <w:rPr>
          <w:rStyle w:val="PlaceholderText"/>
          <w:color w:val="000000"/>
        </w:rPr>
      </w:pPr>
      <w:r>
        <w:rPr>
          <w:rStyle w:val="PlaceholderText"/>
          <w:color w:val="000000"/>
        </w:rPr>
        <w:t> </w:t>
      </w:r>
    </w:p>
    <w:p w:rsidR="00C0489E">
      <w:pPr>
        <w:widowControl/>
        <w:bidi w:val="0"/>
        <w:ind w:firstLine="708"/>
        <w:jc w:val="both"/>
        <w:rPr>
          <w:rStyle w:val="PlaceholderText"/>
          <w:color w:val="000000"/>
        </w:rPr>
      </w:pPr>
      <w:r>
        <w:rPr>
          <w:rStyle w:val="PlaceholderText"/>
          <w:color w:val="000000"/>
        </w:rPr>
        <w:t>An</w:t>
      </w:r>
      <w:r w:rsidR="00163D4C">
        <w:rPr>
          <w:rStyle w:val="PlaceholderText"/>
          <w:color w:val="000000"/>
        </w:rPr>
        <w:t>alýza dopadov a efektu opatrení</w:t>
      </w:r>
      <w:r>
        <w:rPr>
          <w:rStyle w:val="PlaceholderText"/>
          <w:color w:val="000000"/>
        </w:rPr>
        <w:t xml:space="preserve"> </w:t>
      </w:r>
      <w:r w:rsidR="00163D4C">
        <w:rPr>
          <w:rStyle w:val="PlaceholderText"/>
          <w:color w:val="000000"/>
        </w:rPr>
        <w:t>zavedených novelou zákona o DPH</w:t>
      </w:r>
      <w:r>
        <w:rPr>
          <w:rStyle w:val="PlaceholderText"/>
          <w:color w:val="000000"/>
        </w:rPr>
        <w:t xml:space="preserve"> vyko</w:t>
      </w:r>
      <w:r w:rsidR="00163D4C">
        <w:rPr>
          <w:rStyle w:val="PlaceholderText"/>
          <w:color w:val="000000"/>
        </w:rPr>
        <w:t>nanou zákonom č. 246/2012 Z. z.</w:t>
      </w:r>
      <w:r>
        <w:rPr>
          <w:rStyle w:val="PlaceholderText"/>
          <w:color w:val="000000"/>
        </w:rPr>
        <w:t xml:space="preserve"> si vyžiadala prijatie ďalších legislatívnych opatrení týkajúcich sa eliminácie daňových podvodov a únikov na dani z pridanej hodnoty. Ukazuje sa, že platitelia dane sa vedia rýchlo prispôsobiť platnej legislatíve a</w:t>
      </w:r>
      <w:r w:rsidR="00163D4C">
        <w:rPr>
          <w:rStyle w:val="PlaceholderText"/>
          <w:color w:val="000000"/>
        </w:rPr>
        <w:t> hľadajú spôsoby, ako obchádzať</w:t>
      </w:r>
      <w:r>
        <w:rPr>
          <w:rStyle w:val="PlaceholderText"/>
          <w:color w:val="000000"/>
        </w:rPr>
        <w:t xml:space="preserve"> prípadne interpretovať zákon o DPH tak, aby dosiahli sledované nelegálne ciele. Z toho dôvodu je nevyhnutné popri opatreniach na predchádzanie najzávažnejších konaní v zákone o DPH dbať na dôslednú implementáciu ustanovení zákona o DPH finančnou správou tak, aby bol zachovaný zmysel a podstata fungovania dane z pridanej hodnoty.</w:t>
      </w:r>
    </w:p>
    <w:p w:rsidR="00C0489E" w:rsidP="00163D4C">
      <w:pPr>
        <w:widowControl/>
        <w:bidi w:val="0"/>
        <w:ind w:firstLine="708"/>
        <w:jc w:val="both"/>
        <w:rPr>
          <w:rStyle w:val="PlaceholderText"/>
          <w:color w:val="000000"/>
        </w:rPr>
      </w:pPr>
      <w:r w:rsidR="00163D4C">
        <w:rPr>
          <w:rStyle w:val="PlaceholderText"/>
          <w:color w:val="000000"/>
        </w:rPr>
        <w:t> </w:t>
      </w:r>
      <w:r>
        <w:rPr>
          <w:rStyle w:val="PlaceholderText"/>
          <w:color w:val="000000"/>
        </w:rPr>
        <w:t>Návrhom novely zákona o DPH sa rozširuje vecná pôsobnosť už existujúcich opatrení, napr. v podobe povinnosti skladať zábezpeku aj u osôb, ktoré sa stanú platiteľmi dane zo zákona, alebo zmenia typ registrácie, prípadne rozšírenie tuzemského sektorového prenosu daňovej povinnosti.</w:t>
      </w:r>
    </w:p>
    <w:p w:rsidR="00C0489E">
      <w:pPr>
        <w:widowControl/>
        <w:bidi w:val="0"/>
        <w:jc w:val="both"/>
        <w:rPr>
          <w:rStyle w:val="PlaceholderText"/>
          <w:color w:val="000000"/>
        </w:rPr>
      </w:pPr>
      <w:r>
        <w:rPr>
          <w:rStyle w:val="PlaceholderText"/>
          <w:color w:val="000000"/>
        </w:rPr>
        <w:t> </w:t>
      </w:r>
    </w:p>
    <w:p w:rsidR="00C0489E">
      <w:pPr>
        <w:widowControl/>
        <w:bidi w:val="0"/>
        <w:jc w:val="both"/>
        <w:rPr>
          <w:rStyle w:val="PlaceholderText"/>
          <w:color w:val="000000"/>
        </w:rPr>
      </w:pPr>
      <w:r>
        <w:rPr>
          <w:rStyle w:val="PlaceholderText"/>
          <w:color w:val="000000"/>
        </w:rPr>
        <w:t>            Už v minulosti sa zavedenie prenosu daňovej povinnosti na vybrané transakcie ukázalo ako jedno z najefektívnejších opatrení v boji proti daňovým podvodom. Ministerstvo financií Slovenskej republiky sa aj z tohto dôvodu rozhodlo na vybrané komodity zaviesť prenos daňovej povinnosti na základe rozšíreného článku 199a smernice Rady 2006/112/ES o spoločnom systéme dane z pridanej hodnoty</w:t>
      </w:r>
      <w:r w:rsidR="00055D91">
        <w:rPr>
          <w:rStyle w:val="PlaceholderText"/>
          <w:color w:val="000000"/>
        </w:rPr>
        <w:t xml:space="preserve"> (návrh na doplnenie smernice Rady 2006/112/ES schválený na ECOFIN-e 21.6.2013)</w:t>
      </w:r>
      <w:r>
        <w:rPr>
          <w:rStyle w:val="PlaceholderText"/>
          <w:color w:val="000000"/>
        </w:rPr>
        <w:t xml:space="preserve">. Ide o vybrané druhy poľnohospodárskych produktov, kovov, mobilné telefóny a integrované obvody. </w:t>
      </w:r>
    </w:p>
    <w:p w:rsidR="00C0489E">
      <w:pPr>
        <w:widowControl/>
        <w:bidi w:val="0"/>
        <w:jc w:val="both"/>
        <w:rPr>
          <w:rStyle w:val="PlaceholderText"/>
          <w:color w:val="000000"/>
        </w:rPr>
      </w:pPr>
      <w:r>
        <w:rPr>
          <w:rStyle w:val="PlaceholderText"/>
          <w:color w:val="000000"/>
        </w:rPr>
        <w:t xml:space="preserve">            </w:t>
      </w:r>
    </w:p>
    <w:p w:rsidR="00C0489E">
      <w:pPr>
        <w:widowControl/>
        <w:bidi w:val="0"/>
        <w:ind w:firstLine="708"/>
        <w:jc w:val="both"/>
        <w:rPr>
          <w:rStyle w:val="PlaceholderText"/>
          <w:color w:val="000000"/>
        </w:rPr>
      </w:pPr>
      <w:r>
        <w:rPr>
          <w:rStyle w:val="PlaceholderText"/>
          <w:color w:val="000000"/>
        </w:rPr>
        <w:t xml:space="preserve">Informácie z finančnej správy taktiež preukázali potrebu zavedenia nových opatrení na predchádzanie daňovým únikom, okrem kontrolného výkazu je to napríklad pokračovanie lehoty na úpravu odpočítanej dane u nadobúdateľa investičného majetku, ktorým je nehnuteľnosť, prípadne zavedenie vyvrátiteľnej právnej domnienky na uplatnenie osobitnej úpravy, iba ak faktúra z iného členského štátu obsahuje slovnú informáciu o predaji tovaru v režime osobitnej úpravy. </w:t>
      </w:r>
    </w:p>
    <w:p w:rsidR="00C0489E">
      <w:pPr>
        <w:widowControl/>
        <w:bidi w:val="0"/>
        <w:jc w:val="both"/>
        <w:rPr>
          <w:rStyle w:val="PlaceholderText"/>
          <w:color w:val="000000"/>
        </w:rPr>
      </w:pPr>
      <w:r>
        <w:rPr>
          <w:rStyle w:val="PlaceholderText"/>
          <w:color w:val="000000"/>
        </w:rPr>
        <w:t> </w:t>
      </w:r>
    </w:p>
    <w:p w:rsidR="00C0489E">
      <w:pPr>
        <w:widowControl/>
        <w:bidi w:val="0"/>
        <w:jc w:val="both"/>
        <w:rPr>
          <w:rStyle w:val="PlaceholderText"/>
          <w:color w:val="000000"/>
        </w:rPr>
      </w:pPr>
      <w:r>
        <w:rPr>
          <w:rStyle w:val="PlaceholderText"/>
          <w:color w:val="000000"/>
        </w:rPr>
        <w:t>            Zároveň so zavedením nových opatrení v boji proti daňovým podvodom a únikom má Ministerstvo financií Slovenskej republiky v úmysle neustále zlepšovať kvalitu podnikateľského prostredia v oblasti dane z pridanej hodnoty, a to najmä odstraňovaním administratívnych prekážok podnikania, znižovaním administratívnej záťaže a celkovým zjednodušením legislatívy, čo sa odzrkadlí vo väčšej právnej istote platiteľov dane.</w:t>
      </w:r>
    </w:p>
    <w:p w:rsidR="00CB4E5A" w:rsidP="00CB4E5A">
      <w:pPr>
        <w:widowControl/>
        <w:bidi w:val="0"/>
        <w:jc w:val="both"/>
        <w:rPr>
          <w:rStyle w:val="PlaceholderText"/>
          <w:color w:val="000000"/>
        </w:rPr>
      </w:pPr>
      <w:r w:rsidR="00C0489E">
        <w:rPr>
          <w:rStyle w:val="PlaceholderText"/>
          <w:color w:val="000000"/>
        </w:rPr>
        <w:t>            Medzi op</w:t>
      </w:r>
      <w:r w:rsidR="00163D4C">
        <w:rPr>
          <w:rStyle w:val="PlaceholderText"/>
          <w:color w:val="000000"/>
        </w:rPr>
        <w:t>atrenia tohto typu patrí najmä</w:t>
      </w:r>
    </w:p>
    <w:p w:rsidR="00C0489E" w:rsidP="00CB4E5A">
      <w:pPr>
        <w:widowControl/>
        <w:numPr>
          <w:numId w:val="1"/>
        </w:numPr>
        <w:bidi w:val="0"/>
        <w:jc w:val="both"/>
        <w:rPr>
          <w:rStyle w:val="PlaceholderText"/>
          <w:color w:val="000000"/>
        </w:rPr>
      </w:pPr>
      <w:r>
        <w:rPr>
          <w:rStyle w:val="PlaceholderText"/>
          <w:color w:val="000000"/>
        </w:rPr>
        <w:t>úprava postupu pri zmene registrácie z § 5 a 6 na § 4,</w:t>
      </w:r>
    </w:p>
    <w:p w:rsidR="00C0489E" w:rsidP="00CB4E5A">
      <w:pPr>
        <w:widowControl/>
        <w:numPr>
          <w:numId w:val="1"/>
        </w:numPr>
        <w:bidi w:val="0"/>
        <w:jc w:val="both"/>
        <w:rPr>
          <w:rStyle w:val="PlaceholderText"/>
          <w:color w:val="000000"/>
        </w:rPr>
      </w:pPr>
      <w:r>
        <w:rPr>
          <w:rStyle w:val="PlaceholderText"/>
          <w:color w:val="000000"/>
        </w:rPr>
        <w:t>úprava postupu pri zrušení registrácie pre daň podľa § 7 a 7a,</w:t>
      </w:r>
    </w:p>
    <w:p w:rsidR="00C0489E" w:rsidP="00CB4E5A">
      <w:pPr>
        <w:widowControl/>
        <w:numPr>
          <w:numId w:val="1"/>
        </w:numPr>
        <w:bidi w:val="0"/>
        <w:jc w:val="both"/>
        <w:rPr>
          <w:rStyle w:val="PlaceholderText"/>
          <w:color w:val="000000"/>
        </w:rPr>
      </w:pPr>
      <w:r>
        <w:rPr>
          <w:rStyle w:val="PlaceholderText"/>
          <w:color w:val="000000"/>
        </w:rPr>
        <w:t xml:space="preserve">odstránenie povinnosti </w:t>
      </w:r>
      <w:r w:rsidR="00163D4C">
        <w:rPr>
          <w:rStyle w:val="PlaceholderText"/>
          <w:color w:val="000000"/>
        </w:rPr>
        <w:t xml:space="preserve">zaplatiť daň </w:t>
      </w:r>
      <w:r>
        <w:rPr>
          <w:rStyle w:val="PlaceholderText"/>
          <w:color w:val="000000"/>
        </w:rPr>
        <w:t>pre určité osoby, ak splatná daň nepresiahne sumu 5 eur,</w:t>
      </w:r>
    </w:p>
    <w:p w:rsidR="00C0489E" w:rsidRPr="00CB4E5A" w:rsidP="00CB4E5A">
      <w:pPr>
        <w:widowControl/>
        <w:numPr>
          <w:numId w:val="1"/>
        </w:numPr>
        <w:bidi w:val="0"/>
        <w:jc w:val="both"/>
        <w:rPr>
          <w:rStyle w:val="PlaceholderText"/>
          <w:color w:val="000000"/>
        </w:rPr>
      </w:pPr>
      <w:r w:rsidRPr="00CB4E5A" w:rsidR="00CB4E5A">
        <w:rPr>
          <w:rStyle w:val="PlaceholderText"/>
          <w:rFonts w:ascii="Arial Narrow" w:hAnsi="Arial Narrow" w:cs="Arial Narrow"/>
          <w:color w:val="000000"/>
        </w:rPr>
        <w:t>od</w:t>
      </w:r>
      <w:r w:rsidRPr="00CB4E5A">
        <w:rPr>
          <w:rStyle w:val="PlaceholderText"/>
          <w:color w:val="000000"/>
        </w:rPr>
        <w:t>stránenie povinnosti zahraničnej osoby registrovať sa pre daň podľa § 5 len kvôli dovozu tovaru z tretieho štátu.</w:t>
      </w:r>
    </w:p>
    <w:p w:rsidR="00C0489E">
      <w:pPr>
        <w:widowControl/>
        <w:bidi w:val="0"/>
        <w:jc w:val="both"/>
        <w:rPr>
          <w:rStyle w:val="PlaceholderText"/>
          <w:color w:val="000000"/>
        </w:rPr>
      </w:pPr>
      <w:r>
        <w:rPr>
          <w:rStyle w:val="PlaceholderText"/>
          <w:color w:val="000000"/>
        </w:rPr>
        <w:t> </w:t>
      </w:r>
    </w:p>
    <w:p w:rsidR="00C0489E">
      <w:pPr>
        <w:widowControl/>
        <w:bidi w:val="0"/>
        <w:ind w:firstLine="708"/>
        <w:jc w:val="both"/>
        <w:rPr>
          <w:rStyle w:val="PlaceholderText"/>
          <w:color w:val="000000"/>
        </w:rPr>
      </w:pPr>
      <w:r>
        <w:rPr>
          <w:rStyle w:val="PlaceholderText"/>
          <w:color w:val="000000"/>
        </w:rPr>
        <w:t>Súčasne sa návrhom novely zákona o DPH z dôvodu konsolidácie verejných financií odkladá účinnosť opatrenia týkajúceho sa samozdanenia dovozu tovaru z tretích štátov platiteľom dane z 1. januára 2014 na 1. január 201</w:t>
      </w:r>
      <w:r w:rsidR="00DD1AA5">
        <w:rPr>
          <w:rStyle w:val="PlaceholderText"/>
          <w:color w:val="000000"/>
        </w:rPr>
        <w:t>7</w:t>
      </w:r>
      <w:r>
        <w:rPr>
          <w:rStyle w:val="PlaceholderText"/>
          <w:color w:val="000000"/>
        </w:rPr>
        <w:t xml:space="preserve">. </w:t>
      </w:r>
    </w:p>
    <w:p w:rsidR="00C0489E">
      <w:pPr>
        <w:widowControl/>
        <w:bidi w:val="0"/>
        <w:jc w:val="both"/>
        <w:rPr>
          <w:rStyle w:val="PlaceholderText"/>
          <w:color w:val="000000"/>
        </w:rPr>
      </w:pPr>
      <w:r>
        <w:rPr>
          <w:rStyle w:val="PlaceholderText"/>
          <w:color w:val="000000"/>
        </w:rPr>
        <w:t xml:space="preserve">            </w:t>
      </w:r>
    </w:p>
    <w:p w:rsidR="00C0489E">
      <w:pPr>
        <w:widowControl/>
        <w:bidi w:val="0"/>
        <w:jc w:val="both"/>
        <w:rPr>
          <w:rStyle w:val="PlaceholderText"/>
          <w:color w:val="000000"/>
        </w:rPr>
      </w:pPr>
      <w:r>
        <w:rPr>
          <w:rStyle w:val="PlaceholderText"/>
          <w:color w:val="000000"/>
        </w:rPr>
        <w:t>            Účinnosť návrhu novely zákona o DPH sa navrhuje 1. januára 2014.</w:t>
      </w:r>
    </w:p>
    <w:p w:rsidR="00C0489E">
      <w:pPr>
        <w:widowControl/>
        <w:bidi w:val="0"/>
        <w:jc w:val="both"/>
        <w:rPr>
          <w:rStyle w:val="PlaceholderText"/>
          <w:color w:val="000000"/>
        </w:rPr>
      </w:pPr>
      <w:r>
        <w:rPr>
          <w:rStyle w:val="PlaceholderText"/>
          <w:color w:val="000000"/>
        </w:rPr>
        <w:t xml:space="preserve">            </w:t>
      </w:r>
    </w:p>
    <w:p w:rsidR="00C0489E">
      <w:pPr>
        <w:widowControl/>
        <w:bidi w:val="0"/>
        <w:ind w:firstLine="708"/>
        <w:jc w:val="both"/>
        <w:rPr>
          <w:rStyle w:val="PlaceholderText"/>
          <w:color w:val="000000"/>
        </w:rPr>
      </w:pPr>
      <w:r>
        <w:rPr>
          <w:rStyle w:val="PlaceholderText"/>
          <w:color w:val="000000"/>
        </w:rPr>
        <w:t>Dopady návrhu novely zákona o DPH na rozpočet verejnej správy, na podnikateľské prostredie, na sociálne prostredie, vplyv na životné prostredie a vplyv na informatizáciu spoločnosti sú uvedené v doložke vybraných vplyvov.</w:t>
      </w:r>
    </w:p>
    <w:p w:rsidR="00C0489E">
      <w:pPr>
        <w:widowControl/>
        <w:bidi w:val="0"/>
        <w:jc w:val="both"/>
        <w:rPr>
          <w:rStyle w:val="PlaceholderText"/>
          <w:color w:val="000000"/>
        </w:rPr>
      </w:pPr>
      <w:r>
        <w:rPr>
          <w:rStyle w:val="PlaceholderText"/>
          <w:color w:val="000000"/>
        </w:rPr>
        <w:t> </w:t>
      </w:r>
    </w:p>
    <w:p w:rsidR="00C0489E">
      <w:pPr>
        <w:widowControl/>
        <w:bidi w:val="0"/>
        <w:jc w:val="both"/>
        <w:rPr>
          <w:rStyle w:val="PlaceholderText"/>
          <w:color w:val="000000"/>
        </w:rPr>
      </w:pPr>
      <w:r>
        <w:rPr>
          <w:rStyle w:val="PlaceholderText"/>
          <w:color w:val="000000"/>
        </w:rPr>
        <w:t>            Predkladaný návrh zákona nebude mať vplyv na rozpočty obcí a vyšších územných celkov.</w:t>
      </w:r>
    </w:p>
    <w:p w:rsidR="00C0489E">
      <w:pPr>
        <w:widowControl/>
        <w:bidi w:val="0"/>
        <w:jc w:val="both"/>
        <w:rPr>
          <w:rStyle w:val="PlaceholderText"/>
          <w:color w:val="000000"/>
        </w:rPr>
      </w:pPr>
      <w:r>
        <w:rPr>
          <w:rStyle w:val="PlaceholderText"/>
          <w:color w:val="000000"/>
        </w:rPr>
        <w:t> </w:t>
      </w:r>
    </w:p>
    <w:p w:rsidR="00C0489E">
      <w:pPr>
        <w:widowControl/>
        <w:bidi w:val="0"/>
        <w:jc w:val="both"/>
        <w:rPr>
          <w:rStyle w:val="PlaceholderText"/>
          <w:color w:val="000000"/>
        </w:rPr>
      </w:pPr>
      <w:r>
        <w:rPr>
          <w:rStyle w:val="PlaceholderText"/>
          <w:color w:val="000000"/>
        </w:rPr>
        <w:t>            Predkladaný návrh zákona je v súlade s Ústavou Slovenskej republiky a inými právnymi predpismi, medzinárodným zmluvami a dokumentmi, ktorými je Slovenská republika viazaná, ako aj v súlade s právom Európskej únie.</w:t>
      </w:r>
    </w:p>
    <w:p w:rsidR="00C0489E">
      <w:pPr>
        <w:widowControl/>
        <w:bidi w:val="0"/>
        <w:jc w:val="both"/>
        <w:rPr>
          <w:rStyle w:val="PlaceholderText"/>
          <w:color w:val="000000"/>
        </w:rPr>
      </w:pPr>
      <w:r>
        <w:rPr>
          <w:rStyle w:val="PlaceholderText"/>
          <w:b/>
          <w:color w:val="000000"/>
        </w:rPr>
        <w:t> </w:t>
      </w:r>
    </w:p>
    <w:p w:rsidR="006757B6" w:rsidRPr="00CB6753" w:rsidP="006757B6">
      <w:pPr>
        <w:widowControl/>
        <w:bidi w:val="0"/>
        <w:spacing w:after="280" w:afterAutospacing="1"/>
        <w:rPr>
          <w:rFonts w:ascii="Times New Roman" w:hAnsi="Times New Roman"/>
          <w:b/>
          <w:bCs/>
          <w:color w:val="000000"/>
        </w:rPr>
      </w:pPr>
      <w:r w:rsidRPr="00CB6753">
        <w:rPr>
          <w:rFonts w:ascii="Times New Roman" w:hAnsi="Times New Roman"/>
          <w:b/>
          <w:bCs/>
          <w:color w:val="000000"/>
        </w:rPr>
        <w:t>Doložka vybraných vplyvov</w:t>
      </w:r>
    </w:p>
    <w:p w:rsidR="006757B6" w:rsidRPr="00CB6753" w:rsidP="006757B6">
      <w:pPr>
        <w:bidi w:val="0"/>
        <w:jc w:val="both"/>
        <w:rPr>
          <w:rFonts w:ascii="Times New Roman" w:hAnsi="Times New Roman"/>
        </w:rPr>
      </w:pPr>
      <w:r w:rsidRPr="00CB6753">
        <w:rPr>
          <w:rFonts w:ascii="Times New Roman" w:hAnsi="Times New Roman"/>
          <w:b/>
          <w:bCs/>
          <w:color w:val="000000"/>
        </w:rPr>
        <w:t>A.1. Názov materiálu:</w:t>
      </w:r>
      <w:r w:rsidRPr="00CB6753">
        <w:rPr>
          <w:rFonts w:ascii="Times New Roman" w:hAnsi="Times New Roman"/>
          <w:bCs/>
          <w:color w:val="000000"/>
        </w:rPr>
        <w:t xml:space="preserve"> N</w:t>
      </w:r>
      <w:r w:rsidRPr="00CB6753">
        <w:rPr>
          <w:rFonts w:ascii="Times New Roman" w:hAnsi="Times New Roman"/>
        </w:rPr>
        <w:t>ávrh zákona, ktorým sa mení a dopĺňa zákon č. 222/2004 Z. z. o dani z pridanej hodnoty v znení neskorších predpisov</w:t>
      </w:r>
      <w:r w:rsidRPr="00CB6753">
        <w:rPr>
          <w:rFonts w:ascii="Times New Roman" w:hAnsi="Times New Roman"/>
          <w:bCs/>
          <w:iCs/>
        </w:rPr>
        <w:t xml:space="preserve"> a ktorým sa mení zákon č. 331/2011 Z. z., ktorým sa mení a dopĺňa zákon č. 563/2009 Z. z. o správe daní (daňový poriadok) a o zmene a doplnení niektorých zákonov a ktorým sa menia a dopĺňajú niektoré zákony, v znení zákona č. 246/2012 Z. z.</w:t>
      </w:r>
      <w:r w:rsidRPr="00CB6753">
        <w:rPr>
          <w:rFonts w:ascii="Times New Roman" w:hAnsi="Times New Roman"/>
        </w:rPr>
        <w:t>.</w:t>
      </w:r>
    </w:p>
    <w:p w:rsidR="006757B6" w:rsidRPr="00CB6753" w:rsidP="006757B6">
      <w:pPr>
        <w:bidi w:val="0"/>
        <w:jc w:val="both"/>
        <w:rPr>
          <w:rFonts w:ascii="Times New Roman" w:hAnsi="Times New Roman"/>
          <w:color w:val="000000"/>
        </w:rPr>
      </w:pPr>
      <w:r w:rsidRPr="00CB6753">
        <w:rPr>
          <w:rFonts w:ascii="Times New Roman" w:hAnsi="Times New Roman"/>
          <w:b/>
          <w:bCs/>
          <w:color w:val="000000"/>
        </w:rPr>
        <w:t xml:space="preserve">        Termín začatia a ukončenia PPK:</w:t>
      </w:r>
      <w:r w:rsidRPr="00CB6753">
        <w:rPr>
          <w:rFonts w:ascii="Times New Roman" w:hAnsi="Times New Roman"/>
          <w:color w:val="000000"/>
        </w:rPr>
        <w:t xml:space="preserve"> </w:t>
      </w:r>
    </w:p>
    <w:p w:rsidR="006757B6" w:rsidRPr="00CB6753" w:rsidP="006757B6">
      <w:pPr>
        <w:bidi w:val="0"/>
        <w:jc w:val="both"/>
        <w:rPr>
          <w:rFonts w:ascii="Times New Roman" w:hAnsi="Times New Roman"/>
          <w:b/>
          <w:bCs/>
          <w:color w:val="000000"/>
        </w:rPr>
      </w:pPr>
    </w:p>
    <w:p w:rsidR="006757B6" w:rsidRPr="00CB6753" w:rsidP="006757B6">
      <w:pPr>
        <w:bidi w:val="0"/>
        <w:jc w:val="both"/>
        <w:rPr>
          <w:rFonts w:ascii="Times New Roman" w:hAnsi="Times New Roman"/>
          <w:b/>
          <w:bCs/>
          <w:color w:val="000000"/>
        </w:rPr>
      </w:pPr>
      <w:r w:rsidRPr="00CB6753">
        <w:rPr>
          <w:rFonts w:ascii="Times New Roman" w:hAnsi="Times New Roman"/>
          <w:b/>
          <w:bCs/>
          <w:color w:val="000000"/>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17"/>
        <w:gridCol w:w="1192"/>
        <w:gridCol w:w="1180"/>
        <w:gridCol w:w="1196"/>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6757B6" w:rsidRPr="00CB6753" w:rsidP="00603051">
            <w:pPr>
              <w:bidi w:val="0"/>
              <w:spacing w:after="0" w:line="240" w:lineRule="auto"/>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757B6" w:rsidRPr="00CB6753" w:rsidP="00603051">
            <w:pPr>
              <w:bidi w:val="0"/>
              <w:spacing w:after="0" w:line="240" w:lineRule="auto"/>
              <w:jc w:val="center"/>
              <w:rPr>
                <w:rFonts w:ascii="Times New Roman" w:hAnsi="Times New Roman"/>
                <w:color w:val="000000"/>
              </w:rPr>
            </w:pPr>
            <w:r w:rsidRPr="00CB6753">
              <w:rPr>
                <w:rFonts w:ascii="Times New Roman" w:hAnsi="Times New Roman"/>
                <w:color w:val="000000"/>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757B6" w:rsidRPr="00CB6753" w:rsidP="00603051">
            <w:pPr>
              <w:bidi w:val="0"/>
              <w:spacing w:after="0" w:line="240" w:lineRule="auto"/>
              <w:jc w:val="center"/>
              <w:rPr>
                <w:rFonts w:ascii="Times New Roman" w:hAnsi="Times New Roman"/>
                <w:color w:val="000000"/>
              </w:rPr>
            </w:pPr>
            <w:r w:rsidRPr="00CB6753">
              <w:rPr>
                <w:rFonts w:ascii="Times New Roman" w:hAnsi="Times New Roman"/>
                <w:color w:val="000000"/>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757B6" w:rsidRPr="00CB6753" w:rsidP="00603051">
            <w:pPr>
              <w:bidi w:val="0"/>
              <w:spacing w:after="0" w:line="240" w:lineRule="auto"/>
              <w:jc w:val="center"/>
              <w:rPr>
                <w:rFonts w:ascii="Times New Roman" w:hAnsi="Times New Roman"/>
                <w:color w:val="000000"/>
              </w:rPr>
            </w:pPr>
            <w:r w:rsidRPr="00CB6753">
              <w:rPr>
                <w:rFonts w:ascii="Times New Roman" w:hAnsi="Times New Roman"/>
                <w:color w:val="000000"/>
              </w:rPr>
              <w:t> Negatívne </w:t>
            </w: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6757B6" w:rsidRPr="00CB6753" w:rsidP="00603051">
            <w:pPr>
              <w:bidi w:val="0"/>
              <w:spacing w:after="0" w:line="240" w:lineRule="auto"/>
              <w:rPr>
                <w:rFonts w:ascii="Times New Roman" w:hAnsi="Times New Roman"/>
                <w:color w:val="000000"/>
              </w:rPr>
            </w:pPr>
            <w:r w:rsidRPr="00CB6753">
              <w:rPr>
                <w:rFonts w:ascii="Times New Roman" w:hAnsi="Times New Roman"/>
                <w:color w:val="000000"/>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757B6" w:rsidRPr="00CB6753" w:rsidP="00603051">
            <w:pPr>
              <w:bidi w:val="0"/>
              <w:spacing w:after="0" w:line="240" w:lineRule="auto"/>
              <w:jc w:val="center"/>
              <w:rPr>
                <w:rFonts w:ascii="Times New Roman" w:hAnsi="Times New Roman"/>
                <w:color w:val="000000"/>
              </w:rPr>
            </w:pPr>
            <w:r w:rsidRPr="00CB6753">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757B6" w:rsidRPr="00CB6753" w:rsidP="00603051">
            <w:pPr>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757B6" w:rsidRPr="00CB6753" w:rsidP="00603051">
            <w:pPr>
              <w:bidi w:val="0"/>
              <w:spacing w:after="0" w:line="240" w:lineRule="auto"/>
              <w:jc w:val="center"/>
              <w:rPr>
                <w:rFonts w:ascii="Times New Roman" w:hAnsi="Times New Roman"/>
                <w:color w:val="000000"/>
              </w:rPr>
            </w:pPr>
            <w:r w:rsidRPr="00CB6753">
              <w:rPr>
                <w:rFonts w:ascii="Times New Roman" w:hAnsi="Times New Roman"/>
                <w:color w:val="000000"/>
              </w:rPr>
              <w:t>x</w:t>
            </w: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6757B6" w:rsidRPr="00CB6753" w:rsidP="00603051">
            <w:pPr>
              <w:bidi w:val="0"/>
              <w:spacing w:after="0" w:line="240" w:lineRule="auto"/>
              <w:rPr>
                <w:rFonts w:ascii="Times New Roman" w:hAnsi="Times New Roman"/>
                <w:color w:val="000000"/>
              </w:rPr>
            </w:pPr>
            <w:r w:rsidRPr="00CB6753">
              <w:rPr>
                <w:rFonts w:ascii="Times New Roman" w:hAnsi="Times New Roman"/>
                <w:color w:val="000000"/>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757B6" w:rsidRPr="00CB6753" w:rsidP="00603051">
            <w:pPr>
              <w:bidi w:val="0"/>
              <w:spacing w:after="0" w:line="240" w:lineRule="auto"/>
              <w:jc w:val="center"/>
              <w:rPr>
                <w:rFonts w:ascii="Times New Roman" w:hAnsi="Times New Roman"/>
                <w:color w:val="000000"/>
              </w:rPr>
            </w:pPr>
            <w:r w:rsidRPr="00CB6753">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757B6" w:rsidRPr="00CB6753" w:rsidP="00603051">
            <w:pPr>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757B6" w:rsidRPr="00CB6753" w:rsidP="00603051">
            <w:pPr>
              <w:bidi w:val="0"/>
              <w:spacing w:after="0" w:line="240" w:lineRule="auto"/>
              <w:jc w:val="center"/>
              <w:rPr>
                <w:rFonts w:ascii="Times New Roman" w:hAnsi="Times New Roman"/>
                <w:color w:val="000000"/>
              </w:rPr>
            </w:pPr>
            <w:r w:rsidRPr="00CB6753">
              <w:rPr>
                <w:rFonts w:ascii="Times New Roman" w:hAnsi="Times New Roman"/>
                <w:color w:val="000000"/>
              </w:rPr>
              <w:t>x</w:t>
            </w: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6757B6" w:rsidRPr="00CB6753" w:rsidP="00603051">
            <w:pPr>
              <w:bidi w:val="0"/>
              <w:spacing w:after="0" w:line="240" w:lineRule="auto"/>
              <w:rPr>
                <w:rFonts w:ascii="Times New Roman" w:hAnsi="Times New Roman"/>
                <w:color w:val="000000"/>
              </w:rPr>
            </w:pPr>
            <w:r w:rsidRPr="00CB6753">
              <w:rPr>
                <w:rFonts w:ascii="Times New Roman" w:hAnsi="Times New Roman"/>
                <w:color w:val="000000"/>
              </w:rPr>
              <w:t>3. Sociálne vplyvy</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6757B6" w:rsidRPr="00CB6753" w:rsidP="00603051">
            <w:pPr>
              <w:bidi w:val="0"/>
              <w:spacing w:after="0" w:line="240" w:lineRule="auto"/>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6757B6" w:rsidRPr="00CB6753" w:rsidP="00603051">
            <w:pPr>
              <w:bidi w:val="0"/>
              <w:spacing w:after="0" w:line="240" w:lineRule="auto"/>
              <w:jc w:val="center"/>
              <w:rPr>
                <w:rFonts w:ascii="Times New Roman" w:hAnsi="Times New Roman"/>
                <w:color w:val="000000"/>
              </w:rPr>
            </w:pPr>
            <w:r w:rsidRPr="00CB6753">
              <w:rPr>
                <w:rFonts w:ascii="Times New Roman" w:hAnsi="Times New Roman"/>
                <w:color w:val="000000"/>
              </w:rPr>
              <w:t>x</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6757B6" w:rsidRPr="00CB6753" w:rsidP="00603051">
            <w:pPr>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6757B6" w:rsidRPr="00CB6753" w:rsidP="00603051">
            <w:pPr>
              <w:bidi w:val="0"/>
              <w:spacing w:after="0" w:line="240" w:lineRule="auto"/>
              <w:rPr>
                <w:rFonts w:ascii="Times New Roman" w:hAnsi="Times New Roman"/>
                <w:color w:val="000000"/>
              </w:rPr>
            </w:pPr>
            <w:r w:rsidRPr="00CB6753">
              <w:rPr>
                <w:rFonts w:ascii="Times New Roman" w:hAnsi="Times New Roman"/>
                <w:color w:val="000000"/>
              </w:rPr>
              <w:t>– vplyvy na hospodárenie obyvateľstva,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757B6" w:rsidRPr="00CB6753" w:rsidP="00603051">
            <w:pPr>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757B6" w:rsidRPr="00CB6753" w:rsidP="00603051">
            <w:pPr>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757B6" w:rsidRPr="00CB6753" w:rsidP="00603051">
            <w:pPr>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6757B6" w:rsidRPr="00CB6753" w:rsidP="00603051">
            <w:pPr>
              <w:bidi w:val="0"/>
              <w:spacing w:after="0" w:line="240" w:lineRule="auto"/>
              <w:rPr>
                <w:rFonts w:ascii="Times New Roman" w:hAnsi="Times New Roman"/>
                <w:color w:val="000000"/>
              </w:rPr>
            </w:pPr>
            <w:r w:rsidRPr="00CB6753">
              <w:rPr>
                <w:rFonts w:ascii="Times New Roman" w:hAnsi="Times New Roman"/>
                <w:color w:val="000000"/>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757B6" w:rsidRPr="00CB6753" w:rsidP="00603051">
            <w:pPr>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757B6" w:rsidRPr="00CB6753" w:rsidP="00603051">
            <w:pPr>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757B6" w:rsidRPr="00CB6753" w:rsidP="00603051">
            <w:pPr>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6757B6" w:rsidRPr="00CB6753" w:rsidP="00603051">
            <w:pPr>
              <w:bidi w:val="0"/>
              <w:spacing w:after="0" w:line="240" w:lineRule="auto"/>
              <w:rPr>
                <w:rFonts w:ascii="Times New Roman" w:hAnsi="Times New Roman"/>
                <w:color w:val="000000"/>
              </w:rPr>
            </w:pPr>
            <w:r w:rsidRPr="00CB6753">
              <w:rPr>
                <w:rFonts w:ascii="Times New Roman" w:hAnsi="Times New Roman"/>
                <w:color w:val="000000"/>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757B6" w:rsidRPr="00CB6753" w:rsidP="00603051">
            <w:pPr>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757B6" w:rsidRPr="00CB6753" w:rsidP="00603051">
            <w:pPr>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757B6" w:rsidRPr="00CB6753" w:rsidP="00603051">
            <w:pPr>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6757B6" w:rsidRPr="00CB6753" w:rsidP="00603051">
            <w:pPr>
              <w:bidi w:val="0"/>
              <w:spacing w:after="0" w:line="240" w:lineRule="auto"/>
              <w:rPr>
                <w:rFonts w:ascii="Times New Roman" w:hAnsi="Times New Roman"/>
                <w:color w:val="000000"/>
              </w:rPr>
            </w:pPr>
            <w:r w:rsidRPr="00CB6753">
              <w:rPr>
                <w:rFonts w:ascii="Times New Roman" w:hAnsi="Times New Roman"/>
                <w:color w:val="000000"/>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757B6" w:rsidRPr="00CB6753" w:rsidP="00603051">
            <w:pPr>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757B6" w:rsidRPr="00CB6753" w:rsidP="00603051">
            <w:pPr>
              <w:bidi w:val="0"/>
              <w:spacing w:after="0" w:line="240" w:lineRule="auto"/>
              <w:jc w:val="center"/>
              <w:rPr>
                <w:rFonts w:ascii="Times New Roman" w:hAnsi="Times New Roman"/>
                <w:color w:val="000000"/>
              </w:rPr>
            </w:pPr>
            <w:r w:rsidRPr="00CB6753">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757B6" w:rsidRPr="00CB6753" w:rsidP="00603051">
            <w:pPr>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6757B6" w:rsidRPr="00CB6753" w:rsidP="00603051">
            <w:pPr>
              <w:bidi w:val="0"/>
              <w:spacing w:after="0" w:line="240" w:lineRule="auto"/>
              <w:rPr>
                <w:rFonts w:ascii="Times New Roman" w:hAnsi="Times New Roman"/>
                <w:color w:val="000000"/>
              </w:rPr>
            </w:pPr>
            <w:r w:rsidRPr="00CB6753">
              <w:rPr>
                <w:rFonts w:ascii="Times New Roman" w:hAnsi="Times New Roman"/>
                <w:color w:val="000000"/>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757B6" w:rsidRPr="00CB6753" w:rsidP="00603051">
            <w:pPr>
              <w:bidi w:val="0"/>
              <w:spacing w:after="0" w:line="240" w:lineRule="auto"/>
              <w:jc w:val="center"/>
              <w:rPr>
                <w:rFonts w:ascii="Times New Roman" w:hAnsi="Times New Roman"/>
                <w:color w:val="000000"/>
              </w:rPr>
            </w:pPr>
            <w:r w:rsidRPr="00CB6753">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757B6" w:rsidRPr="00CB6753" w:rsidP="00603051">
            <w:pPr>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757B6" w:rsidRPr="00CB6753" w:rsidP="00603051">
            <w:pPr>
              <w:bidi w:val="0"/>
              <w:spacing w:after="0" w:line="240" w:lineRule="auto"/>
              <w:jc w:val="center"/>
              <w:rPr>
                <w:rFonts w:ascii="Times New Roman" w:hAnsi="Times New Roman"/>
                <w:color w:val="000000"/>
              </w:rPr>
            </w:pPr>
          </w:p>
        </w:tc>
      </w:tr>
    </w:tbl>
    <w:p w:rsidR="006757B6" w:rsidRPr="00CB6753" w:rsidP="006757B6">
      <w:pPr>
        <w:bidi w:val="0"/>
        <w:rPr>
          <w:rFonts w:ascii="Times New Roman" w:hAnsi="Times New Roman"/>
          <w:color w:val="000000"/>
        </w:rPr>
      </w:pPr>
      <w:r w:rsidRPr="00CB6753">
        <w:rPr>
          <w:rFonts w:ascii="Times New Roman" w:hAnsi="Times New Roman"/>
          <w:color w:val="000000"/>
        </w:rPr>
        <w:t> </w:t>
      </w:r>
    </w:p>
    <w:p w:rsidR="006757B6" w:rsidRPr="00CB6753" w:rsidP="006757B6">
      <w:pPr>
        <w:bidi w:val="0"/>
        <w:jc w:val="both"/>
        <w:rPr>
          <w:rFonts w:ascii="Times New Roman" w:hAnsi="Times New Roman"/>
          <w:b/>
          <w:bCs/>
          <w:color w:val="000000"/>
        </w:rPr>
      </w:pPr>
      <w:r w:rsidRPr="00CB6753">
        <w:rPr>
          <w:rFonts w:ascii="Times New Roman" w:hAnsi="Times New Roman"/>
          <w:b/>
          <w:bCs/>
          <w:color w:val="000000"/>
        </w:rPr>
        <w:t>A.3. Poznámky</w:t>
      </w:r>
    </w:p>
    <w:p w:rsidR="006757B6" w:rsidRPr="00CB6753" w:rsidP="006757B6">
      <w:pPr>
        <w:bidi w:val="0"/>
        <w:jc w:val="both"/>
        <w:rPr>
          <w:rFonts w:ascii="Times New Roman" w:hAnsi="Times New Roman"/>
          <w:color w:val="000000"/>
        </w:rPr>
      </w:pPr>
      <w:r w:rsidRPr="00CB6753">
        <w:rPr>
          <w:rFonts w:ascii="Times New Roman" w:hAnsi="Times New Roman"/>
          <w:color w:val="000000"/>
        </w:rPr>
        <w:t> </w:t>
      </w:r>
    </w:p>
    <w:p w:rsidR="006757B6" w:rsidRPr="00CB6753" w:rsidP="006757B6">
      <w:pPr>
        <w:bidi w:val="0"/>
        <w:jc w:val="both"/>
        <w:rPr>
          <w:rFonts w:ascii="Times New Roman" w:hAnsi="Times New Roman"/>
          <w:i/>
          <w:color w:val="000000"/>
        </w:rPr>
      </w:pPr>
      <w:r w:rsidRPr="00CB6753">
        <w:rPr>
          <w:rFonts w:ascii="Times New Roman" w:hAnsi="Times New Roman"/>
          <w:i/>
          <w:color w:val="000000"/>
        </w:rPr>
        <w:t>bezpredmetné</w:t>
      </w:r>
    </w:p>
    <w:p w:rsidR="006757B6" w:rsidRPr="00CB6753" w:rsidP="006757B6">
      <w:pPr>
        <w:bidi w:val="0"/>
        <w:jc w:val="both"/>
        <w:rPr>
          <w:rFonts w:ascii="Times New Roman" w:hAnsi="Times New Roman"/>
          <w:i/>
          <w:iCs/>
          <w:color w:val="000000"/>
        </w:rPr>
      </w:pPr>
      <w:r w:rsidRPr="00CB6753">
        <w:rPr>
          <w:rFonts w:ascii="Times New Roman" w:hAnsi="Times New Roman"/>
          <w:i/>
          <w:iCs/>
          <w:color w:val="000000"/>
        </w:rPr>
        <w:t xml:space="preserve">      </w:t>
      </w:r>
    </w:p>
    <w:p w:rsidR="006757B6" w:rsidRPr="00CB6753" w:rsidP="006757B6">
      <w:pPr>
        <w:bidi w:val="0"/>
        <w:jc w:val="both"/>
        <w:rPr>
          <w:rFonts w:ascii="Times New Roman" w:hAnsi="Times New Roman"/>
          <w:b/>
          <w:bCs/>
          <w:color w:val="000000"/>
        </w:rPr>
      </w:pPr>
      <w:r w:rsidRPr="00CB6753">
        <w:rPr>
          <w:rFonts w:ascii="Times New Roman" w:hAnsi="Times New Roman"/>
          <w:b/>
          <w:bCs/>
          <w:color w:val="000000"/>
        </w:rPr>
        <w:t>A.4. Alternatívne riešenia</w:t>
      </w:r>
    </w:p>
    <w:p w:rsidR="006757B6" w:rsidRPr="00CB6753" w:rsidP="006757B6">
      <w:pPr>
        <w:bidi w:val="0"/>
        <w:jc w:val="both"/>
        <w:rPr>
          <w:rFonts w:ascii="Times New Roman" w:hAnsi="Times New Roman"/>
          <w:b/>
          <w:bCs/>
          <w:color w:val="000000"/>
        </w:rPr>
      </w:pPr>
      <w:r w:rsidRPr="00CB6753">
        <w:rPr>
          <w:rFonts w:ascii="Times New Roman" w:hAnsi="Times New Roman"/>
          <w:color w:val="000000"/>
        </w:rPr>
        <w:t> </w:t>
      </w:r>
    </w:p>
    <w:p w:rsidR="006757B6" w:rsidRPr="00CB6753" w:rsidP="006757B6">
      <w:pPr>
        <w:bidi w:val="0"/>
        <w:jc w:val="both"/>
        <w:rPr>
          <w:rFonts w:ascii="Times New Roman" w:hAnsi="Times New Roman"/>
          <w:i/>
          <w:color w:val="000000"/>
        </w:rPr>
      </w:pPr>
      <w:r w:rsidRPr="00CB6753">
        <w:rPr>
          <w:rFonts w:ascii="Times New Roman" w:hAnsi="Times New Roman"/>
          <w:i/>
          <w:color w:val="000000"/>
        </w:rPr>
        <w:t>bezpredmetné</w:t>
      </w:r>
    </w:p>
    <w:p w:rsidR="006757B6" w:rsidRPr="00CB6753" w:rsidP="006757B6">
      <w:pPr>
        <w:bidi w:val="0"/>
        <w:jc w:val="both"/>
        <w:rPr>
          <w:rFonts w:ascii="Times New Roman" w:hAnsi="Times New Roman"/>
          <w:b/>
          <w:bCs/>
          <w:color w:val="000000"/>
        </w:rPr>
      </w:pPr>
    </w:p>
    <w:p w:rsidR="006757B6" w:rsidRPr="00CB6753" w:rsidP="006757B6">
      <w:pPr>
        <w:bidi w:val="0"/>
        <w:jc w:val="both"/>
        <w:rPr>
          <w:rFonts w:ascii="Times New Roman" w:hAnsi="Times New Roman"/>
          <w:b/>
          <w:bCs/>
          <w:color w:val="000000"/>
        </w:rPr>
      </w:pPr>
      <w:r w:rsidRPr="00CB6753">
        <w:rPr>
          <w:rFonts w:ascii="Times New Roman" w:hAnsi="Times New Roman"/>
          <w:b/>
          <w:bCs/>
          <w:color w:val="000000"/>
        </w:rPr>
        <w:t>A.5. Stanovisko gestorov</w:t>
      </w:r>
    </w:p>
    <w:p w:rsidR="006757B6" w:rsidRPr="00CB6753" w:rsidP="006757B6">
      <w:pPr>
        <w:bidi w:val="0"/>
        <w:jc w:val="both"/>
        <w:rPr>
          <w:rFonts w:ascii="Times New Roman" w:hAnsi="Times New Roman"/>
          <w:b/>
          <w:bCs/>
        </w:rPr>
      </w:pPr>
    </w:p>
    <w:p w:rsidR="006757B6" w:rsidRPr="00CB6753" w:rsidP="006757B6">
      <w:pPr>
        <w:bidi w:val="0"/>
        <w:jc w:val="center"/>
        <w:rPr>
          <w:rFonts w:ascii="Times New Roman" w:hAnsi="Times New Roman"/>
          <w:b/>
          <w:bCs/>
        </w:rPr>
      </w:pPr>
      <w:r w:rsidRPr="00CB6753">
        <w:rPr>
          <w:rFonts w:ascii="Times New Roman" w:hAnsi="Times New Roman"/>
          <w:b/>
          <w:bCs/>
        </w:rPr>
        <w:t>Vplyvy na rozpočet verejnej správy,</w:t>
      </w:r>
    </w:p>
    <w:p w:rsidR="006757B6" w:rsidRPr="00CB6753" w:rsidP="006757B6">
      <w:pPr>
        <w:bidi w:val="0"/>
        <w:jc w:val="center"/>
        <w:rPr>
          <w:rFonts w:ascii="Times New Roman" w:hAnsi="Times New Roman"/>
          <w:b/>
          <w:bCs/>
        </w:rPr>
      </w:pPr>
      <w:r w:rsidRPr="00CB6753">
        <w:rPr>
          <w:rFonts w:ascii="Times New Roman" w:hAnsi="Times New Roman"/>
          <w:b/>
          <w:bCs/>
        </w:rPr>
        <w:t>na zamestnanosť vo verejnej správe a financovanie návrhu</w:t>
      </w:r>
    </w:p>
    <w:p w:rsidR="006757B6" w:rsidRPr="00CB6753" w:rsidP="006757B6">
      <w:pPr>
        <w:bidi w:val="0"/>
        <w:rPr>
          <w:rFonts w:ascii="Times New Roman" w:hAnsi="Times New Roman"/>
        </w:rPr>
      </w:pPr>
    </w:p>
    <w:p w:rsidR="006757B6" w:rsidRPr="00CB6753" w:rsidP="006757B6">
      <w:pPr>
        <w:bidi w:val="0"/>
        <w:rPr>
          <w:rFonts w:ascii="Times New Roman" w:hAnsi="Times New Roman"/>
          <w:b/>
        </w:rPr>
      </w:pPr>
      <w:r w:rsidRPr="00CB6753">
        <w:rPr>
          <w:rFonts w:ascii="Times New Roman" w:hAnsi="Times New Roman"/>
          <w:b/>
        </w:rPr>
        <w:t>2.1. Zhrnutie vplyvov na rozpočet verejnej správy v návrhu</w:t>
      </w:r>
    </w:p>
    <w:p w:rsidR="006757B6" w:rsidRPr="00CB6753" w:rsidP="006757B6">
      <w:pPr>
        <w:bidi w:val="0"/>
        <w:jc w:val="right"/>
        <w:rPr>
          <w:rFonts w:ascii="Times New Roman" w:hAnsi="Times New Roman"/>
        </w:rPr>
      </w:pPr>
      <w:r w:rsidRPr="00CB6753">
        <w:rPr>
          <w:rFonts w:ascii="Times New Roman" w:hAnsi="Times New Roman"/>
        </w:rPr>
        <w:t xml:space="preserve">Tabuľka č. 1 </w:t>
      </w:r>
    </w:p>
    <w:tbl>
      <w:tblPr>
        <w:tblStyle w:val="TableNormal"/>
        <w:tblW w:w="9688" w:type="dxa"/>
        <w:jc w:val="center"/>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4661"/>
        <w:gridCol w:w="780"/>
        <w:gridCol w:w="225"/>
        <w:gridCol w:w="739"/>
        <w:gridCol w:w="266"/>
        <w:gridCol w:w="1006"/>
        <w:gridCol w:w="1005"/>
        <w:gridCol w:w="1006"/>
      </w:tblGrid>
      <w:tr>
        <w:tblPrEx>
          <w:tblW w:w="9688" w:type="dxa"/>
          <w:jc w:val="center"/>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rPr>
          <w:gridAfter w:val="4"/>
          <w:wAfter w:w="3283" w:type="dxa"/>
          <w:cantSplit/>
          <w:trHeight w:val="276"/>
          <w:jc w:val="center"/>
        </w:trPr>
        <w:tc>
          <w:tcPr>
            <w:tcW w:w="4661"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6757B6" w:rsidRPr="00CB6753" w:rsidP="00603051">
            <w:pPr>
              <w:bidi w:val="0"/>
              <w:spacing w:after="0" w:line="240" w:lineRule="auto"/>
              <w:jc w:val="center"/>
              <w:rPr>
                <w:rFonts w:ascii="Times New Roman" w:hAnsi="Times New Roman"/>
                <w:b/>
                <w:bCs/>
              </w:rPr>
            </w:pPr>
            <w:r w:rsidRPr="00CB6753">
              <w:rPr>
                <w:rFonts w:ascii="Times New Roman" w:hAnsi="Times New Roman"/>
                <w:b/>
                <w:bCs/>
              </w:rPr>
              <w:t>Vplyvy na rozpočet verejnej správy</w:t>
            </w:r>
          </w:p>
        </w:tc>
        <w:tc>
          <w:tcPr>
            <w:tcW w:w="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6757B6" w:rsidRPr="00CB6753" w:rsidP="00603051">
            <w:pPr>
              <w:bidi w:val="0"/>
              <w:spacing w:after="0" w:line="240" w:lineRule="auto"/>
              <w:jc w:val="center"/>
              <w:rPr>
                <w:rFonts w:ascii="Times New Roman" w:hAnsi="Times New Roman"/>
                <w:b/>
                <w:bCs/>
              </w:rPr>
            </w:pPr>
            <w:r w:rsidRPr="00CB6753">
              <w:rPr>
                <w:rFonts w:ascii="Times New Roman" w:hAnsi="Times New Roman"/>
                <w:b/>
                <w:bCs/>
              </w:rPr>
              <w:t>(v</w:t>
            </w:r>
            <w:r>
              <w:rPr>
                <w:rFonts w:ascii="Times New Roman" w:hAnsi="Times New Roman"/>
                <w:b/>
                <w:bCs/>
              </w:rPr>
              <w:t xml:space="preserve"> tis. eur</w:t>
            </w:r>
            <w:r w:rsidRPr="00CB6753">
              <w:rPr>
                <w:rFonts w:ascii="Times New Roman" w:hAnsi="Times New Roman"/>
                <w:b/>
                <w:bCs/>
              </w:rPr>
              <w:t>)</w:t>
            </w:r>
          </w:p>
        </w:tc>
        <w:tc>
          <w:tcPr>
            <w:tcW w:w="964" w:type="dxa"/>
            <w:gridSpan w:val="2"/>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6757B6" w:rsidRPr="00CB6753" w:rsidP="00603051">
            <w:pPr>
              <w:bidi w:val="0"/>
              <w:spacing w:after="0" w:line="240" w:lineRule="auto"/>
              <w:jc w:val="center"/>
              <w:rPr>
                <w:rFonts w:ascii="Times New Roman" w:hAnsi="Times New Roman"/>
                <w:b/>
                <w:bCs/>
              </w:rPr>
            </w:pPr>
          </w:p>
        </w:tc>
      </w:tr>
      <w:tr>
        <w:tblPrEx>
          <w:tblW w:w="9688" w:type="dxa"/>
          <w:jc w:val="center"/>
          <w:tblInd w:w="-479" w:type="dxa"/>
          <w:tblLayout w:type="fixed"/>
          <w:tblCellMar>
            <w:left w:w="70" w:type="dxa"/>
            <w:right w:w="70" w:type="dxa"/>
          </w:tblCellMar>
        </w:tblPrEx>
        <w:trPr>
          <w:cantSplit/>
          <w:trHeight w:val="70"/>
          <w:jc w:val="center"/>
        </w:trPr>
        <w:tc>
          <w:tcPr>
            <w:tcW w:w="4661" w:type="dxa"/>
            <w:vMerge/>
            <w:tcBorders>
              <w:top w:val="single" w:sz="4" w:space="0" w:color="auto"/>
              <w:left w:val="single" w:sz="4" w:space="0" w:color="auto"/>
              <w:bottom w:val="single" w:sz="4" w:space="0" w:color="auto"/>
              <w:right w:val="single" w:sz="4" w:space="0" w:color="auto"/>
            </w:tcBorders>
            <w:textDirection w:val="lrTb"/>
            <w:vAlign w:val="center"/>
          </w:tcPr>
          <w:p w:rsidR="006757B6" w:rsidRPr="00CB6753" w:rsidP="00603051">
            <w:pPr>
              <w:bidi w:val="0"/>
              <w:spacing w:after="0" w:line="240" w:lineRule="auto"/>
              <w:jc w:val="center"/>
              <w:rPr>
                <w:rFonts w:ascii="Times New Roman" w:hAnsi="Times New Roman"/>
                <w:b/>
                <w:bCs/>
              </w:rPr>
            </w:pPr>
          </w:p>
        </w:tc>
        <w:tc>
          <w:tcPr>
            <w:tcW w:w="1005" w:type="dxa"/>
            <w:gridSpan w:val="2"/>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6757B6" w:rsidRPr="00CB6753" w:rsidP="00603051">
            <w:pPr>
              <w:bidi w:val="0"/>
              <w:spacing w:after="0" w:line="240" w:lineRule="auto"/>
              <w:jc w:val="center"/>
              <w:rPr>
                <w:rFonts w:ascii="Times New Roman" w:hAnsi="Times New Roman"/>
                <w:b/>
                <w:bCs/>
              </w:rPr>
            </w:pPr>
            <w:r w:rsidRPr="00CB6753">
              <w:rPr>
                <w:rFonts w:ascii="Times New Roman" w:hAnsi="Times New Roman"/>
                <w:b/>
                <w:bCs/>
              </w:rPr>
              <w:t>2014</w:t>
            </w:r>
          </w:p>
        </w:tc>
        <w:tc>
          <w:tcPr>
            <w:tcW w:w="1005" w:type="dxa"/>
            <w:gridSpan w:val="2"/>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6757B6" w:rsidRPr="00CB6753" w:rsidP="00603051">
            <w:pPr>
              <w:bidi w:val="0"/>
              <w:spacing w:after="0" w:line="240" w:lineRule="auto"/>
              <w:jc w:val="center"/>
              <w:rPr>
                <w:rFonts w:ascii="Times New Roman" w:hAnsi="Times New Roman"/>
                <w:b/>
                <w:bCs/>
              </w:rPr>
            </w:pPr>
            <w:r w:rsidRPr="00CB6753">
              <w:rPr>
                <w:rFonts w:ascii="Times New Roman" w:hAnsi="Times New Roman"/>
                <w:b/>
                <w:bCs/>
              </w:rPr>
              <w:t>2015</w:t>
            </w:r>
          </w:p>
        </w:tc>
        <w:tc>
          <w:tcPr>
            <w:tcW w:w="1006"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6757B6" w:rsidRPr="00CB6753" w:rsidP="00603051">
            <w:pPr>
              <w:bidi w:val="0"/>
              <w:spacing w:after="0" w:line="240" w:lineRule="auto"/>
              <w:jc w:val="center"/>
              <w:rPr>
                <w:rFonts w:ascii="Times New Roman" w:hAnsi="Times New Roman"/>
                <w:b/>
                <w:bCs/>
              </w:rPr>
            </w:pPr>
            <w:r w:rsidRPr="00CB6753">
              <w:rPr>
                <w:rFonts w:ascii="Times New Roman" w:hAnsi="Times New Roman"/>
                <w:b/>
                <w:bCs/>
              </w:rPr>
              <w:t>2016</w:t>
            </w:r>
          </w:p>
        </w:tc>
        <w:tc>
          <w:tcPr>
            <w:tcW w:w="1005"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6757B6" w:rsidRPr="00CB6753" w:rsidP="00603051">
            <w:pPr>
              <w:bidi w:val="0"/>
              <w:spacing w:after="0" w:line="240" w:lineRule="auto"/>
              <w:jc w:val="center"/>
              <w:rPr>
                <w:rFonts w:ascii="Times New Roman" w:hAnsi="Times New Roman"/>
                <w:b/>
                <w:bCs/>
              </w:rPr>
            </w:pPr>
            <w:r w:rsidRPr="00CB6753">
              <w:rPr>
                <w:rFonts w:ascii="Times New Roman" w:hAnsi="Times New Roman"/>
                <w:b/>
                <w:bCs/>
              </w:rPr>
              <w:t>2017</w:t>
            </w:r>
          </w:p>
        </w:tc>
        <w:tc>
          <w:tcPr>
            <w:tcW w:w="1006"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6757B6" w:rsidRPr="00CB6753" w:rsidP="00603051">
            <w:pPr>
              <w:bidi w:val="0"/>
              <w:spacing w:after="0" w:line="240" w:lineRule="auto"/>
              <w:jc w:val="center"/>
              <w:rPr>
                <w:rFonts w:ascii="Times New Roman" w:hAnsi="Times New Roman"/>
                <w:b/>
                <w:bCs/>
              </w:rPr>
            </w:pPr>
            <w:r>
              <w:rPr>
                <w:rFonts w:ascii="Times New Roman" w:hAnsi="Times New Roman"/>
                <w:b/>
                <w:bCs/>
              </w:rPr>
              <w:t>2018</w:t>
            </w:r>
          </w:p>
        </w:tc>
      </w:tr>
      <w:tr>
        <w:tblPrEx>
          <w:tblW w:w="9688" w:type="dxa"/>
          <w:jc w:val="center"/>
          <w:tblInd w:w="-479" w:type="dxa"/>
          <w:tblLayout w:type="fixed"/>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6757B6" w:rsidRPr="00CB6753" w:rsidP="00603051">
            <w:pPr>
              <w:bidi w:val="0"/>
              <w:spacing w:after="0" w:line="240" w:lineRule="auto"/>
              <w:rPr>
                <w:rFonts w:ascii="Times New Roman" w:hAnsi="Times New Roman"/>
              </w:rPr>
            </w:pPr>
            <w:r w:rsidRPr="00CB6753">
              <w:rPr>
                <w:rFonts w:ascii="Times New Roman" w:hAnsi="Times New Roman"/>
                <w:b/>
                <w:bCs/>
              </w:rPr>
              <w:t>Príjmy verejnej správy celkom</w:t>
            </w:r>
          </w:p>
        </w:tc>
        <w:tc>
          <w:tcPr>
            <w:tcW w:w="1005" w:type="dxa"/>
            <w:gridSpan w:val="2"/>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6757B6" w:rsidRPr="00CB6753" w:rsidP="00603051">
            <w:pPr>
              <w:bidi w:val="0"/>
              <w:spacing w:after="0" w:line="240" w:lineRule="auto"/>
              <w:jc w:val="right"/>
              <w:rPr>
                <w:rFonts w:ascii="Times New Roman" w:hAnsi="Times New Roman"/>
                <w:b/>
                <w:bCs/>
              </w:rPr>
            </w:pPr>
            <w:r w:rsidRPr="00CB6753">
              <w:rPr>
                <w:rFonts w:ascii="Times New Roman" w:hAnsi="Times New Roman"/>
                <w:b/>
                <w:bCs/>
              </w:rPr>
              <w:t>0</w:t>
            </w:r>
          </w:p>
        </w:tc>
        <w:tc>
          <w:tcPr>
            <w:tcW w:w="1005" w:type="dxa"/>
            <w:gridSpan w:val="2"/>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6757B6" w:rsidRPr="00CB6753" w:rsidP="00603051">
            <w:pPr>
              <w:bidi w:val="0"/>
              <w:spacing w:after="0" w:line="240" w:lineRule="auto"/>
              <w:jc w:val="right"/>
              <w:rPr>
                <w:rFonts w:ascii="Times New Roman" w:hAnsi="Times New Roman"/>
                <w:b/>
              </w:rPr>
            </w:pPr>
            <w:r>
              <w:rPr>
                <w:rFonts w:ascii="Times New Roman" w:hAnsi="Times New Roman"/>
                <w:b/>
              </w:rPr>
              <w:t>0</w:t>
            </w:r>
          </w:p>
        </w:tc>
        <w:tc>
          <w:tcPr>
            <w:tcW w:w="1006"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6757B6" w:rsidRPr="00CB6753" w:rsidP="00603051">
            <w:pPr>
              <w:bidi w:val="0"/>
              <w:spacing w:after="0" w:line="240" w:lineRule="auto"/>
              <w:jc w:val="right"/>
              <w:rPr>
                <w:rFonts w:ascii="Times New Roman" w:hAnsi="Times New Roman"/>
                <w:b/>
              </w:rPr>
            </w:pPr>
            <w:r>
              <w:rPr>
                <w:rFonts w:ascii="Times New Roman" w:hAnsi="Times New Roman"/>
                <w:b/>
              </w:rPr>
              <w:t>0</w:t>
            </w:r>
          </w:p>
        </w:tc>
        <w:tc>
          <w:tcPr>
            <w:tcW w:w="1005"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6757B6" w:rsidRPr="00CB6753" w:rsidP="00603051">
            <w:pPr>
              <w:bidi w:val="0"/>
              <w:spacing w:after="0" w:line="240" w:lineRule="auto"/>
              <w:jc w:val="right"/>
              <w:rPr>
                <w:rFonts w:ascii="Times New Roman" w:hAnsi="Times New Roman"/>
                <w:b/>
              </w:rPr>
            </w:pPr>
            <w:r w:rsidRPr="00CB6753">
              <w:rPr>
                <w:rFonts w:ascii="Times New Roman" w:hAnsi="Times New Roman"/>
                <w:b/>
              </w:rPr>
              <w:t>-</w:t>
            </w:r>
            <w:r>
              <w:rPr>
                <w:rFonts w:ascii="Times New Roman" w:hAnsi="Times New Roman"/>
                <w:b/>
              </w:rPr>
              <w:t>454 624</w:t>
            </w:r>
          </w:p>
        </w:tc>
        <w:tc>
          <w:tcPr>
            <w:tcW w:w="1006"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6757B6" w:rsidRPr="00CB6753" w:rsidP="00603051">
            <w:pPr>
              <w:bidi w:val="0"/>
              <w:spacing w:after="0" w:line="240" w:lineRule="auto"/>
              <w:jc w:val="right"/>
              <w:rPr>
                <w:rFonts w:ascii="Times New Roman" w:hAnsi="Times New Roman"/>
                <w:b/>
              </w:rPr>
            </w:pPr>
            <w:r>
              <w:rPr>
                <w:rFonts w:ascii="Times New Roman" w:hAnsi="Times New Roman"/>
                <w:b/>
              </w:rPr>
              <w:t>- 23 426</w:t>
            </w:r>
          </w:p>
        </w:tc>
      </w:tr>
      <w:tr>
        <w:tblPrEx>
          <w:tblW w:w="9688" w:type="dxa"/>
          <w:jc w:val="center"/>
          <w:tblInd w:w="-479" w:type="dxa"/>
          <w:tblLayout w:type="fixed"/>
          <w:tblCellMar>
            <w:left w:w="70" w:type="dxa"/>
            <w:right w:w="70" w:type="dxa"/>
          </w:tblCellMar>
        </w:tblPrEx>
        <w:trPr>
          <w:trHeight w:val="132"/>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6757B6" w:rsidRPr="00CB6753" w:rsidP="00603051">
            <w:pPr>
              <w:bidi w:val="0"/>
              <w:spacing w:after="0" w:line="240" w:lineRule="auto"/>
              <w:rPr>
                <w:rFonts w:ascii="Times New Roman" w:hAnsi="Times New Roman"/>
              </w:rPr>
            </w:pPr>
            <w:r w:rsidRPr="00CB6753">
              <w:rPr>
                <w:rFonts w:ascii="Times New Roman" w:hAnsi="Times New Roman"/>
              </w:rPr>
              <w:t>v tom: za každý subjekt verejnej správy zvlášť VPS</w:t>
            </w:r>
          </w:p>
        </w:tc>
        <w:tc>
          <w:tcPr>
            <w:tcW w:w="1005" w:type="dxa"/>
            <w:gridSpan w:val="2"/>
            <w:tcBorders>
              <w:top w:val="single" w:sz="4" w:space="0" w:color="auto"/>
              <w:left w:val="single" w:sz="4" w:space="0" w:color="auto"/>
              <w:bottom w:val="single" w:sz="4" w:space="0" w:color="auto"/>
              <w:right w:val="single" w:sz="4" w:space="0" w:color="auto"/>
            </w:tcBorders>
            <w:textDirection w:val="lrTb"/>
            <w:vAlign w:val="top"/>
          </w:tcPr>
          <w:p w:rsidR="006757B6" w:rsidP="00603051">
            <w:pPr>
              <w:bidi w:val="0"/>
              <w:spacing w:after="0" w:line="240" w:lineRule="auto"/>
              <w:jc w:val="right"/>
              <w:rPr>
                <w:rFonts w:ascii="Times New Roman" w:hAnsi="Times New Roman"/>
                <w:b/>
              </w:rPr>
            </w:pPr>
          </w:p>
          <w:p w:rsidR="006757B6" w:rsidRPr="00CB6753" w:rsidP="00603051">
            <w:pPr>
              <w:bidi w:val="0"/>
              <w:spacing w:after="0" w:line="240" w:lineRule="auto"/>
              <w:jc w:val="right"/>
              <w:rPr>
                <w:rFonts w:ascii="Times New Roman" w:hAnsi="Times New Roman"/>
                <w:b/>
              </w:rPr>
            </w:pPr>
            <w:r w:rsidRPr="00CB6753">
              <w:rPr>
                <w:rFonts w:ascii="Times New Roman" w:hAnsi="Times New Roman"/>
                <w:b/>
              </w:rPr>
              <w:t>0</w:t>
            </w:r>
          </w:p>
        </w:tc>
        <w:tc>
          <w:tcPr>
            <w:tcW w:w="1005" w:type="dxa"/>
            <w:gridSpan w:val="2"/>
            <w:tcBorders>
              <w:top w:val="single" w:sz="4" w:space="0" w:color="auto"/>
              <w:left w:val="single" w:sz="4" w:space="0" w:color="auto"/>
              <w:bottom w:val="single" w:sz="4" w:space="0" w:color="auto"/>
              <w:right w:val="single" w:sz="4" w:space="0" w:color="auto"/>
            </w:tcBorders>
            <w:noWrap/>
            <w:textDirection w:val="lrTb"/>
            <w:vAlign w:val="center"/>
          </w:tcPr>
          <w:p w:rsidR="006757B6" w:rsidP="00603051">
            <w:pPr>
              <w:bidi w:val="0"/>
              <w:spacing w:after="0" w:line="240" w:lineRule="auto"/>
              <w:jc w:val="right"/>
              <w:rPr>
                <w:rFonts w:ascii="Times New Roman" w:hAnsi="Times New Roman"/>
                <w:b/>
              </w:rPr>
            </w:pPr>
          </w:p>
          <w:p w:rsidR="006757B6" w:rsidRPr="00CB6753" w:rsidP="00603051">
            <w:pPr>
              <w:bidi w:val="0"/>
              <w:spacing w:after="0" w:line="240" w:lineRule="auto"/>
              <w:jc w:val="right"/>
              <w:rPr>
                <w:rFonts w:ascii="Times New Roman" w:hAnsi="Times New Roman"/>
                <w:b/>
                <w:bCs/>
                <w:iCs/>
              </w:rPr>
            </w:pPr>
            <w:r>
              <w:rPr>
                <w:rFonts w:ascii="Times New Roman" w:hAnsi="Times New Roman"/>
                <w:b/>
              </w:rPr>
              <w:t>0</w:t>
            </w:r>
          </w:p>
        </w:tc>
        <w:tc>
          <w:tcPr>
            <w:tcW w:w="1006" w:type="dxa"/>
            <w:tcBorders>
              <w:top w:val="single" w:sz="4" w:space="0" w:color="auto"/>
              <w:left w:val="single" w:sz="4" w:space="0" w:color="auto"/>
              <w:bottom w:val="single" w:sz="4" w:space="0" w:color="auto"/>
              <w:right w:val="single" w:sz="4" w:space="0" w:color="auto"/>
            </w:tcBorders>
            <w:noWrap/>
            <w:textDirection w:val="lrTb"/>
            <w:vAlign w:val="center"/>
          </w:tcPr>
          <w:p w:rsidR="006757B6" w:rsidP="00603051">
            <w:pPr>
              <w:bidi w:val="0"/>
              <w:spacing w:after="0" w:line="240" w:lineRule="auto"/>
              <w:jc w:val="right"/>
              <w:rPr>
                <w:rFonts w:ascii="Times New Roman" w:hAnsi="Times New Roman"/>
                <w:b/>
              </w:rPr>
            </w:pPr>
          </w:p>
          <w:p w:rsidR="006757B6" w:rsidRPr="00CB6753" w:rsidP="00603051">
            <w:pPr>
              <w:bidi w:val="0"/>
              <w:spacing w:after="0" w:line="240" w:lineRule="auto"/>
              <w:jc w:val="right"/>
              <w:rPr>
                <w:rFonts w:ascii="Times New Roman" w:hAnsi="Times New Roman"/>
                <w:b/>
                <w:bCs/>
                <w:iCs/>
              </w:rPr>
            </w:pPr>
            <w:r>
              <w:rPr>
                <w:rFonts w:ascii="Times New Roman" w:hAnsi="Times New Roman"/>
                <w:b/>
                <w:bCs/>
                <w:iCs/>
              </w:rPr>
              <w:t>0</w:t>
            </w:r>
          </w:p>
        </w:tc>
        <w:tc>
          <w:tcPr>
            <w:tcW w:w="1005" w:type="dxa"/>
            <w:tcBorders>
              <w:top w:val="single" w:sz="4" w:space="0" w:color="auto"/>
              <w:left w:val="single" w:sz="4" w:space="0" w:color="auto"/>
              <w:bottom w:val="single" w:sz="4" w:space="0" w:color="auto"/>
              <w:right w:val="single" w:sz="4" w:space="0" w:color="auto"/>
            </w:tcBorders>
            <w:noWrap/>
            <w:textDirection w:val="lrTb"/>
            <w:vAlign w:val="center"/>
          </w:tcPr>
          <w:p w:rsidR="006757B6" w:rsidP="00603051">
            <w:pPr>
              <w:bidi w:val="0"/>
              <w:spacing w:after="0" w:line="240" w:lineRule="auto"/>
              <w:jc w:val="right"/>
              <w:rPr>
                <w:rFonts w:ascii="Times New Roman" w:hAnsi="Times New Roman"/>
                <w:b/>
              </w:rPr>
            </w:pPr>
          </w:p>
          <w:p w:rsidR="006757B6" w:rsidRPr="00CB6753" w:rsidP="00603051">
            <w:pPr>
              <w:bidi w:val="0"/>
              <w:spacing w:after="0" w:line="240" w:lineRule="auto"/>
              <w:jc w:val="right"/>
              <w:rPr>
                <w:rFonts w:ascii="Times New Roman" w:hAnsi="Times New Roman"/>
                <w:b/>
                <w:bCs/>
                <w:iCs/>
              </w:rPr>
            </w:pPr>
            <w:r w:rsidRPr="00CB6753">
              <w:rPr>
                <w:rFonts w:ascii="Times New Roman" w:hAnsi="Times New Roman"/>
                <w:b/>
              </w:rPr>
              <w:t>-</w:t>
            </w:r>
            <w:r>
              <w:rPr>
                <w:rFonts w:ascii="Times New Roman" w:hAnsi="Times New Roman"/>
                <w:b/>
              </w:rPr>
              <w:t>454 624</w:t>
            </w:r>
          </w:p>
        </w:tc>
        <w:tc>
          <w:tcPr>
            <w:tcW w:w="1006" w:type="dxa"/>
            <w:tcBorders>
              <w:top w:val="single" w:sz="4" w:space="0" w:color="auto"/>
              <w:left w:val="single" w:sz="4" w:space="0" w:color="auto"/>
              <w:bottom w:val="single" w:sz="4" w:space="0" w:color="auto"/>
              <w:right w:val="single" w:sz="4" w:space="0" w:color="auto"/>
            </w:tcBorders>
            <w:textDirection w:val="lrTb"/>
            <w:vAlign w:val="top"/>
          </w:tcPr>
          <w:p w:rsidR="006757B6" w:rsidP="00603051">
            <w:pPr>
              <w:bidi w:val="0"/>
              <w:spacing w:after="0" w:line="240" w:lineRule="auto"/>
              <w:jc w:val="right"/>
              <w:rPr>
                <w:rFonts w:ascii="Times New Roman" w:hAnsi="Times New Roman"/>
                <w:b/>
              </w:rPr>
            </w:pPr>
          </w:p>
          <w:p w:rsidR="006757B6" w:rsidP="00603051">
            <w:pPr>
              <w:bidi w:val="0"/>
              <w:spacing w:after="0" w:line="240" w:lineRule="auto"/>
              <w:jc w:val="right"/>
              <w:rPr>
                <w:rFonts w:ascii="Times New Roman" w:hAnsi="Times New Roman"/>
                <w:b/>
              </w:rPr>
            </w:pPr>
            <w:r>
              <w:rPr>
                <w:rFonts w:ascii="Times New Roman" w:hAnsi="Times New Roman"/>
                <w:b/>
              </w:rPr>
              <w:t>-23 426</w:t>
            </w:r>
          </w:p>
        </w:tc>
      </w:tr>
      <w:tr>
        <w:tblPrEx>
          <w:tblW w:w="9688" w:type="dxa"/>
          <w:jc w:val="center"/>
          <w:tblInd w:w="-479" w:type="dxa"/>
          <w:tblLayout w:type="fixed"/>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6757B6" w:rsidRPr="00CB6753" w:rsidP="00603051">
            <w:pPr>
              <w:bidi w:val="0"/>
              <w:spacing w:after="0" w:line="240" w:lineRule="auto"/>
              <w:rPr>
                <w:rFonts w:ascii="Times New Roman" w:hAnsi="Times New Roman"/>
                <w:b/>
                <w:bCs/>
                <w:i/>
                <w:iCs/>
              </w:rPr>
            </w:pPr>
            <w:r w:rsidRPr="00CB6753">
              <w:rPr>
                <w:rFonts w:ascii="Times New Roman" w:hAnsi="Times New Roman"/>
                <w:b/>
                <w:bCs/>
                <w:i/>
                <w:iCs/>
              </w:rPr>
              <w:t xml:space="preserve">z toho:  </w:t>
            </w:r>
          </w:p>
        </w:tc>
        <w:tc>
          <w:tcPr>
            <w:tcW w:w="1005" w:type="dxa"/>
            <w:gridSpan w:val="2"/>
            <w:tcBorders>
              <w:top w:val="single" w:sz="4" w:space="0" w:color="auto"/>
              <w:left w:val="single" w:sz="4" w:space="0" w:color="auto"/>
              <w:bottom w:val="single" w:sz="4" w:space="0" w:color="auto"/>
              <w:right w:val="single" w:sz="4" w:space="0" w:color="auto"/>
            </w:tcBorders>
            <w:textDirection w:val="lrTb"/>
            <w:vAlign w:val="top"/>
          </w:tcPr>
          <w:p w:rsidR="006757B6" w:rsidRPr="00CB6753" w:rsidP="00603051">
            <w:pPr>
              <w:bidi w:val="0"/>
              <w:spacing w:after="0" w:line="240" w:lineRule="auto"/>
              <w:jc w:val="right"/>
              <w:rPr>
                <w:rFonts w:ascii="Times New Roman" w:hAnsi="Times New Roman"/>
                <w:b/>
                <w:bCs/>
                <w:iCs/>
              </w:rPr>
            </w:pPr>
          </w:p>
        </w:tc>
        <w:tc>
          <w:tcPr>
            <w:tcW w:w="1005" w:type="dxa"/>
            <w:gridSpan w:val="2"/>
            <w:tcBorders>
              <w:top w:val="single" w:sz="4" w:space="0" w:color="auto"/>
              <w:left w:val="single" w:sz="4" w:space="0" w:color="auto"/>
              <w:bottom w:val="single" w:sz="4" w:space="0" w:color="auto"/>
              <w:right w:val="single" w:sz="4" w:space="0" w:color="auto"/>
            </w:tcBorders>
            <w:noWrap/>
            <w:textDirection w:val="lrTb"/>
            <w:vAlign w:val="center"/>
          </w:tcPr>
          <w:p w:rsidR="006757B6" w:rsidRPr="00CB6753" w:rsidP="00603051">
            <w:pPr>
              <w:bidi w:val="0"/>
              <w:spacing w:after="0" w:line="240" w:lineRule="auto"/>
              <w:jc w:val="right"/>
              <w:rPr>
                <w:rFonts w:ascii="Times New Roman" w:hAnsi="Times New Roman"/>
                <w:b/>
                <w:bCs/>
                <w:iCs/>
              </w:rPr>
            </w:pPr>
          </w:p>
        </w:tc>
        <w:tc>
          <w:tcPr>
            <w:tcW w:w="1006" w:type="dxa"/>
            <w:tcBorders>
              <w:top w:val="single" w:sz="4" w:space="0" w:color="auto"/>
              <w:left w:val="single" w:sz="4" w:space="0" w:color="auto"/>
              <w:bottom w:val="single" w:sz="4" w:space="0" w:color="auto"/>
              <w:right w:val="single" w:sz="4" w:space="0" w:color="auto"/>
            </w:tcBorders>
            <w:noWrap/>
            <w:textDirection w:val="lrTb"/>
            <w:vAlign w:val="center"/>
          </w:tcPr>
          <w:p w:rsidR="006757B6" w:rsidRPr="00CB6753" w:rsidP="00603051">
            <w:pPr>
              <w:bidi w:val="0"/>
              <w:spacing w:after="0" w:line="240" w:lineRule="auto"/>
              <w:jc w:val="right"/>
              <w:rPr>
                <w:rFonts w:ascii="Times New Roman" w:hAnsi="Times New Roman"/>
                <w:b/>
                <w:bCs/>
                <w:iCs/>
              </w:rPr>
            </w:pPr>
          </w:p>
        </w:tc>
        <w:tc>
          <w:tcPr>
            <w:tcW w:w="1005" w:type="dxa"/>
            <w:tcBorders>
              <w:top w:val="single" w:sz="4" w:space="0" w:color="auto"/>
              <w:left w:val="single" w:sz="4" w:space="0" w:color="auto"/>
              <w:bottom w:val="single" w:sz="4" w:space="0" w:color="auto"/>
              <w:right w:val="single" w:sz="4" w:space="0" w:color="auto"/>
            </w:tcBorders>
            <w:noWrap/>
            <w:textDirection w:val="lrTb"/>
            <w:vAlign w:val="center"/>
          </w:tcPr>
          <w:p w:rsidR="006757B6" w:rsidRPr="00CB6753" w:rsidP="00603051">
            <w:pPr>
              <w:bidi w:val="0"/>
              <w:spacing w:after="0" w:line="240" w:lineRule="auto"/>
              <w:jc w:val="right"/>
              <w:rPr>
                <w:rFonts w:ascii="Times New Roman" w:hAnsi="Times New Roman"/>
                <w:b/>
                <w:bCs/>
                <w:iCs/>
              </w:rPr>
            </w:pPr>
          </w:p>
        </w:tc>
        <w:tc>
          <w:tcPr>
            <w:tcW w:w="1006" w:type="dxa"/>
            <w:tcBorders>
              <w:top w:val="single" w:sz="4" w:space="0" w:color="auto"/>
              <w:left w:val="single" w:sz="4" w:space="0" w:color="auto"/>
              <w:bottom w:val="single" w:sz="4" w:space="0" w:color="auto"/>
              <w:right w:val="single" w:sz="4" w:space="0" w:color="auto"/>
            </w:tcBorders>
            <w:textDirection w:val="lrTb"/>
            <w:vAlign w:val="top"/>
          </w:tcPr>
          <w:p w:rsidR="006757B6" w:rsidRPr="00CB6753" w:rsidP="00603051">
            <w:pPr>
              <w:bidi w:val="0"/>
              <w:spacing w:after="0" w:line="240" w:lineRule="auto"/>
              <w:jc w:val="right"/>
              <w:rPr>
                <w:rFonts w:ascii="Times New Roman" w:hAnsi="Times New Roman"/>
                <w:b/>
                <w:bCs/>
                <w:iCs/>
              </w:rPr>
            </w:pPr>
          </w:p>
        </w:tc>
      </w:tr>
      <w:tr>
        <w:tblPrEx>
          <w:tblW w:w="9688" w:type="dxa"/>
          <w:jc w:val="center"/>
          <w:tblInd w:w="-479" w:type="dxa"/>
          <w:tblLayout w:type="fixed"/>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6757B6" w:rsidRPr="00CB6753" w:rsidP="00603051">
            <w:pPr>
              <w:bidi w:val="0"/>
              <w:spacing w:after="0" w:line="240" w:lineRule="auto"/>
              <w:rPr>
                <w:rFonts w:ascii="Times New Roman" w:hAnsi="Times New Roman"/>
                <w:b/>
                <w:bCs/>
                <w:i/>
                <w:iCs/>
              </w:rPr>
            </w:pPr>
            <w:r w:rsidRPr="00CB6753">
              <w:rPr>
                <w:rFonts w:ascii="Times New Roman" w:hAnsi="Times New Roman"/>
                <w:b/>
                <w:bCs/>
                <w:i/>
                <w:iCs/>
              </w:rPr>
              <w:t>- vplyv na ŠR VPS</w:t>
            </w:r>
          </w:p>
        </w:tc>
        <w:tc>
          <w:tcPr>
            <w:tcW w:w="1005" w:type="dxa"/>
            <w:gridSpan w:val="2"/>
            <w:tcBorders>
              <w:top w:val="single" w:sz="4" w:space="0" w:color="auto"/>
              <w:left w:val="single" w:sz="4" w:space="0" w:color="auto"/>
              <w:bottom w:val="single" w:sz="4" w:space="0" w:color="auto"/>
              <w:right w:val="single" w:sz="4" w:space="0" w:color="auto"/>
            </w:tcBorders>
            <w:textDirection w:val="lrTb"/>
            <w:vAlign w:val="top"/>
          </w:tcPr>
          <w:p w:rsidR="006757B6" w:rsidRPr="00CB6753" w:rsidP="00603051">
            <w:pPr>
              <w:bidi w:val="0"/>
              <w:spacing w:after="0" w:line="240" w:lineRule="auto"/>
              <w:jc w:val="right"/>
              <w:rPr>
                <w:rFonts w:ascii="Times New Roman" w:hAnsi="Times New Roman"/>
                <w:b/>
              </w:rPr>
            </w:pPr>
            <w:r w:rsidRPr="00CB6753">
              <w:rPr>
                <w:rFonts w:ascii="Times New Roman" w:hAnsi="Times New Roman"/>
                <w:b/>
              </w:rPr>
              <w:t>0</w:t>
            </w:r>
          </w:p>
        </w:tc>
        <w:tc>
          <w:tcPr>
            <w:tcW w:w="1005" w:type="dxa"/>
            <w:gridSpan w:val="2"/>
            <w:tcBorders>
              <w:top w:val="single" w:sz="4" w:space="0" w:color="auto"/>
              <w:left w:val="single" w:sz="4" w:space="0" w:color="auto"/>
              <w:bottom w:val="single" w:sz="4" w:space="0" w:color="auto"/>
              <w:right w:val="single" w:sz="4" w:space="0" w:color="auto"/>
            </w:tcBorders>
            <w:noWrap/>
            <w:textDirection w:val="lrTb"/>
            <w:vAlign w:val="center"/>
          </w:tcPr>
          <w:p w:rsidR="006757B6" w:rsidRPr="00CB6753" w:rsidP="00603051">
            <w:pPr>
              <w:bidi w:val="0"/>
              <w:spacing w:after="0" w:line="240" w:lineRule="auto"/>
              <w:jc w:val="right"/>
              <w:rPr>
                <w:rFonts w:ascii="Times New Roman" w:hAnsi="Times New Roman"/>
                <w:b/>
                <w:bCs/>
                <w:iCs/>
              </w:rPr>
            </w:pPr>
            <w:r>
              <w:rPr>
                <w:rFonts w:ascii="Times New Roman" w:hAnsi="Times New Roman"/>
                <w:b/>
              </w:rPr>
              <w:t>0</w:t>
            </w:r>
          </w:p>
        </w:tc>
        <w:tc>
          <w:tcPr>
            <w:tcW w:w="1006" w:type="dxa"/>
            <w:tcBorders>
              <w:top w:val="single" w:sz="4" w:space="0" w:color="auto"/>
              <w:left w:val="single" w:sz="4" w:space="0" w:color="auto"/>
              <w:bottom w:val="single" w:sz="4" w:space="0" w:color="auto"/>
              <w:right w:val="single" w:sz="4" w:space="0" w:color="auto"/>
            </w:tcBorders>
            <w:noWrap/>
            <w:textDirection w:val="lrTb"/>
            <w:vAlign w:val="center"/>
          </w:tcPr>
          <w:p w:rsidR="006757B6" w:rsidRPr="00CB6753" w:rsidP="00603051">
            <w:pPr>
              <w:bidi w:val="0"/>
              <w:spacing w:after="0" w:line="240" w:lineRule="auto"/>
              <w:jc w:val="right"/>
              <w:rPr>
                <w:rFonts w:ascii="Times New Roman" w:hAnsi="Times New Roman"/>
                <w:b/>
                <w:bCs/>
                <w:iCs/>
              </w:rPr>
            </w:pPr>
            <w:r>
              <w:rPr>
                <w:rFonts w:ascii="Times New Roman" w:hAnsi="Times New Roman"/>
                <w:b/>
                <w:bCs/>
                <w:iCs/>
              </w:rPr>
              <w:t>0</w:t>
            </w:r>
          </w:p>
        </w:tc>
        <w:tc>
          <w:tcPr>
            <w:tcW w:w="1005" w:type="dxa"/>
            <w:tcBorders>
              <w:top w:val="single" w:sz="4" w:space="0" w:color="auto"/>
              <w:left w:val="single" w:sz="4" w:space="0" w:color="auto"/>
              <w:bottom w:val="single" w:sz="4" w:space="0" w:color="auto"/>
              <w:right w:val="single" w:sz="4" w:space="0" w:color="auto"/>
            </w:tcBorders>
            <w:noWrap/>
            <w:textDirection w:val="lrTb"/>
            <w:vAlign w:val="center"/>
          </w:tcPr>
          <w:p w:rsidR="006757B6" w:rsidRPr="00CB6753" w:rsidP="00603051">
            <w:pPr>
              <w:bidi w:val="0"/>
              <w:spacing w:after="0" w:line="240" w:lineRule="auto"/>
              <w:jc w:val="right"/>
              <w:rPr>
                <w:rFonts w:ascii="Times New Roman" w:hAnsi="Times New Roman"/>
                <w:b/>
                <w:bCs/>
                <w:iCs/>
              </w:rPr>
            </w:pPr>
            <w:r w:rsidRPr="00CB6753">
              <w:rPr>
                <w:rFonts w:ascii="Times New Roman" w:hAnsi="Times New Roman"/>
                <w:b/>
              </w:rPr>
              <w:t>-</w:t>
            </w:r>
            <w:r>
              <w:rPr>
                <w:rFonts w:ascii="Times New Roman" w:hAnsi="Times New Roman"/>
                <w:b/>
              </w:rPr>
              <w:t>454 624</w:t>
            </w:r>
          </w:p>
        </w:tc>
        <w:tc>
          <w:tcPr>
            <w:tcW w:w="1006" w:type="dxa"/>
            <w:tcBorders>
              <w:top w:val="single" w:sz="4" w:space="0" w:color="auto"/>
              <w:left w:val="single" w:sz="4" w:space="0" w:color="auto"/>
              <w:bottom w:val="single" w:sz="4" w:space="0" w:color="auto"/>
              <w:right w:val="single" w:sz="4" w:space="0" w:color="auto"/>
            </w:tcBorders>
            <w:textDirection w:val="lrTb"/>
            <w:vAlign w:val="top"/>
          </w:tcPr>
          <w:p w:rsidR="006757B6" w:rsidRPr="00CB6753" w:rsidP="00603051">
            <w:pPr>
              <w:bidi w:val="0"/>
              <w:spacing w:after="0" w:line="240" w:lineRule="auto"/>
              <w:jc w:val="right"/>
              <w:rPr>
                <w:rFonts w:ascii="Times New Roman" w:hAnsi="Times New Roman"/>
                <w:b/>
              </w:rPr>
            </w:pPr>
            <w:r>
              <w:rPr>
                <w:rFonts w:ascii="Times New Roman" w:hAnsi="Times New Roman"/>
                <w:b/>
              </w:rPr>
              <w:t>-23 426</w:t>
            </w:r>
          </w:p>
        </w:tc>
      </w:tr>
      <w:tr>
        <w:tblPrEx>
          <w:tblW w:w="9688" w:type="dxa"/>
          <w:jc w:val="center"/>
          <w:tblInd w:w="-479" w:type="dxa"/>
          <w:tblLayout w:type="fixed"/>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6757B6" w:rsidRPr="00CB6753" w:rsidP="00603051">
            <w:pPr>
              <w:bidi w:val="0"/>
              <w:spacing w:after="0" w:line="240" w:lineRule="auto"/>
              <w:rPr>
                <w:rFonts w:ascii="Times New Roman" w:hAnsi="Times New Roman"/>
                <w:b/>
                <w:bCs/>
                <w:i/>
                <w:iCs/>
              </w:rPr>
            </w:pPr>
            <w:r w:rsidRPr="00CB6753">
              <w:rPr>
                <w:rFonts w:ascii="Times New Roman" w:hAnsi="Times New Roman"/>
                <w:b/>
                <w:bCs/>
                <w:i/>
                <w:iCs/>
              </w:rPr>
              <w:t>- vplyv na územnú samosprávu</w:t>
            </w:r>
          </w:p>
        </w:tc>
        <w:tc>
          <w:tcPr>
            <w:tcW w:w="1005" w:type="dxa"/>
            <w:gridSpan w:val="2"/>
            <w:tcBorders>
              <w:top w:val="single" w:sz="4" w:space="0" w:color="auto"/>
              <w:left w:val="single" w:sz="4" w:space="0" w:color="auto"/>
              <w:bottom w:val="single" w:sz="4" w:space="0" w:color="auto"/>
              <w:right w:val="single" w:sz="4" w:space="0" w:color="auto"/>
            </w:tcBorders>
            <w:textDirection w:val="lrTb"/>
            <w:vAlign w:val="top"/>
          </w:tcPr>
          <w:p w:rsidR="006757B6" w:rsidRPr="00CB6753" w:rsidP="00603051">
            <w:pPr>
              <w:bidi w:val="0"/>
              <w:spacing w:after="0" w:line="240" w:lineRule="auto"/>
              <w:jc w:val="right"/>
              <w:rPr>
                <w:rFonts w:ascii="Times New Roman" w:hAnsi="Times New Roman"/>
                <w:b/>
                <w:bCs/>
                <w:iCs/>
              </w:rPr>
            </w:pPr>
            <w:r w:rsidRPr="00CB6753">
              <w:rPr>
                <w:rFonts w:ascii="Times New Roman" w:hAnsi="Times New Roman"/>
                <w:b/>
                <w:bCs/>
                <w:iCs/>
              </w:rPr>
              <w:t>0</w:t>
            </w:r>
          </w:p>
        </w:tc>
        <w:tc>
          <w:tcPr>
            <w:tcW w:w="1005" w:type="dxa"/>
            <w:gridSpan w:val="2"/>
            <w:tcBorders>
              <w:top w:val="single" w:sz="4" w:space="0" w:color="auto"/>
              <w:left w:val="single" w:sz="4" w:space="0" w:color="auto"/>
              <w:bottom w:val="single" w:sz="4" w:space="0" w:color="auto"/>
              <w:right w:val="single" w:sz="4" w:space="0" w:color="auto"/>
            </w:tcBorders>
            <w:noWrap/>
            <w:textDirection w:val="lrTb"/>
            <w:vAlign w:val="center"/>
          </w:tcPr>
          <w:p w:rsidR="006757B6" w:rsidRPr="00CB6753" w:rsidP="00603051">
            <w:pPr>
              <w:bidi w:val="0"/>
              <w:spacing w:after="0" w:line="240" w:lineRule="auto"/>
              <w:jc w:val="right"/>
              <w:rPr>
                <w:rFonts w:ascii="Times New Roman" w:hAnsi="Times New Roman"/>
                <w:b/>
                <w:bCs/>
                <w:iCs/>
              </w:rPr>
            </w:pPr>
            <w:r w:rsidRPr="00CB6753">
              <w:rPr>
                <w:rFonts w:ascii="Times New Roman" w:hAnsi="Times New Roman"/>
                <w:b/>
                <w:bCs/>
                <w:iCs/>
              </w:rPr>
              <w:t>0</w:t>
            </w:r>
          </w:p>
        </w:tc>
        <w:tc>
          <w:tcPr>
            <w:tcW w:w="1006" w:type="dxa"/>
            <w:tcBorders>
              <w:top w:val="single" w:sz="4" w:space="0" w:color="auto"/>
              <w:left w:val="single" w:sz="4" w:space="0" w:color="auto"/>
              <w:bottom w:val="single" w:sz="4" w:space="0" w:color="auto"/>
              <w:right w:val="single" w:sz="4" w:space="0" w:color="auto"/>
            </w:tcBorders>
            <w:noWrap/>
            <w:textDirection w:val="lrTb"/>
            <w:vAlign w:val="center"/>
          </w:tcPr>
          <w:p w:rsidR="006757B6" w:rsidRPr="00CB6753" w:rsidP="00603051">
            <w:pPr>
              <w:bidi w:val="0"/>
              <w:spacing w:after="0" w:line="240" w:lineRule="auto"/>
              <w:jc w:val="right"/>
              <w:rPr>
                <w:rFonts w:ascii="Times New Roman" w:hAnsi="Times New Roman"/>
                <w:b/>
                <w:bCs/>
                <w:iCs/>
              </w:rPr>
            </w:pPr>
            <w:r w:rsidRPr="00CB6753">
              <w:rPr>
                <w:rFonts w:ascii="Times New Roman" w:hAnsi="Times New Roman"/>
                <w:b/>
                <w:bCs/>
                <w:iCs/>
              </w:rPr>
              <w:t>0</w:t>
            </w:r>
          </w:p>
        </w:tc>
        <w:tc>
          <w:tcPr>
            <w:tcW w:w="1005" w:type="dxa"/>
            <w:tcBorders>
              <w:top w:val="single" w:sz="4" w:space="0" w:color="auto"/>
              <w:left w:val="single" w:sz="4" w:space="0" w:color="auto"/>
              <w:bottom w:val="single" w:sz="4" w:space="0" w:color="auto"/>
              <w:right w:val="single" w:sz="4" w:space="0" w:color="auto"/>
            </w:tcBorders>
            <w:noWrap/>
            <w:textDirection w:val="lrTb"/>
            <w:vAlign w:val="center"/>
          </w:tcPr>
          <w:p w:rsidR="006757B6" w:rsidRPr="00CB6753" w:rsidP="00603051">
            <w:pPr>
              <w:bidi w:val="0"/>
              <w:spacing w:after="0" w:line="240" w:lineRule="auto"/>
              <w:jc w:val="right"/>
              <w:rPr>
                <w:rFonts w:ascii="Times New Roman" w:hAnsi="Times New Roman"/>
                <w:b/>
                <w:bCs/>
                <w:iCs/>
              </w:rPr>
            </w:pPr>
            <w:r w:rsidRPr="00CB6753">
              <w:rPr>
                <w:rFonts w:ascii="Times New Roman" w:hAnsi="Times New Roman"/>
                <w:b/>
                <w:bCs/>
                <w:iCs/>
              </w:rPr>
              <w:t>0</w:t>
            </w:r>
          </w:p>
        </w:tc>
        <w:tc>
          <w:tcPr>
            <w:tcW w:w="1006" w:type="dxa"/>
            <w:tcBorders>
              <w:top w:val="single" w:sz="4" w:space="0" w:color="auto"/>
              <w:left w:val="single" w:sz="4" w:space="0" w:color="auto"/>
              <w:bottom w:val="single" w:sz="4" w:space="0" w:color="auto"/>
              <w:right w:val="single" w:sz="4" w:space="0" w:color="auto"/>
            </w:tcBorders>
            <w:textDirection w:val="lrTb"/>
            <w:vAlign w:val="top"/>
          </w:tcPr>
          <w:p w:rsidR="006757B6" w:rsidRPr="00CB6753" w:rsidP="00603051">
            <w:pPr>
              <w:bidi w:val="0"/>
              <w:spacing w:after="0" w:line="240" w:lineRule="auto"/>
              <w:jc w:val="right"/>
              <w:rPr>
                <w:rFonts w:ascii="Times New Roman" w:hAnsi="Times New Roman"/>
                <w:b/>
                <w:bCs/>
                <w:iCs/>
              </w:rPr>
            </w:pPr>
            <w:r>
              <w:rPr>
                <w:rFonts w:ascii="Times New Roman" w:hAnsi="Times New Roman"/>
                <w:b/>
                <w:bCs/>
                <w:iCs/>
              </w:rPr>
              <w:t>0</w:t>
            </w:r>
          </w:p>
        </w:tc>
      </w:tr>
      <w:tr>
        <w:tblPrEx>
          <w:tblW w:w="9688" w:type="dxa"/>
          <w:jc w:val="center"/>
          <w:tblInd w:w="-479" w:type="dxa"/>
          <w:tblLayout w:type="fixed"/>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6757B6" w:rsidRPr="00CB6753" w:rsidP="00603051">
            <w:pPr>
              <w:bidi w:val="0"/>
              <w:spacing w:after="0" w:line="240" w:lineRule="auto"/>
              <w:rPr>
                <w:rFonts w:ascii="Times New Roman" w:hAnsi="Times New Roman"/>
                <w:b/>
                <w:bCs/>
              </w:rPr>
            </w:pPr>
            <w:r w:rsidRPr="00CB6753">
              <w:rPr>
                <w:rFonts w:ascii="Times New Roman" w:hAnsi="Times New Roman"/>
                <w:b/>
                <w:bCs/>
              </w:rPr>
              <w:t>Výdavky verejnej správy celkom</w:t>
            </w:r>
          </w:p>
        </w:tc>
        <w:tc>
          <w:tcPr>
            <w:tcW w:w="1005" w:type="dxa"/>
            <w:gridSpan w:val="2"/>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6757B6" w:rsidRPr="00CB6753" w:rsidP="00603051">
            <w:pPr>
              <w:bidi w:val="0"/>
              <w:spacing w:after="0" w:line="240" w:lineRule="auto"/>
              <w:jc w:val="right"/>
              <w:rPr>
                <w:rFonts w:ascii="Times New Roman" w:hAnsi="Times New Roman"/>
                <w:b/>
                <w:bCs/>
              </w:rPr>
            </w:pPr>
            <w:r w:rsidRPr="00CB6753">
              <w:rPr>
                <w:rFonts w:ascii="Times New Roman" w:hAnsi="Times New Roman"/>
                <w:b/>
                <w:bCs/>
              </w:rPr>
              <w:t>0</w:t>
            </w:r>
          </w:p>
        </w:tc>
        <w:tc>
          <w:tcPr>
            <w:tcW w:w="1005" w:type="dxa"/>
            <w:gridSpan w:val="2"/>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6757B6" w:rsidRPr="00CB6753" w:rsidP="00603051">
            <w:pPr>
              <w:bidi w:val="0"/>
              <w:spacing w:after="0" w:line="240" w:lineRule="auto"/>
              <w:jc w:val="right"/>
              <w:rPr>
                <w:rFonts w:ascii="Times New Roman" w:hAnsi="Times New Roman"/>
                <w:b/>
                <w:bCs/>
              </w:rPr>
            </w:pPr>
            <w:r>
              <w:rPr>
                <w:rFonts w:ascii="Times New Roman" w:hAnsi="Times New Roman"/>
                <w:b/>
                <w:bCs/>
              </w:rPr>
              <w:t>0</w:t>
            </w:r>
          </w:p>
        </w:tc>
        <w:tc>
          <w:tcPr>
            <w:tcW w:w="1006"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6757B6" w:rsidRPr="00CB6753" w:rsidP="00603051">
            <w:pPr>
              <w:bidi w:val="0"/>
              <w:spacing w:after="0" w:line="240" w:lineRule="auto"/>
              <w:jc w:val="right"/>
              <w:rPr>
                <w:rFonts w:ascii="Times New Roman" w:hAnsi="Times New Roman"/>
                <w:b/>
                <w:bCs/>
              </w:rPr>
            </w:pPr>
            <w:r>
              <w:rPr>
                <w:rFonts w:ascii="Times New Roman" w:hAnsi="Times New Roman"/>
                <w:b/>
                <w:bCs/>
              </w:rPr>
              <w:t>0</w:t>
            </w:r>
          </w:p>
        </w:tc>
        <w:tc>
          <w:tcPr>
            <w:tcW w:w="1005"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6757B6" w:rsidRPr="00CB6753" w:rsidP="00603051">
            <w:pPr>
              <w:bidi w:val="0"/>
              <w:spacing w:after="0" w:line="240" w:lineRule="auto"/>
              <w:jc w:val="right"/>
              <w:rPr>
                <w:rFonts w:ascii="Times New Roman" w:hAnsi="Times New Roman"/>
                <w:b/>
                <w:bCs/>
              </w:rPr>
            </w:pPr>
            <w:r>
              <w:rPr>
                <w:rFonts w:ascii="Times New Roman" w:hAnsi="Times New Roman"/>
                <w:b/>
              </w:rPr>
              <w:t>17 001</w:t>
            </w:r>
            <w:r w:rsidRPr="00CB6753">
              <w:rPr>
                <w:rFonts w:ascii="Times New Roman" w:hAnsi="Times New Roman"/>
                <w:b/>
                <w:bCs/>
              </w:rPr>
              <w:t xml:space="preserve">   </w:t>
            </w:r>
          </w:p>
        </w:tc>
        <w:tc>
          <w:tcPr>
            <w:tcW w:w="1006"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6757B6" w:rsidRPr="00CB6753" w:rsidP="00603051">
            <w:pPr>
              <w:bidi w:val="0"/>
              <w:spacing w:after="0" w:line="240" w:lineRule="auto"/>
              <w:jc w:val="right"/>
              <w:rPr>
                <w:rFonts w:ascii="Times New Roman" w:hAnsi="Times New Roman"/>
                <w:b/>
                <w:bCs/>
              </w:rPr>
            </w:pPr>
            <w:r>
              <w:rPr>
                <w:rFonts w:ascii="Times New Roman" w:hAnsi="Times New Roman"/>
                <w:b/>
                <w:bCs/>
              </w:rPr>
              <w:t>17 895</w:t>
            </w:r>
          </w:p>
        </w:tc>
      </w:tr>
      <w:tr>
        <w:tblPrEx>
          <w:tblW w:w="9688" w:type="dxa"/>
          <w:jc w:val="center"/>
          <w:tblInd w:w="-479" w:type="dxa"/>
          <w:tblLayout w:type="fixed"/>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6757B6" w:rsidRPr="00CB6753" w:rsidP="00603051">
            <w:pPr>
              <w:bidi w:val="0"/>
              <w:spacing w:after="0" w:line="240" w:lineRule="auto"/>
              <w:rPr>
                <w:rFonts w:ascii="Times New Roman" w:hAnsi="Times New Roman"/>
              </w:rPr>
            </w:pPr>
            <w:r w:rsidRPr="00CB6753">
              <w:rPr>
                <w:rFonts w:ascii="Times New Roman" w:hAnsi="Times New Roman"/>
              </w:rPr>
              <w:t>v tom: za každý subjekt verejnej správy / program zvlášť</w:t>
            </w:r>
          </w:p>
          <w:p w:rsidR="006757B6" w:rsidRPr="00CB6753" w:rsidP="00603051">
            <w:pPr>
              <w:bidi w:val="0"/>
              <w:spacing w:after="0" w:line="240" w:lineRule="auto"/>
              <w:rPr>
                <w:rFonts w:ascii="Times New Roman" w:hAnsi="Times New Roman"/>
              </w:rPr>
            </w:pPr>
            <w:r w:rsidRPr="00CB6753">
              <w:rPr>
                <w:rFonts w:ascii="Times New Roman" w:hAnsi="Times New Roman"/>
              </w:rPr>
              <w:t>VPS / program 08H</w:t>
            </w:r>
          </w:p>
        </w:tc>
        <w:tc>
          <w:tcPr>
            <w:tcW w:w="1005" w:type="dxa"/>
            <w:gridSpan w:val="2"/>
            <w:tcBorders>
              <w:top w:val="single" w:sz="4" w:space="0" w:color="auto"/>
              <w:left w:val="single" w:sz="4" w:space="0" w:color="auto"/>
              <w:bottom w:val="single" w:sz="4" w:space="0" w:color="auto"/>
              <w:right w:val="single" w:sz="4" w:space="0" w:color="auto"/>
            </w:tcBorders>
            <w:textDirection w:val="lrTb"/>
            <w:vAlign w:val="top"/>
          </w:tcPr>
          <w:p w:rsidR="006757B6" w:rsidRPr="00CB6753" w:rsidP="00603051">
            <w:pPr>
              <w:bidi w:val="0"/>
              <w:spacing w:after="0" w:line="240" w:lineRule="auto"/>
              <w:jc w:val="right"/>
              <w:rPr>
                <w:rFonts w:ascii="Times New Roman" w:hAnsi="Times New Roman"/>
              </w:rPr>
            </w:pPr>
          </w:p>
          <w:p w:rsidR="006757B6" w:rsidP="00603051">
            <w:pPr>
              <w:bidi w:val="0"/>
              <w:spacing w:after="0" w:line="240" w:lineRule="auto"/>
              <w:jc w:val="right"/>
              <w:rPr>
                <w:rFonts w:ascii="Times New Roman" w:hAnsi="Times New Roman"/>
              </w:rPr>
            </w:pPr>
          </w:p>
          <w:p w:rsidR="006757B6" w:rsidRPr="00CB6753" w:rsidP="00603051">
            <w:pPr>
              <w:bidi w:val="0"/>
              <w:spacing w:after="0" w:line="240" w:lineRule="auto"/>
              <w:jc w:val="right"/>
              <w:rPr>
                <w:rFonts w:ascii="Times New Roman" w:hAnsi="Times New Roman"/>
              </w:rPr>
            </w:pPr>
            <w:r w:rsidRPr="00CB6753">
              <w:rPr>
                <w:rFonts w:ascii="Times New Roman" w:hAnsi="Times New Roman"/>
              </w:rPr>
              <w:t>0</w:t>
            </w:r>
          </w:p>
        </w:tc>
        <w:tc>
          <w:tcPr>
            <w:tcW w:w="1005" w:type="dxa"/>
            <w:gridSpan w:val="2"/>
            <w:tcBorders>
              <w:top w:val="single" w:sz="4" w:space="0" w:color="auto"/>
              <w:left w:val="single" w:sz="4" w:space="0" w:color="auto"/>
              <w:bottom w:val="single" w:sz="4" w:space="0" w:color="auto"/>
              <w:right w:val="single" w:sz="4" w:space="0" w:color="auto"/>
            </w:tcBorders>
            <w:noWrap/>
            <w:textDirection w:val="lrTb"/>
            <w:vAlign w:val="center"/>
          </w:tcPr>
          <w:p w:rsidR="006757B6" w:rsidRPr="00CB6753" w:rsidP="00603051">
            <w:pPr>
              <w:bidi w:val="0"/>
              <w:spacing w:after="0" w:line="240" w:lineRule="auto"/>
              <w:jc w:val="right"/>
              <w:rPr>
                <w:rFonts w:ascii="Times New Roman" w:hAnsi="Times New Roman"/>
                <w:bCs/>
              </w:rPr>
            </w:pPr>
          </w:p>
          <w:p w:rsidR="006757B6" w:rsidP="00603051">
            <w:pPr>
              <w:bidi w:val="0"/>
              <w:spacing w:after="0" w:line="240" w:lineRule="auto"/>
              <w:jc w:val="right"/>
              <w:rPr>
                <w:rFonts w:ascii="Times New Roman" w:hAnsi="Times New Roman"/>
                <w:bCs/>
              </w:rPr>
            </w:pPr>
          </w:p>
          <w:p w:rsidR="006757B6" w:rsidRPr="00CB6753" w:rsidP="00603051">
            <w:pPr>
              <w:bidi w:val="0"/>
              <w:spacing w:after="0" w:line="240" w:lineRule="auto"/>
              <w:jc w:val="right"/>
              <w:rPr>
                <w:rFonts w:ascii="Times New Roman" w:hAnsi="Times New Roman"/>
                <w:bCs/>
              </w:rPr>
            </w:pPr>
            <w:r>
              <w:rPr>
                <w:rFonts w:ascii="Times New Roman" w:hAnsi="Times New Roman"/>
                <w:bCs/>
              </w:rPr>
              <w:t>0</w:t>
            </w:r>
          </w:p>
        </w:tc>
        <w:tc>
          <w:tcPr>
            <w:tcW w:w="1006" w:type="dxa"/>
            <w:tcBorders>
              <w:top w:val="single" w:sz="4" w:space="0" w:color="auto"/>
              <w:left w:val="single" w:sz="4" w:space="0" w:color="auto"/>
              <w:bottom w:val="single" w:sz="4" w:space="0" w:color="auto"/>
              <w:right w:val="single" w:sz="4" w:space="0" w:color="auto"/>
            </w:tcBorders>
            <w:noWrap/>
            <w:textDirection w:val="lrTb"/>
            <w:vAlign w:val="center"/>
          </w:tcPr>
          <w:p w:rsidR="006757B6" w:rsidRPr="00CB6753" w:rsidP="00603051">
            <w:pPr>
              <w:bidi w:val="0"/>
              <w:spacing w:after="0" w:line="240" w:lineRule="auto"/>
              <w:jc w:val="right"/>
              <w:rPr>
                <w:rFonts w:ascii="Times New Roman" w:hAnsi="Times New Roman"/>
                <w:bCs/>
              </w:rPr>
            </w:pPr>
          </w:p>
          <w:p w:rsidR="006757B6" w:rsidP="00603051">
            <w:pPr>
              <w:bidi w:val="0"/>
              <w:spacing w:after="0" w:line="240" w:lineRule="auto"/>
              <w:jc w:val="right"/>
              <w:rPr>
                <w:rFonts w:ascii="Times New Roman" w:hAnsi="Times New Roman"/>
                <w:bCs/>
              </w:rPr>
            </w:pPr>
          </w:p>
          <w:p w:rsidR="006757B6" w:rsidRPr="00CB6753" w:rsidP="00603051">
            <w:pPr>
              <w:bidi w:val="0"/>
              <w:spacing w:after="0" w:line="240" w:lineRule="auto"/>
              <w:jc w:val="right"/>
              <w:rPr>
                <w:rFonts w:ascii="Times New Roman" w:hAnsi="Times New Roman"/>
                <w:bCs/>
              </w:rPr>
            </w:pPr>
            <w:r>
              <w:rPr>
                <w:rFonts w:ascii="Times New Roman" w:hAnsi="Times New Roman"/>
                <w:bCs/>
              </w:rPr>
              <w:t>0</w:t>
            </w:r>
          </w:p>
        </w:tc>
        <w:tc>
          <w:tcPr>
            <w:tcW w:w="1005" w:type="dxa"/>
            <w:tcBorders>
              <w:top w:val="single" w:sz="4" w:space="0" w:color="auto"/>
              <w:left w:val="single" w:sz="4" w:space="0" w:color="auto"/>
              <w:bottom w:val="single" w:sz="4" w:space="0" w:color="auto"/>
              <w:right w:val="single" w:sz="4" w:space="0" w:color="auto"/>
            </w:tcBorders>
            <w:noWrap/>
            <w:textDirection w:val="lrTb"/>
            <w:vAlign w:val="center"/>
          </w:tcPr>
          <w:p w:rsidR="006757B6" w:rsidRPr="00CB6753" w:rsidP="00603051">
            <w:pPr>
              <w:bidi w:val="0"/>
              <w:spacing w:after="0" w:line="240" w:lineRule="auto"/>
              <w:jc w:val="right"/>
              <w:rPr>
                <w:rFonts w:ascii="Times New Roman" w:hAnsi="Times New Roman"/>
                <w:bCs/>
              </w:rPr>
            </w:pPr>
          </w:p>
          <w:p w:rsidR="006757B6" w:rsidP="00603051">
            <w:pPr>
              <w:bidi w:val="0"/>
              <w:spacing w:after="0" w:line="240" w:lineRule="auto"/>
              <w:jc w:val="right"/>
              <w:rPr>
                <w:rFonts w:ascii="Times New Roman" w:hAnsi="Times New Roman"/>
                <w:bCs/>
              </w:rPr>
            </w:pPr>
          </w:p>
          <w:p w:rsidR="006757B6" w:rsidRPr="00CB6753" w:rsidP="00603051">
            <w:pPr>
              <w:bidi w:val="0"/>
              <w:spacing w:after="0" w:line="240" w:lineRule="auto"/>
              <w:jc w:val="right"/>
              <w:rPr>
                <w:rFonts w:ascii="Times New Roman" w:hAnsi="Times New Roman"/>
                <w:bCs/>
              </w:rPr>
            </w:pPr>
            <w:r w:rsidRPr="00CB6753">
              <w:rPr>
                <w:rFonts w:ascii="Times New Roman" w:hAnsi="Times New Roman"/>
                <w:b/>
                <w:bCs/>
              </w:rPr>
              <w:t>1</w:t>
            </w:r>
            <w:r>
              <w:rPr>
                <w:rFonts w:ascii="Times New Roman" w:hAnsi="Times New Roman"/>
                <w:b/>
                <w:bCs/>
              </w:rPr>
              <w:t>7</w:t>
            </w:r>
            <w:r w:rsidRPr="00CB6753">
              <w:rPr>
                <w:rFonts w:ascii="Times New Roman" w:hAnsi="Times New Roman"/>
                <w:b/>
                <w:bCs/>
              </w:rPr>
              <w:t xml:space="preserve"> </w:t>
            </w:r>
            <w:r>
              <w:rPr>
                <w:rFonts w:ascii="Times New Roman" w:hAnsi="Times New Roman"/>
                <w:b/>
                <w:bCs/>
              </w:rPr>
              <w:t>001</w:t>
            </w:r>
            <w:r w:rsidRPr="00CB6753">
              <w:rPr>
                <w:rFonts w:ascii="Times New Roman" w:hAnsi="Times New Roman"/>
                <w:b/>
                <w:bCs/>
              </w:rPr>
              <w:t xml:space="preserve">   </w:t>
            </w:r>
          </w:p>
        </w:tc>
        <w:tc>
          <w:tcPr>
            <w:tcW w:w="1006" w:type="dxa"/>
            <w:tcBorders>
              <w:top w:val="single" w:sz="4" w:space="0" w:color="auto"/>
              <w:left w:val="single" w:sz="4" w:space="0" w:color="auto"/>
              <w:bottom w:val="single" w:sz="4" w:space="0" w:color="auto"/>
              <w:right w:val="single" w:sz="4" w:space="0" w:color="auto"/>
            </w:tcBorders>
            <w:textDirection w:val="lrTb"/>
            <w:vAlign w:val="top"/>
          </w:tcPr>
          <w:p w:rsidR="006757B6" w:rsidP="00603051">
            <w:pPr>
              <w:bidi w:val="0"/>
              <w:spacing w:after="0" w:line="240" w:lineRule="auto"/>
              <w:jc w:val="right"/>
              <w:rPr>
                <w:rFonts w:ascii="Times New Roman" w:hAnsi="Times New Roman"/>
                <w:bCs/>
              </w:rPr>
            </w:pPr>
          </w:p>
          <w:p w:rsidR="006757B6" w:rsidP="00603051">
            <w:pPr>
              <w:bidi w:val="0"/>
              <w:spacing w:after="0" w:line="240" w:lineRule="auto"/>
              <w:jc w:val="right"/>
              <w:rPr>
                <w:rFonts w:ascii="Times New Roman" w:hAnsi="Times New Roman"/>
                <w:bCs/>
              </w:rPr>
            </w:pPr>
          </w:p>
          <w:p w:rsidR="006757B6" w:rsidRPr="00CB6753" w:rsidP="00603051">
            <w:pPr>
              <w:bidi w:val="0"/>
              <w:spacing w:after="0" w:line="240" w:lineRule="auto"/>
              <w:jc w:val="right"/>
              <w:rPr>
                <w:rFonts w:ascii="Times New Roman" w:hAnsi="Times New Roman"/>
                <w:bCs/>
              </w:rPr>
            </w:pPr>
            <w:r>
              <w:rPr>
                <w:rFonts w:ascii="Times New Roman" w:hAnsi="Times New Roman"/>
                <w:b/>
                <w:bCs/>
              </w:rPr>
              <w:t>17 895</w:t>
            </w:r>
          </w:p>
        </w:tc>
      </w:tr>
      <w:tr>
        <w:tblPrEx>
          <w:tblW w:w="9688" w:type="dxa"/>
          <w:jc w:val="center"/>
          <w:tblInd w:w="-479" w:type="dxa"/>
          <w:tblLayout w:type="fixed"/>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6757B6" w:rsidRPr="00CB6753" w:rsidP="00603051">
            <w:pPr>
              <w:bidi w:val="0"/>
              <w:spacing w:after="0" w:line="240" w:lineRule="auto"/>
              <w:rPr>
                <w:rFonts w:ascii="Times New Roman" w:hAnsi="Times New Roman"/>
                <w:b/>
                <w:bCs/>
                <w:i/>
                <w:iCs/>
              </w:rPr>
            </w:pPr>
            <w:r w:rsidRPr="00CB6753">
              <w:rPr>
                <w:rFonts w:ascii="Times New Roman" w:hAnsi="Times New Roman"/>
                <w:b/>
                <w:bCs/>
                <w:i/>
                <w:iCs/>
              </w:rPr>
              <w:t xml:space="preserve">z toho: </w:t>
            </w:r>
          </w:p>
        </w:tc>
        <w:tc>
          <w:tcPr>
            <w:tcW w:w="1005" w:type="dxa"/>
            <w:gridSpan w:val="2"/>
            <w:tcBorders>
              <w:top w:val="single" w:sz="4" w:space="0" w:color="auto"/>
              <w:left w:val="single" w:sz="4" w:space="0" w:color="auto"/>
              <w:bottom w:val="single" w:sz="4" w:space="0" w:color="auto"/>
              <w:right w:val="single" w:sz="4" w:space="0" w:color="auto"/>
            </w:tcBorders>
            <w:textDirection w:val="lrTb"/>
            <w:vAlign w:val="top"/>
          </w:tcPr>
          <w:p w:rsidR="006757B6" w:rsidRPr="00CB6753" w:rsidP="00603051">
            <w:pPr>
              <w:bidi w:val="0"/>
              <w:spacing w:after="0" w:line="240" w:lineRule="auto"/>
              <w:jc w:val="right"/>
              <w:rPr>
                <w:rFonts w:ascii="Times New Roman" w:hAnsi="Times New Roman"/>
                <w:b/>
                <w:bCs/>
                <w:iCs/>
              </w:rPr>
            </w:pPr>
          </w:p>
        </w:tc>
        <w:tc>
          <w:tcPr>
            <w:tcW w:w="1005" w:type="dxa"/>
            <w:gridSpan w:val="2"/>
            <w:tcBorders>
              <w:top w:val="single" w:sz="4" w:space="0" w:color="auto"/>
              <w:left w:val="single" w:sz="4" w:space="0" w:color="auto"/>
              <w:bottom w:val="single" w:sz="4" w:space="0" w:color="auto"/>
              <w:right w:val="single" w:sz="4" w:space="0" w:color="auto"/>
            </w:tcBorders>
            <w:noWrap/>
            <w:textDirection w:val="lrTb"/>
            <w:vAlign w:val="center"/>
          </w:tcPr>
          <w:p w:rsidR="006757B6" w:rsidRPr="00CB6753" w:rsidP="00603051">
            <w:pPr>
              <w:bidi w:val="0"/>
              <w:spacing w:after="0" w:line="240" w:lineRule="auto"/>
              <w:jc w:val="right"/>
              <w:rPr>
                <w:rFonts w:ascii="Times New Roman" w:hAnsi="Times New Roman"/>
                <w:b/>
                <w:bCs/>
                <w:iCs/>
              </w:rPr>
            </w:pPr>
          </w:p>
        </w:tc>
        <w:tc>
          <w:tcPr>
            <w:tcW w:w="1006" w:type="dxa"/>
            <w:tcBorders>
              <w:top w:val="single" w:sz="4" w:space="0" w:color="auto"/>
              <w:left w:val="single" w:sz="4" w:space="0" w:color="auto"/>
              <w:bottom w:val="single" w:sz="4" w:space="0" w:color="auto"/>
              <w:right w:val="single" w:sz="4" w:space="0" w:color="auto"/>
            </w:tcBorders>
            <w:noWrap/>
            <w:textDirection w:val="lrTb"/>
            <w:vAlign w:val="center"/>
          </w:tcPr>
          <w:p w:rsidR="006757B6" w:rsidRPr="00CB6753" w:rsidP="00603051">
            <w:pPr>
              <w:bidi w:val="0"/>
              <w:spacing w:after="0" w:line="240" w:lineRule="auto"/>
              <w:jc w:val="right"/>
              <w:rPr>
                <w:rFonts w:ascii="Times New Roman" w:hAnsi="Times New Roman"/>
                <w:b/>
                <w:bCs/>
                <w:iCs/>
              </w:rPr>
            </w:pPr>
          </w:p>
        </w:tc>
        <w:tc>
          <w:tcPr>
            <w:tcW w:w="1005" w:type="dxa"/>
            <w:tcBorders>
              <w:top w:val="single" w:sz="4" w:space="0" w:color="auto"/>
              <w:left w:val="single" w:sz="4" w:space="0" w:color="auto"/>
              <w:bottom w:val="single" w:sz="4" w:space="0" w:color="auto"/>
              <w:right w:val="single" w:sz="4" w:space="0" w:color="auto"/>
            </w:tcBorders>
            <w:noWrap/>
            <w:textDirection w:val="lrTb"/>
            <w:vAlign w:val="center"/>
          </w:tcPr>
          <w:p w:rsidR="006757B6" w:rsidRPr="00CB6753" w:rsidP="00603051">
            <w:pPr>
              <w:bidi w:val="0"/>
              <w:spacing w:after="0" w:line="240" w:lineRule="auto"/>
              <w:jc w:val="right"/>
              <w:rPr>
                <w:rFonts w:ascii="Times New Roman" w:hAnsi="Times New Roman"/>
                <w:b/>
                <w:bCs/>
                <w:iCs/>
              </w:rPr>
            </w:pPr>
          </w:p>
        </w:tc>
        <w:tc>
          <w:tcPr>
            <w:tcW w:w="1006" w:type="dxa"/>
            <w:tcBorders>
              <w:top w:val="single" w:sz="4" w:space="0" w:color="auto"/>
              <w:left w:val="single" w:sz="4" w:space="0" w:color="auto"/>
              <w:bottom w:val="single" w:sz="4" w:space="0" w:color="auto"/>
              <w:right w:val="single" w:sz="4" w:space="0" w:color="auto"/>
            </w:tcBorders>
            <w:textDirection w:val="lrTb"/>
            <w:vAlign w:val="top"/>
          </w:tcPr>
          <w:p w:rsidR="006757B6" w:rsidRPr="00CB6753" w:rsidP="00603051">
            <w:pPr>
              <w:bidi w:val="0"/>
              <w:spacing w:after="0" w:line="240" w:lineRule="auto"/>
              <w:jc w:val="right"/>
              <w:rPr>
                <w:rFonts w:ascii="Times New Roman" w:hAnsi="Times New Roman"/>
                <w:b/>
                <w:bCs/>
                <w:iCs/>
              </w:rPr>
            </w:pPr>
          </w:p>
        </w:tc>
      </w:tr>
      <w:tr>
        <w:tblPrEx>
          <w:tblW w:w="9688" w:type="dxa"/>
          <w:jc w:val="center"/>
          <w:tblInd w:w="-479" w:type="dxa"/>
          <w:tblLayout w:type="fixed"/>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6757B6" w:rsidRPr="00CB6753" w:rsidP="00603051">
            <w:pPr>
              <w:bidi w:val="0"/>
              <w:spacing w:after="0" w:line="240" w:lineRule="auto"/>
              <w:rPr>
                <w:rFonts w:ascii="Times New Roman" w:hAnsi="Times New Roman"/>
                <w:b/>
                <w:bCs/>
                <w:i/>
                <w:iCs/>
              </w:rPr>
            </w:pPr>
            <w:r w:rsidRPr="00CB6753">
              <w:rPr>
                <w:rFonts w:ascii="Times New Roman" w:hAnsi="Times New Roman"/>
                <w:b/>
                <w:bCs/>
                <w:i/>
                <w:iCs/>
              </w:rPr>
              <w:t>- vplyv na ŠR VPS</w:t>
            </w:r>
          </w:p>
        </w:tc>
        <w:tc>
          <w:tcPr>
            <w:tcW w:w="1005" w:type="dxa"/>
            <w:gridSpan w:val="2"/>
            <w:tcBorders>
              <w:top w:val="single" w:sz="4" w:space="0" w:color="auto"/>
              <w:left w:val="single" w:sz="4" w:space="0" w:color="auto"/>
              <w:bottom w:val="single" w:sz="4" w:space="0" w:color="auto"/>
              <w:right w:val="single" w:sz="4" w:space="0" w:color="auto"/>
            </w:tcBorders>
            <w:textDirection w:val="lrTb"/>
            <w:vAlign w:val="top"/>
          </w:tcPr>
          <w:p w:rsidR="006757B6" w:rsidRPr="00CB6753" w:rsidP="00603051">
            <w:pPr>
              <w:bidi w:val="0"/>
              <w:spacing w:after="0" w:line="240" w:lineRule="auto"/>
              <w:jc w:val="right"/>
              <w:rPr>
                <w:rFonts w:ascii="Times New Roman" w:hAnsi="Times New Roman"/>
                <w:b/>
                <w:bCs/>
              </w:rPr>
            </w:pPr>
            <w:r w:rsidRPr="00CB6753">
              <w:rPr>
                <w:rFonts w:ascii="Times New Roman" w:hAnsi="Times New Roman"/>
                <w:b/>
                <w:bCs/>
              </w:rPr>
              <w:t>0</w:t>
            </w:r>
          </w:p>
        </w:tc>
        <w:tc>
          <w:tcPr>
            <w:tcW w:w="1005" w:type="dxa"/>
            <w:gridSpan w:val="2"/>
            <w:tcBorders>
              <w:top w:val="single" w:sz="4" w:space="0" w:color="auto"/>
              <w:left w:val="single" w:sz="4" w:space="0" w:color="auto"/>
              <w:bottom w:val="single" w:sz="4" w:space="0" w:color="auto"/>
              <w:right w:val="single" w:sz="4" w:space="0" w:color="auto"/>
            </w:tcBorders>
            <w:noWrap/>
            <w:textDirection w:val="lrTb"/>
            <w:vAlign w:val="center"/>
          </w:tcPr>
          <w:p w:rsidR="006757B6" w:rsidRPr="00CB6753" w:rsidP="00603051">
            <w:pPr>
              <w:bidi w:val="0"/>
              <w:spacing w:after="0" w:line="240" w:lineRule="auto"/>
              <w:jc w:val="right"/>
              <w:rPr>
                <w:rFonts w:ascii="Times New Roman" w:hAnsi="Times New Roman"/>
                <w:b/>
                <w:bCs/>
              </w:rPr>
            </w:pPr>
            <w:r>
              <w:rPr>
                <w:rFonts w:ascii="Times New Roman" w:hAnsi="Times New Roman"/>
                <w:b/>
                <w:bCs/>
              </w:rPr>
              <w:t>0</w:t>
            </w:r>
          </w:p>
        </w:tc>
        <w:tc>
          <w:tcPr>
            <w:tcW w:w="1006" w:type="dxa"/>
            <w:tcBorders>
              <w:top w:val="single" w:sz="4" w:space="0" w:color="auto"/>
              <w:left w:val="single" w:sz="4" w:space="0" w:color="auto"/>
              <w:bottom w:val="single" w:sz="4" w:space="0" w:color="auto"/>
              <w:right w:val="single" w:sz="4" w:space="0" w:color="auto"/>
            </w:tcBorders>
            <w:noWrap/>
            <w:textDirection w:val="lrTb"/>
            <w:vAlign w:val="center"/>
          </w:tcPr>
          <w:p w:rsidR="006757B6" w:rsidRPr="00CB6753" w:rsidP="00603051">
            <w:pPr>
              <w:bidi w:val="0"/>
              <w:spacing w:after="0" w:line="240" w:lineRule="auto"/>
              <w:jc w:val="right"/>
              <w:rPr>
                <w:rFonts w:ascii="Times New Roman" w:hAnsi="Times New Roman"/>
                <w:b/>
                <w:bCs/>
              </w:rPr>
            </w:pPr>
            <w:r>
              <w:rPr>
                <w:rFonts w:ascii="Times New Roman" w:hAnsi="Times New Roman"/>
                <w:b/>
                <w:bCs/>
              </w:rPr>
              <w:t>0</w:t>
            </w:r>
          </w:p>
        </w:tc>
        <w:tc>
          <w:tcPr>
            <w:tcW w:w="1005" w:type="dxa"/>
            <w:tcBorders>
              <w:top w:val="single" w:sz="4" w:space="0" w:color="auto"/>
              <w:left w:val="single" w:sz="4" w:space="0" w:color="auto"/>
              <w:bottom w:val="single" w:sz="4" w:space="0" w:color="auto"/>
              <w:right w:val="single" w:sz="4" w:space="0" w:color="auto"/>
            </w:tcBorders>
            <w:noWrap/>
            <w:textDirection w:val="lrTb"/>
            <w:vAlign w:val="center"/>
          </w:tcPr>
          <w:p w:rsidR="006757B6" w:rsidRPr="00CB6753" w:rsidP="00603051">
            <w:pPr>
              <w:bidi w:val="0"/>
              <w:spacing w:after="0" w:line="240" w:lineRule="auto"/>
              <w:jc w:val="right"/>
              <w:rPr>
                <w:rFonts w:ascii="Times New Roman" w:hAnsi="Times New Roman"/>
                <w:b/>
                <w:bCs/>
              </w:rPr>
            </w:pPr>
            <w:r w:rsidRPr="00CB6753">
              <w:rPr>
                <w:rFonts w:ascii="Times New Roman" w:hAnsi="Times New Roman"/>
                <w:b/>
                <w:bCs/>
              </w:rPr>
              <w:t>1</w:t>
            </w:r>
            <w:r>
              <w:rPr>
                <w:rFonts w:ascii="Times New Roman" w:hAnsi="Times New Roman"/>
                <w:b/>
                <w:bCs/>
              </w:rPr>
              <w:t>7 001</w:t>
            </w:r>
            <w:r w:rsidRPr="00CB6753">
              <w:rPr>
                <w:rFonts w:ascii="Times New Roman" w:hAnsi="Times New Roman"/>
                <w:b/>
                <w:bCs/>
              </w:rPr>
              <w:t xml:space="preserve">   </w:t>
            </w:r>
          </w:p>
        </w:tc>
        <w:tc>
          <w:tcPr>
            <w:tcW w:w="1006" w:type="dxa"/>
            <w:tcBorders>
              <w:top w:val="single" w:sz="4" w:space="0" w:color="auto"/>
              <w:left w:val="single" w:sz="4" w:space="0" w:color="auto"/>
              <w:bottom w:val="single" w:sz="4" w:space="0" w:color="auto"/>
              <w:right w:val="single" w:sz="4" w:space="0" w:color="auto"/>
            </w:tcBorders>
            <w:textDirection w:val="lrTb"/>
            <w:vAlign w:val="top"/>
          </w:tcPr>
          <w:p w:rsidR="006757B6" w:rsidRPr="00CB6753" w:rsidP="00603051">
            <w:pPr>
              <w:bidi w:val="0"/>
              <w:spacing w:after="0" w:line="240" w:lineRule="auto"/>
              <w:jc w:val="right"/>
              <w:rPr>
                <w:rFonts w:ascii="Times New Roman" w:hAnsi="Times New Roman"/>
                <w:b/>
                <w:bCs/>
              </w:rPr>
            </w:pPr>
            <w:r>
              <w:rPr>
                <w:rFonts w:ascii="Times New Roman" w:hAnsi="Times New Roman"/>
                <w:b/>
                <w:bCs/>
              </w:rPr>
              <w:t>17 895</w:t>
            </w:r>
          </w:p>
        </w:tc>
      </w:tr>
      <w:tr>
        <w:tblPrEx>
          <w:tblW w:w="9688" w:type="dxa"/>
          <w:jc w:val="center"/>
          <w:tblInd w:w="-479" w:type="dxa"/>
          <w:tblLayout w:type="fixed"/>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6757B6" w:rsidRPr="00CB6753" w:rsidP="00603051">
            <w:pPr>
              <w:bidi w:val="0"/>
              <w:spacing w:after="0" w:line="240" w:lineRule="auto"/>
              <w:rPr>
                <w:rFonts w:ascii="Times New Roman" w:hAnsi="Times New Roman"/>
                <w:b/>
                <w:bCs/>
                <w:i/>
                <w:iCs/>
              </w:rPr>
            </w:pPr>
            <w:r w:rsidRPr="00CB6753">
              <w:rPr>
                <w:rFonts w:ascii="Times New Roman" w:hAnsi="Times New Roman"/>
                <w:b/>
                <w:bCs/>
                <w:i/>
                <w:iCs/>
              </w:rPr>
              <w:t>- vplyv na územnú samosprávu</w:t>
            </w:r>
          </w:p>
        </w:tc>
        <w:tc>
          <w:tcPr>
            <w:tcW w:w="1005" w:type="dxa"/>
            <w:gridSpan w:val="2"/>
            <w:tcBorders>
              <w:top w:val="single" w:sz="4" w:space="0" w:color="auto"/>
              <w:left w:val="single" w:sz="4" w:space="0" w:color="auto"/>
              <w:bottom w:val="single" w:sz="4" w:space="0" w:color="auto"/>
              <w:right w:val="single" w:sz="4" w:space="0" w:color="auto"/>
            </w:tcBorders>
            <w:textDirection w:val="lrTb"/>
            <w:vAlign w:val="top"/>
          </w:tcPr>
          <w:p w:rsidR="006757B6" w:rsidRPr="00CB6753" w:rsidP="00603051">
            <w:pPr>
              <w:bidi w:val="0"/>
              <w:spacing w:after="0" w:line="240" w:lineRule="auto"/>
              <w:jc w:val="right"/>
              <w:rPr>
                <w:rFonts w:ascii="Times New Roman" w:hAnsi="Times New Roman"/>
                <w:b/>
                <w:bCs/>
                <w:i/>
                <w:iCs/>
              </w:rPr>
            </w:pPr>
            <w:r w:rsidRPr="00CB6753">
              <w:rPr>
                <w:rFonts w:ascii="Times New Roman" w:hAnsi="Times New Roman"/>
                <w:b/>
                <w:bCs/>
                <w:i/>
                <w:iCs/>
              </w:rPr>
              <w:t>0</w:t>
            </w:r>
          </w:p>
        </w:tc>
        <w:tc>
          <w:tcPr>
            <w:tcW w:w="1005" w:type="dxa"/>
            <w:gridSpan w:val="2"/>
            <w:tcBorders>
              <w:top w:val="single" w:sz="4" w:space="0" w:color="auto"/>
              <w:left w:val="single" w:sz="4" w:space="0" w:color="auto"/>
              <w:bottom w:val="single" w:sz="4" w:space="0" w:color="auto"/>
              <w:right w:val="single" w:sz="4" w:space="0" w:color="auto"/>
            </w:tcBorders>
            <w:noWrap/>
            <w:textDirection w:val="lrTb"/>
            <w:vAlign w:val="center"/>
          </w:tcPr>
          <w:p w:rsidR="006757B6" w:rsidRPr="00CB6753" w:rsidP="00603051">
            <w:pPr>
              <w:bidi w:val="0"/>
              <w:spacing w:after="0" w:line="240" w:lineRule="auto"/>
              <w:jc w:val="right"/>
              <w:rPr>
                <w:rFonts w:ascii="Times New Roman" w:hAnsi="Times New Roman"/>
                <w:b/>
                <w:bCs/>
                <w:i/>
                <w:iCs/>
              </w:rPr>
            </w:pPr>
            <w:r w:rsidRPr="00CB6753">
              <w:rPr>
                <w:rFonts w:ascii="Times New Roman" w:hAnsi="Times New Roman"/>
                <w:b/>
                <w:bCs/>
                <w:i/>
                <w:iCs/>
              </w:rPr>
              <w:t>0</w:t>
            </w:r>
          </w:p>
        </w:tc>
        <w:tc>
          <w:tcPr>
            <w:tcW w:w="1006" w:type="dxa"/>
            <w:tcBorders>
              <w:top w:val="single" w:sz="4" w:space="0" w:color="auto"/>
              <w:left w:val="single" w:sz="4" w:space="0" w:color="auto"/>
              <w:bottom w:val="single" w:sz="4" w:space="0" w:color="auto"/>
              <w:right w:val="single" w:sz="4" w:space="0" w:color="auto"/>
            </w:tcBorders>
            <w:noWrap/>
            <w:textDirection w:val="lrTb"/>
            <w:vAlign w:val="center"/>
          </w:tcPr>
          <w:p w:rsidR="006757B6" w:rsidRPr="00CB6753" w:rsidP="00603051">
            <w:pPr>
              <w:bidi w:val="0"/>
              <w:spacing w:after="0" w:line="240" w:lineRule="auto"/>
              <w:jc w:val="right"/>
              <w:rPr>
                <w:rFonts w:ascii="Times New Roman" w:hAnsi="Times New Roman"/>
                <w:b/>
                <w:bCs/>
                <w:i/>
                <w:iCs/>
              </w:rPr>
            </w:pPr>
            <w:r w:rsidRPr="00CB6753">
              <w:rPr>
                <w:rFonts w:ascii="Times New Roman" w:hAnsi="Times New Roman"/>
                <w:b/>
                <w:bCs/>
                <w:i/>
                <w:iCs/>
              </w:rPr>
              <w:t>0</w:t>
            </w:r>
          </w:p>
        </w:tc>
        <w:tc>
          <w:tcPr>
            <w:tcW w:w="1005" w:type="dxa"/>
            <w:tcBorders>
              <w:top w:val="single" w:sz="4" w:space="0" w:color="auto"/>
              <w:left w:val="single" w:sz="4" w:space="0" w:color="auto"/>
              <w:bottom w:val="single" w:sz="4" w:space="0" w:color="auto"/>
              <w:right w:val="single" w:sz="4" w:space="0" w:color="auto"/>
            </w:tcBorders>
            <w:noWrap/>
            <w:textDirection w:val="lrTb"/>
            <w:vAlign w:val="center"/>
          </w:tcPr>
          <w:p w:rsidR="006757B6" w:rsidRPr="00CB6753" w:rsidP="00603051">
            <w:pPr>
              <w:bidi w:val="0"/>
              <w:spacing w:after="0" w:line="240" w:lineRule="auto"/>
              <w:jc w:val="right"/>
              <w:rPr>
                <w:rFonts w:ascii="Times New Roman" w:hAnsi="Times New Roman"/>
                <w:b/>
                <w:bCs/>
                <w:i/>
                <w:iCs/>
              </w:rPr>
            </w:pPr>
            <w:r w:rsidRPr="00CB6753">
              <w:rPr>
                <w:rFonts w:ascii="Times New Roman" w:hAnsi="Times New Roman"/>
                <w:b/>
                <w:bCs/>
                <w:i/>
                <w:iCs/>
              </w:rPr>
              <w:t>0</w:t>
            </w:r>
          </w:p>
        </w:tc>
        <w:tc>
          <w:tcPr>
            <w:tcW w:w="1006" w:type="dxa"/>
            <w:tcBorders>
              <w:top w:val="single" w:sz="4" w:space="0" w:color="auto"/>
              <w:left w:val="single" w:sz="4" w:space="0" w:color="auto"/>
              <w:bottom w:val="single" w:sz="4" w:space="0" w:color="auto"/>
              <w:right w:val="single" w:sz="4" w:space="0" w:color="auto"/>
            </w:tcBorders>
            <w:textDirection w:val="lrTb"/>
            <w:vAlign w:val="top"/>
          </w:tcPr>
          <w:p w:rsidR="006757B6" w:rsidRPr="00CB6753" w:rsidP="00603051">
            <w:pPr>
              <w:bidi w:val="0"/>
              <w:spacing w:after="0" w:line="240" w:lineRule="auto"/>
              <w:jc w:val="right"/>
              <w:rPr>
                <w:rFonts w:ascii="Times New Roman" w:hAnsi="Times New Roman"/>
                <w:b/>
                <w:bCs/>
                <w:i/>
                <w:iCs/>
              </w:rPr>
            </w:pPr>
            <w:r>
              <w:rPr>
                <w:rFonts w:ascii="Times New Roman" w:hAnsi="Times New Roman"/>
                <w:b/>
                <w:bCs/>
                <w:i/>
                <w:iCs/>
              </w:rPr>
              <w:t>0</w:t>
            </w:r>
          </w:p>
        </w:tc>
      </w:tr>
      <w:tr>
        <w:tblPrEx>
          <w:tblW w:w="9688" w:type="dxa"/>
          <w:jc w:val="center"/>
          <w:tblInd w:w="-479" w:type="dxa"/>
          <w:tblLayout w:type="fixed"/>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6757B6" w:rsidRPr="00CB6753" w:rsidP="00603051">
            <w:pPr>
              <w:bidi w:val="0"/>
              <w:spacing w:after="0" w:line="240" w:lineRule="auto"/>
              <w:rPr>
                <w:rFonts w:ascii="Times New Roman" w:hAnsi="Times New Roman"/>
                <w:b/>
                <w:bCs/>
              </w:rPr>
            </w:pPr>
            <w:r w:rsidRPr="00CB6753">
              <w:rPr>
                <w:rFonts w:ascii="Times New Roman" w:hAnsi="Times New Roman"/>
                <w:b/>
                <w:bCs/>
              </w:rPr>
              <w:t xml:space="preserve">Celková zamestnanosť </w:t>
            </w:r>
          </w:p>
        </w:tc>
        <w:tc>
          <w:tcPr>
            <w:tcW w:w="1005" w:type="dxa"/>
            <w:gridSpan w:val="2"/>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6757B6" w:rsidRPr="00CB6753" w:rsidP="00603051">
            <w:pPr>
              <w:bidi w:val="0"/>
              <w:spacing w:after="0" w:line="240" w:lineRule="auto"/>
              <w:jc w:val="right"/>
              <w:rPr>
                <w:rFonts w:ascii="Times New Roman" w:hAnsi="Times New Roman"/>
                <w:b/>
                <w:bCs/>
              </w:rPr>
            </w:pPr>
            <w:r w:rsidRPr="00CB6753">
              <w:rPr>
                <w:rFonts w:ascii="Times New Roman" w:hAnsi="Times New Roman"/>
                <w:b/>
                <w:bCs/>
              </w:rPr>
              <w:t>0</w:t>
            </w:r>
          </w:p>
        </w:tc>
        <w:tc>
          <w:tcPr>
            <w:tcW w:w="1005" w:type="dxa"/>
            <w:gridSpan w:val="2"/>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6757B6" w:rsidRPr="00CB6753" w:rsidP="00603051">
            <w:pPr>
              <w:bidi w:val="0"/>
              <w:spacing w:after="0" w:line="240" w:lineRule="auto"/>
              <w:jc w:val="right"/>
              <w:rPr>
                <w:rFonts w:ascii="Times New Roman" w:hAnsi="Times New Roman"/>
                <w:b/>
                <w:bCs/>
              </w:rPr>
            </w:pPr>
            <w:r w:rsidRPr="00CB6753">
              <w:rPr>
                <w:rFonts w:ascii="Times New Roman" w:hAnsi="Times New Roman"/>
                <w:b/>
                <w:bCs/>
              </w:rPr>
              <w:t>0</w:t>
            </w:r>
          </w:p>
        </w:tc>
        <w:tc>
          <w:tcPr>
            <w:tcW w:w="1006"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6757B6" w:rsidRPr="00CB6753" w:rsidP="00603051">
            <w:pPr>
              <w:bidi w:val="0"/>
              <w:spacing w:after="0" w:line="240" w:lineRule="auto"/>
              <w:jc w:val="right"/>
              <w:rPr>
                <w:rFonts w:ascii="Times New Roman" w:hAnsi="Times New Roman"/>
                <w:b/>
                <w:bCs/>
              </w:rPr>
            </w:pPr>
            <w:r w:rsidRPr="00CB6753">
              <w:rPr>
                <w:rFonts w:ascii="Times New Roman" w:hAnsi="Times New Roman"/>
                <w:b/>
                <w:bCs/>
              </w:rPr>
              <w:t>0</w:t>
            </w:r>
          </w:p>
        </w:tc>
        <w:tc>
          <w:tcPr>
            <w:tcW w:w="1005"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6757B6" w:rsidRPr="00CB6753" w:rsidP="00603051">
            <w:pPr>
              <w:bidi w:val="0"/>
              <w:spacing w:after="0" w:line="240" w:lineRule="auto"/>
              <w:jc w:val="right"/>
              <w:rPr>
                <w:rFonts w:ascii="Times New Roman" w:hAnsi="Times New Roman"/>
                <w:b/>
                <w:bCs/>
              </w:rPr>
            </w:pPr>
            <w:r w:rsidRPr="00CB6753">
              <w:rPr>
                <w:rFonts w:ascii="Times New Roman" w:hAnsi="Times New Roman"/>
                <w:b/>
                <w:bCs/>
              </w:rPr>
              <w:t>0</w:t>
            </w:r>
          </w:p>
        </w:tc>
        <w:tc>
          <w:tcPr>
            <w:tcW w:w="1006"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6757B6" w:rsidRPr="00CB6753" w:rsidP="00603051">
            <w:pPr>
              <w:bidi w:val="0"/>
              <w:spacing w:after="0" w:line="240" w:lineRule="auto"/>
              <w:jc w:val="right"/>
              <w:rPr>
                <w:rFonts w:ascii="Times New Roman" w:hAnsi="Times New Roman"/>
                <w:b/>
                <w:bCs/>
              </w:rPr>
            </w:pPr>
            <w:r>
              <w:rPr>
                <w:rFonts w:ascii="Times New Roman" w:hAnsi="Times New Roman"/>
                <w:b/>
                <w:bCs/>
              </w:rPr>
              <w:t>0</w:t>
            </w:r>
          </w:p>
        </w:tc>
      </w:tr>
      <w:tr>
        <w:tblPrEx>
          <w:tblW w:w="9688" w:type="dxa"/>
          <w:jc w:val="center"/>
          <w:tblInd w:w="-479" w:type="dxa"/>
          <w:tblLayout w:type="fixed"/>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6757B6" w:rsidRPr="00CB6753" w:rsidP="00603051">
            <w:pPr>
              <w:bidi w:val="0"/>
              <w:spacing w:after="0" w:line="240" w:lineRule="auto"/>
              <w:rPr>
                <w:rFonts w:ascii="Times New Roman" w:hAnsi="Times New Roman"/>
              </w:rPr>
            </w:pPr>
            <w:r w:rsidRPr="00CB6753">
              <w:rPr>
                <w:rFonts w:ascii="Times New Roman" w:hAnsi="Times New Roman"/>
                <w:b/>
                <w:i/>
              </w:rPr>
              <w:t>- z toho vplyv na ŠR</w:t>
            </w:r>
            <w:r w:rsidRPr="00CB6753">
              <w:rPr>
                <w:rFonts w:ascii="Times New Roman" w:hAnsi="Times New Roman"/>
              </w:rPr>
              <w:t xml:space="preserve"> </w:t>
            </w:r>
          </w:p>
        </w:tc>
        <w:tc>
          <w:tcPr>
            <w:tcW w:w="1005" w:type="dxa"/>
            <w:gridSpan w:val="2"/>
            <w:tcBorders>
              <w:top w:val="single" w:sz="4" w:space="0" w:color="auto"/>
              <w:left w:val="single" w:sz="4" w:space="0" w:color="auto"/>
              <w:bottom w:val="single" w:sz="4" w:space="0" w:color="auto"/>
              <w:right w:val="single" w:sz="4" w:space="0" w:color="auto"/>
            </w:tcBorders>
            <w:textDirection w:val="lrTb"/>
            <w:vAlign w:val="top"/>
          </w:tcPr>
          <w:p w:rsidR="006757B6" w:rsidRPr="00CB6753" w:rsidP="00603051">
            <w:pPr>
              <w:bidi w:val="0"/>
              <w:spacing w:after="0" w:line="240" w:lineRule="auto"/>
              <w:jc w:val="right"/>
              <w:rPr>
                <w:rFonts w:ascii="Times New Roman" w:hAnsi="Times New Roman"/>
              </w:rPr>
            </w:pPr>
            <w:r w:rsidRPr="00CB6753">
              <w:rPr>
                <w:rFonts w:ascii="Times New Roman" w:hAnsi="Times New Roman"/>
              </w:rPr>
              <w:t>0</w:t>
            </w:r>
          </w:p>
        </w:tc>
        <w:tc>
          <w:tcPr>
            <w:tcW w:w="1005" w:type="dxa"/>
            <w:gridSpan w:val="2"/>
            <w:tcBorders>
              <w:top w:val="single" w:sz="4" w:space="0" w:color="auto"/>
              <w:left w:val="single" w:sz="4" w:space="0" w:color="auto"/>
              <w:bottom w:val="single" w:sz="4" w:space="0" w:color="auto"/>
              <w:right w:val="single" w:sz="4" w:space="0" w:color="auto"/>
            </w:tcBorders>
            <w:noWrap/>
            <w:textDirection w:val="lrTb"/>
            <w:vAlign w:val="center"/>
          </w:tcPr>
          <w:p w:rsidR="006757B6" w:rsidRPr="00CB6753" w:rsidP="00603051">
            <w:pPr>
              <w:bidi w:val="0"/>
              <w:spacing w:after="0" w:line="240" w:lineRule="auto"/>
              <w:jc w:val="right"/>
              <w:rPr>
                <w:rFonts w:ascii="Times New Roman" w:hAnsi="Times New Roman"/>
              </w:rPr>
            </w:pPr>
            <w:r w:rsidRPr="00CB6753">
              <w:rPr>
                <w:rFonts w:ascii="Times New Roman" w:hAnsi="Times New Roman"/>
              </w:rPr>
              <w:t>0</w:t>
            </w:r>
          </w:p>
        </w:tc>
        <w:tc>
          <w:tcPr>
            <w:tcW w:w="1006" w:type="dxa"/>
            <w:tcBorders>
              <w:top w:val="single" w:sz="4" w:space="0" w:color="auto"/>
              <w:left w:val="single" w:sz="4" w:space="0" w:color="auto"/>
              <w:bottom w:val="single" w:sz="4" w:space="0" w:color="auto"/>
              <w:right w:val="single" w:sz="4" w:space="0" w:color="auto"/>
            </w:tcBorders>
            <w:noWrap/>
            <w:textDirection w:val="lrTb"/>
            <w:vAlign w:val="center"/>
          </w:tcPr>
          <w:p w:rsidR="006757B6" w:rsidRPr="00CB6753" w:rsidP="00603051">
            <w:pPr>
              <w:bidi w:val="0"/>
              <w:spacing w:after="0" w:line="240" w:lineRule="auto"/>
              <w:jc w:val="right"/>
              <w:rPr>
                <w:rFonts w:ascii="Times New Roman" w:hAnsi="Times New Roman"/>
              </w:rPr>
            </w:pPr>
            <w:r w:rsidRPr="00CB6753">
              <w:rPr>
                <w:rFonts w:ascii="Times New Roman" w:hAnsi="Times New Roman"/>
              </w:rPr>
              <w:t>0</w:t>
            </w:r>
          </w:p>
        </w:tc>
        <w:tc>
          <w:tcPr>
            <w:tcW w:w="1005" w:type="dxa"/>
            <w:tcBorders>
              <w:top w:val="single" w:sz="4" w:space="0" w:color="auto"/>
              <w:left w:val="single" w:sz="4" w:space="0" w:color="auto"/>
              <w:bottom w:val="single" w:sz="4" w:space="0" w:color="auto"/>
              <w:right w:val="single" w:sz="4" w:space="0" w:color="auto"/>
            </w:tcBorders>
            <w:noWrap/>
            <w:textDirection w:val="lrTb"/>
            <w:vAlign w:val="center"/>
          </w:tcPr>
          <w:p w:rsidR="006757B6" w:rsidRPr="00CB6753" w:rsidP="00603051">
            <w:pPr>
              <w:bidi w:val="0"/>
              <w:spacing w:after="0" w:line="240" w:lineRule="auto"/>
              <w:jc w:val="right"/>
              <w:rPr>
                <w:rFonts w:ascii="Times New Roman" w:hAnsi="Times New Roman"/>
              </w:rPr>
            </w:pPr>
            <w:r w:rsidRPr="00CB6753">
              <w:rPr>
                <w:rFonts w:ascii="Times New Roman" w:hAnsi="Times New Roman"/>
              </w:rPr>
              <w:t>0</w:t>
            </w:r>
          </w:p>
        </w:tc>
        <w:tc>
          <w:tcPr>
            <w:tcW w:w="1006" w:type="dxa"/>
            <w:tcBorders>
              <w:top w:val="single" w:sz="4" w:space="0" w:color="auto"/>
              <w:left w:val="single" w:sz="4" w:space="0" w:color="auto"/>
              <w:bottom w:val="single" w:sz="4" w:space="0" w:color="auto"/>
              <w:right w:val="single" w:sz="4" w:space="0" w:color="auto"/>
            </w:tcBorders>
            <w:textDirection w:val="lrTb"/>
            <w:vAlign w:val="top"/>
          </w:tcPr>
          <w:p w:rsidR="006757B6" w:rsidRPr="00CB6753" w:rsidP="00603051">
            <w:pPr>
              <w:bidi w:val="0"/>
              <w:spacing w:after="0" w:line="240" w:lineRule="auto"/>
              <w:jc w:val="right"/>
              <w:rPr>
                <w:rFonts w:ascii="Times New Roman" w:hAnsi="Times New Roman"/>
              </w:rPr>
            </w:pPr>
            <w:r>
              <w:rPr>
                <w:rFonts w:ascii="Times New Roman" w:hAnsi="Times New Roman"/>
              </w:rPr>
              <w:t>0</w:t>
            </w:r>
          </w:p>
        </w:tc>
      </w:tr>
      <w:tr>
        <w:tblPrEx>
          <w:tblW w:w="9688" w:type="dxa"/>
          <w:jc w:val="center"/>
          <w:tblInd w:w="-479" w:type="dxa"/>
          <w:tblLayout w:type="fixed"/>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6757B6" w:rsidRPr="00CB6753" w:rsidP="00603051">
            <w:pPr>
              <w:bidi w:val="0"/>
              <w:spacing w:after="0" w:line="240" w:lineRule="auto"/>
              <w:rPr>
                <w:rFonts w:ascii="Times New Roman" w:hAnsi="Times New Roman"/>
                <w:b/>
                <w:bCs/>
              </w:rPr>
            </w:pPr>
            <w:r w:rsidRPr="00CB6753">
              <w:rPr>
                <w:rFonts w:ascii="Times New Roman" w:hAnsi="Times New Roman"/>
                <w:b/>
                <w:bCs/>
              </w:rPr>
              <w:t>Financovanie zabezpečené v rozpočte</w:t>
            </w:r>
          </w:p>
        </w:tc>
        <w:tc>
          <w:tcPr>
            <w:tcW w:w="1005" w:type="dxa"/>
            <w:gridSpan w:val="2"/>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6757B6" w:rsidRPr="00CB6753" w:rsidP="00603051">
            <w:pPr>
              <w:bidi w:val="0"/>
              <w:spacing w:after="0" w:line="240" w:lineRule="auto"/>
              <w:jc w:val="right"/>
              <w:rPr>
                <w:rFonts w:ascii="Times New Roman" w:hAnsi="Times New Roman"/>
                <w:b/>
                <w:bCs/>
              </w:rPr>
            </w:pPr>
            <w:r w:rsidRPr="00CB6753">
              <w:rPr>
                <w:rFonts w:ascii="Times New Roman" w:hAnsi="Times New Roman"/>
                <w:b/>
                <w:bCs/>
              </w:rPr>
              <w:t>0</w:t>
            </w:r>
          </w:p>
        </w:tc>
        <w:tc>
          <w:tcPr>
            <w:tcW w:w="1005" w:type="dxa"/>
            <w:gridSpan w:val="2"/>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6757B6" w:rsidRPr="00CB6753" w:rsidP="00603051">
            <w:pPr>
              <w:bidi w:val="0"/>
              <w:spacing w:after="0" w:line="240" w:lineRule="auto"/>
              <w:jc w:val="right"/>
              <w:rPr>
                <w:rFonts w:ascii="Times New Roman" w:hAnsi="Times New Roman"/>
                <w:b/>
                <w:bCs/>
              </w:rPr>
            </w:pPr>
            <w:r w:rsidRPr="00CB6753">
              <w:rPr>
                <w:rFonts w:ascii="Times New Roman" w:hAnsi="Times New Roman"/>
                <w:b/>
                <w:bCs/>
              </w:rPr>
              <w:t>0</w:t>
            </w:r>
          </w:p>
        </w:tc>
        <w:tc>
          <w:tcPr>
            <w:tcW w:w="1006"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6757B6" w:rsidRPr="00CB6753" w:rsidP="00603051">
            <w:pPr>
              <w:bidi w:val="0"/>
              <w:spacing w:after="0" w:line="240" w:lineRule="auto"/>
              <w:jc w:val="right"/>
              <w:rPr>
                <w:rFonts w:ascii="Times New Roman" w:hAnsi="Times New Roman"/>
                <w:b/>
                <w:bCs/>
              </w:rPr>
            </w:pPr>
            <w:r w:rsidRPr="00CB6753">
              <w:rPr>
                <w:rFonts w:ascii="Times New Roman" w:hAnsi="Times New Roman"/>
                <w:b/>
                <w:bCs/>
              </w:rPr>
              <w:t>0</w:t>
            </w:r>
          </w:p>
        </w:tc>
        <w:tc>
          <w:tcPr>
            <w:tcW w:w="1005"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6757B6" w:rsidRPr="00CB6753" w:rsidP="00603051">
            <w:pPr>
              <w:bidi w:val="0"/>
              <w:spacing w:after="0" w:line="240" w:lineRule="auto"/>
              <w:jc w:val="right"/>
              <w:rPr>
                <w:rFonts w:ascii="Times New Roman" w:hAnsi="Times New Roman"/>
                <w:b/>
                <w:bCs/>
              </w:rPr>
            </w:pPr>
            <w:r w:rsidRPr="00CB6753">
              <w:rPr>
                <w:rFonts w:ascii="Times New Roman" w:hAnsi="Times New Roman"/>
                <w:b/>
                <w:bCs/>
              </w:rPr>
              <w:t>0</w:t>
            </w:r>
          </w:p>
        </w:tc>
        <w:tc>
          <w:tcPr>
            <w:tcW w:w="1006"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6757B6" w:rsidRPr="00CB6753" w:rsidP="00603051">
            <w:pPr>
              <w:bidi w:val="0"/>
              <w:spacing w:after="0" w:line="240" w:lineRule="auto"/>
              <w:jc w:val="right"/>
              <w:rPr>
                <w:rFonts w:ascii="Times New Roman" w:hAnsi="Times New Roman"/>
                <w:b/>
                <w:bCs/>
              </w:rPr>
            </w:pPr>
            <w:r>
              <w:rPr>
                <w:rFonts w:ascii="Times New Roman" w:hAnsi="Times New Roman"/>
                <w:b/>
                <w:bCs/>
              </w:rPr>
              <w:t>0</w:t>
            </w:r>
          </w:p>
        </w:tc>
      </w:tr>
      <w:tr>
        <w:tblPrEx>
          <w:tblW w:w="9688" w:type="dxa"/>
          <w:jc w:val="center"/>
          <w:tblInd w:w="-479" w:type="dxa"/>
          <w:tblLayout w:type="fixed"/>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6757B6" w:rsidRPr="00CB6753" w:rsidP="00603051">
            <w:pPr>
              <w:bidi w:val="0"/>
              <w:spacing w:after="0" w:line="240" w:lineRule="auto"/>
              <w:rPr>
                <w:rFonts w:ascii="Times New Roman" w:hAnsi="Times New Roman"/>
              </w:rPr>
            </w:pPr>
            <w:r w:rsidRPr="00CB6753">
              <w:rPr>
                <w:rFonts w:ascii="Times New Roman" w:hAnsi="Times New Roman"/>
              </w:rPr>
              <w:t>v tom: za každý subjekt verejnej správy / program zvlášť</w:t>
            </w:r>
          </w:p>
        </w:tc>
        <w:tc>
          <w:tcPr>
            <w:tcW w:w="1005" w:type="dxa"/>
            <w:gridSpan w:val="2"/>
            <w:tcBorders>
              <w:top w:val="single" w:sz="4" w:space="0" w:color="auto"/>
              <w:left w:val="single" w:sz="4" w:space="0" w:color="auto"/>
              <w:bottom w:val="single" w:sz="4" w:space="0" w:color="auto"/>
              <w:right w:val="single" w:sz="4" w:space="0" w:color="auto"/>
            </w:tcBorders>
            <w:textDirection w:val="lrTb"/>
            <w:vAlign w:val="top"/>
          </w:tcPr>
          <w:p w:rsidR="006757B6" w:rsidRPr="00CB6753" w:rsidP="00603051">
            <w:pPr>
              <w:bidi w:val="0"/>
              <w:spacing w:after="0" w:line="240" w:lineRule="auto"/>
              <w:jc w:val="right"/>
              <w:rPr>
                <w:rFonts w:ascii="Times New Roman" w:hAnsi="Times New Roman"/>
              </w:rPr>
            </w:pPr>
            <w:r w:rsidRPr="00CB6753">
              <w:rPr>
                <w:rFonts w:ascii="Times New Roman" w:hAnsi="Times New Roman"/>
              </w:rPr>
              <w:t>0</w:t>
            </w:r>
          </w:p>
        </w:tc>
        <w:tc>
          <w:tcPr>
            <w:tcW w:w="1005" w:type="dxa"/>
            <w:gridSpan w:val="2"/>
            <w:tcBorders>
              <w:top w:val="single" w:sz="4" w:space="0" w:color="auto"/>
              <w:left w:val="single" w:sz="4" w:space="0" w:color="auto"/>
              <w:bottom w:val="single" w:sz="4" w:space="0" w:color="auto"/>
              <w:right w:val="single" w:sz="4" w:space="0" w:color="auto"/>
            </w:tcBorders>
            <w:noWrap/>
            <w:textDirection w:val="lrTb"/>
            <w:vAlign w:val="center"/>
          </w:tcPr>
          <w:p w:rsidR="006757B6" w:rsidRPr="00CB6753" w:rsidP="00603051">
            <w:pPr>
              <w:bidi w:val="0"/>
              <w:spacing w:after="0" w:line="240" w:lineRule="auto"/>
              <w:jc w:val="right"/>
              <w:rPr>
                <w:rFonts w:ascii="Times New Roman" w:hAnsi="Times New Roman"/>
              </w:rPr>
            </w:pPr>
            <w:r w:rsidRPr="00CB6753">
              <w:rPr>
                <w:rFonts w:ascii="Times New Roman" w:hAnsi="Times New Roman"/>
              </w:rPr>
              <w:t>0</w:t>
            </w:r>
          </w:p>
        </w:tc>
        <w:tc>
          <w:tcPr>
            <w:tcW w:w="1006" w:type="dxa"/>
            <w:tcBorders>
              <w:top w:val="single" w:sz="4" w:space="0" w:color="auto"/>
              <w:left w:val="single" w:sz="4" w:space="0" w:color="auto"/>
              <w:bottom w:val="single" w:sz="4" w:space="0" w:color="auto"/>
              <w:right w:val="single" w:sz="4" w:space="0" w:color="auto"/>
            </w:tcBorders>
            <w:noWrap/>
            <w:textDirection w:val="lrTb"/>
            <w:vAlign w:val="center"/>
          </w:tcPr>
          <w:p w:rsidR="006757B6" w:rsidRPr="00CB6753" w:rsidP="00603051">
            <w:pPr>
              <w:bidi w:val="0"/>
              <w:spacing w:after="0" w:line="240" w:lineRule="auto"/>
              <w:jc w:val="right"/>
              <w:rPr>
                <w:rFonts w:ascii="Times New Roman" w:hAnsi="Times New Roman"/>
              </w:rPr>
            </w:pPr>
            <w:r w:rsidRPr="00CB6753">
              <w:rPr>
                <w:rFonts w:ascii="Times New Roman" w:hAnsi="Times New Roman"/>
              </w:rPr>
              <w:t>0</w:t>
            </w:r>
          </w:p>
        </w:tc>
        <w:tc>
          <w:tcPr>
            <w:tcW w:w="1005" w:type="dxa"/>
            <w:tcBorders>
              <w:top w:val="single" w:sz="4" w:space="0" w:color="auto"/>
              <w:left w:val="single" w:sz="4" w:space="0" w:color="auto"/>
              <w:bottom w:val="single" w:sz="4" w:space="0" w:color="auto"/>
              <w:right w:val="single" w:sz="4" w:space="0" w:color="auto"/>
            </w:tcBorders>
            <w:noWrap/>
            <w:textDirection w:val="lrTb"/>
            <w:vAlign w:val="center"/>
          </w:tcPr>
          <w:p w:rsidR="006757B6" w:rsidRPr="00CB6753" w:rsidP="00603051">
            <w:pPr>
              <w:bidi w:val="0"/>
              <w:spacing w:after="0" w:line="240" w:lineRule="auto"/>
              <w:jc w:val="right"/>
              <w:rPr>
                <w:rFonts w:ascii="Times New Roman" w:hAnsi="Times New Roman"/>
              </w:rPr>
            </w:pPr>
            <w:r w:rsidRPr="00CB6753">
              <w:rPr>
                <w:rFonts w:ascii="Times New Roman" w:hAnsi="Times New Roman"/>
              </w:rPr>
              <w:t>0</w:t>
            </w:r>
          </w:p>
        </w:tc>
        <w:tc>
          <w:tcPr>
            <w:tcW w:w="1006" w:type="dxa"/>
            <w:tcBorders>
              <w:top w:val="single" w:sz="4" w:space="0" w:color="auto"/>
              <w:left w:val="single" w:sz="4" w:space="0" w:color="auto"/>
              <w:bottom w:val="single" w:sz="4" w:space="0" w:color="auto"/>
              <w:right w:val="single" w:sz="4" w:space="0" w:color="auto"/>
            </w:tcBorders>
            <w:textDirection w:val="lrTb"/>
            <w:vAlign w:val="top"/>
          </w:tcPr>
          <w:p w:rsidR="006757B6" w:rsidRPr="00CB6753" w:rsidP="00603051">
            <w:pPr>
              <w:bidi w:val="0"/>
              <w:spacing w:after="0" w:line="240" w:lineRule="auto"/>
              <w:jc w:val="right"/>
              <w:rPr>
                <w:rFonts w:ascii="Times New Roman" w:hAnsi="Times New Roman"/>
              </w:rPr>
            </w:pPr>
            <w:r>
              <w:rPr>
                <w:rFonts w:ascii="Times New Roman" w:hAnsi="Times New Roman"/>
              </w:rPr>
              <w:t>0</w:t>
            </w:r>
          </w:p>
        </w:tc>
      </w:tr>
    </w:tbl>
    <w:p w:rsidR="006757B6" w:rsidRPr="00CB6753" w:rsidP="006757B6">
      <w:pPr>
        <w:bidi w:val="0"/>
        <w:rPr>
          <w:rFonts w:ascii="Times New Roman" w:hAnsi="Times New Roman"/>
          <w:color w:val="000000"/>
        </w:rPr>
      </w:pPr>
      <w:r w:rsidRPr="00CB6753">
        <w:rPr>
          <w:rFonts w:ascii="Times New Roman" w:hAnsi="Times New Roman"/>
          <w:color w:val="000000"/>
        </w:rPr>
        <w:t xml:space="preserve">      Vplyv na výnos DPH na hotovostnej báze</w:t>
      </w:r>
    </w:p>
    <w:p w:rsidR="006757B6" w:rsidRPr="00CB6753" w:rsidP="006757B6">
      <w:pPr>
        <w:bidi w:val="0"/>
        <w:rPr>
          <w:rFonts w:ascii="Times New Roman" w:hAnsi="Times New Roman"/>
        </w:rPr>
      </w:pPr>
    </w:p>
    <w:p w:rsidR="006757B6" w:rsidRPr="00CB6753" w:rsidP="006757B6">
      <w:pPr>
        <w:bidi w:val="0"/>
        <w:rPr>
          <w:rFonts w:ascii="Times New Roman" w:hAnsi="Times New Roman"/>
        </w:rPr>
      </w:pPr>
      <w:r w:rsidRPr="00CB6753">
        <w:rPr>
          <w:rFonts w:ascii="Times New Roman" w:hAnsi="Times New Roman"/>
          <w:b/>
          <w:bCs/>
        </w:rPr>
        <w:t>2.2. Financovanie návrhu</w:t>
      </w:r>
    </w:p>
    <w:p w:rsidR="006757B6" w:rsidRPr="00CB6753" w:rsidP="006757B6">
      <w:pPr>
        <w:bidi w:val="0"/>
        <w:jc w:val="right"/>
        <w:rPr>
          <w:rFonts w:ascii="Times New Roman" w:hAnsi="Times New Roman"/>
        </w:rPr>
      </w:pPr>
      <w:r w:rsidRPr="00CB6753">
        <w:rPr>
          <w:rFonts w:ascii="Times New Roman" w:hAnsi="Times New Roman"/>
        </w:rPr>
        <w:t>Tabuľka č. 2</w:t>
      </w:r>
    </w:p>
    <w:tbl>
      <w:tblPr>
        <w:tblStyle w:val="TableNormal"/>
        <w:tblW w:w="9640" w:type="dxa"/>
        <w:tblInd w:w="-214" w:type="dxa"/>
        <w:tblCellMar>
          <w:left w:w="0" w:type="dxa"/>
          <w:right w:w="0" w:type="dxa"/>
        </w:tblCellMar>
      </w:tblPr>
      <w:tblGrid>
        <w:gridCol w:w="3743"/>
        <w:gridCol w:w="869"/>
        <w:gridCol w:w="310"/>
        <w:gridCol w:w="683"/>
        <w:gridCol w:w="496"/>
        <w:gridCol w:w="921"/>
        <w:gridCol w:w="259"/>
        <w:gridCol w:w="761"/>
        <w:gridCol w:w="418"/>
        <w:gridCol w:w="1180"/>
      </w:tblGrid>
      <w:tr>
        <w:tblPrEx>
          <w:tblW w:w="9640" w:type="dxa"/>
          <w:tblInd w:w="-214" w:type="dxa"/>
          <w:tblCellMar>
            <w:left w:w="0" w:type="dxa"/>
            <w:right w:w="0" w:type="dxa"/>
          </w:tblCellMar>
        </w:tblPrEx>
        <w:trPr>
          <w:trHeight w:val="70"/>
        </w:trPr>
        <w:tc>
          <w:tcPr>
            <w:tcW w:w="3743"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6757B6" w:rsidRPr="00CB6753" w:rsidP="00603051">
            <w:pPr>
              <w:bidi w:val="0"/>
              <w:spacing w:after="0" w:line="240" w:lineRule="auto"/>
              <w:jc w:val="center"/>
              <w:rPr>
                <w:rFonts w:ascii="Times New Roman" w:hAnsi="Times New Roman"/>
              </w:rPr>
            </w:pPr>
            <w:r w:rsidRPr="00CB6753">
              <w:rPr>
                <w:rFonts w:ascii="Times New Roman" w:hAnsi="Times New Roman"/>
                <w:b/>
                <w:bCs/>
                <w:color w:val="FFFFFF"/>
              </w:rPr>
              <w:t>Financovanie</w:t>
            </w:r>
          </w:p>
        </w:tc>
        <w:tc>
          <w:tcPr>
            <w:tcW w:w="4299" w:type="dxa"/>
            <w:gridSpan w:val="7"/>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6757B6" w:rsidRPr="00CB6753" w:rsidP="00603051">
            <w:pPr>
              <w:bidi w:val="0"/>
              <w:spacing w:after="0" w:line="240" w:lineRule="auto"/>
              <w:jc w:val="center"/>
              <w:rPr>
                <w:rFonts w:ascii="Times New Roman" w:hAnsi="Times New Roman"/>
              </w:rPr>
            </w:pPr>
            <w:r w:rsidRPr="00CB6753">
              <w:rPr>
                <w:rFonts w:ascii="Times New Roman" w:hAnsi="Times New Roman"/>
                <w:b/>
                <w:bCs/>
                <w:color w:val="FFFFFF"/>
              </w:rPr>
              <w:t xml:space="preserve">Vplyv na rozpočet verejnej správy </w:t>
            </w:r>
            <w:r w:rsidRPr="00CB6753">
              <w:rPr>
                <w:rFonts w:ascii="Times New Roman" w:hAnsi="Times New Roman"/>
                <w:b/>
                <w:bCs/>
              </w:rPr>
              <w:t>(v</w:t>
            </w:r>
            <w:r>
              <w:rPr>
                <w:rFonts w:ascii="Times New Roman" w:hAnsi="Times New Roman"/>
                <w:b/>
                <w:bCs/>
              </w:rPr>
              <w:t xml:space="preserve"> tis. eur</w:t>
            </w:r>
            <w:r w:rsidRPr="00CB6753">
              <w:rPr>
                <w:rFonts w:ascii="Times New Roman" w:hAnsi="Times New Roman"/>
                <w:b/>
                <w:bCs/>
              </w:rPr>
              <w:t>)</w:t>
            </w:r>
          </w:p>
        </w:tc>
        <w:tc>
          <w:tcPr>
            <w:tcW w:w="1598" w:type="dxa"/>
            <w:gridSpan w:val="2"/>
            <w:tcBorders>
              <w:top w:val="single" w:sz="4" w:space="0" w:color="000000"/>
              <w:left w:val="single" w:sz="4" w:space="0" w:color="000000"/>
              <w:bottom w:val="single" w:sz="4" w:space="0" w:color="000000"/>
              <w:right w:val="single" w:sz="4" w:space="0" w:color="000000"/>
            </w:tcBorders>
            <w:shd w:val="clear" w:color="auto" w:fill="000000"/>
            <w:textDirection w:val="lrTb"/>
            <w:vAlign w:val="top"/>
          </w:tcPr>
          <w:p w:rsidR="006757B6" w:rsidRPr="00CB6753" w:rsidP="00603051">
            <w:pPr>
              <w:bidi w:val="0"/>
              <w:spacing w:after="0" w:line="240" w:lineRule="auto"/>
              <w:jc w:val="center"/>
              <w:rPr>
                <w:rFonts w:ascii="Times New Roman" w:hAnsi="Times New Roman"/>
                <w:b/>
                <w:bCs/>
                <w:color w:val="FFFFFF"/>
              </w:rPr>
            </w:pPr>
          </w:p>
        </w:tc>
      </w:tr>
      <w:tr>
        <w:tblPrEx>
          <w:tblW w:w="9640" w:type="dxa"/>
          <w:tblInd w:w="-214" w:type="dxa"/>
          <w:tblCellMar>
            <w:left w:w="0" w:type="dxa"/>
            <w:right w:w="0" w:type="dxa"/>
          </w:tblCellMar>
        </w:tblPrEx>
        <w:trPr>
          <w:trHeight w:val="70"/>
        </w:trPr>
        <w:tc>
          <w:tcPr>
            <w:tcW w:w="3743" w:type="dxa"/>
            <w:vMerge/>
            <w:tcBorders>
              <w:top w:val="single" w:sz="4" w:space="0" w:color="000000"/>
              <w:left w:val="single" w:sz="4" w:space="0" w:color="000000"/>
              <w:bottom w:val="single" w:sz="4" w:space="0" w:color="000000"/>
              <w:right w:val="single" w:sz="4" w:space="0" w:color="000000"/>
            </w:tcBorders>
            <w:textDirection w:val="lrTb"/>
            <w:vAlign w:val="center"/>
          </w:tcPr>
          <w:p w:rsidR="006757B6" w:rsidRPr="00CB6753" w:rsidP="00603051">
            <w:pPr>
              <w:bidi w:val="0"/>
              <w:spacing w:after="0" w:line="240" w:lineRule="auto"/>
              <w:rPr>
                <w:rFonts w:ascii="Times New Roman" w:hAnsi="Times New Roman"/>
              </w:rPr>
            </w:pP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6757B6" w:rsidRPr="00CB6753" w:rsidP="00603051">
            <w:pPr>
              <w:bidi w:val="0"/>
              <w:spacing w:after="0" w:line="240" w:lineRule="auto"/>
              <w:jc w:val="center"/>
              <w:rPr>
                <w:rFonts w:ascii="Times New Roman" w:hAnsi="Times New Roman"/>
                <w:b/>
              </w:rPr>
            </w:pPr>
            <w:r w:rsidRPr="00CB6753">
              <w:rPr>
                <w:rFonts w:ascii="Times New Roman" w:hAnsi="Times New Roman"/>
                <w:b/>
              </w:rPr>
              <w:t>2014</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6757B6" w:rsidRPr="00CB6753" w:rsidP="00603051">
            <w:pPr>
              <w:bidi w:val="0"/>
              <w:spacing w:after="0" w:line="240" w:lineRule="auto"/>
              <w:jc w:val="center"/>
              <w:rPr>
                <w:rFonts w:ascii="Times New Roman" w:hAnsi="Times New Roman"/>
                <w:b/>
              </w:rPr>
            </w:pPr>
            <w:r w:rsidRPr="00CB6753">
              <w:rPr>
                <w:rFonts w:ascii="Times New Roman" w:hAnsi="Times New Roman"/>
                <w:b/>
              </w:rPr>
              <w:t>2015</w:t>
            </w:r>
          </w:p>
        </w:tc>
        <w:tc>
          <w:tcPr>
            <w:tcW w:w="1180" w:type="dxa"/>
            <w:gridSpan w:val="2"/>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6757B6" w:rsidRPr="00CB6753" w:rsidP="00603051">
            <w:pPr>
              <w:bidi w:val="0"/>
              <w:spacing w:after="0" w:line="240" w:lineRule="auto"/>
              <w:jc w:val="center"/>
              <w:rPr>
                <w:rFonts w:ascii="Times New Roman" w:hAnsi="Times New Roman"/>
                <w:b/>
              </w:rPr>
            </w:pPr>
            <w:r w:rsidRPr="00CB6753">
              <w:rPr>
                <w:rFonts w:ascii="Times New Roman" w:hAnsi="Times New Roman"/>
                <w:b/>
              </w:rPr>
              <w:t>2016</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6757B6" w:rsidRPr="00CB6753" w:rsidP="00603051">
            <w:pPr>
              <w:bidi w:val="0"/>
              <w:spacing w:after="0" w:line="240" w:lineRule="auto"/>
              <w:jc w:val="center"/>
              <w:rPr>
                <w:rFonts w:ascii="Times New Roman" w:hAnsi="Times New Roman"/>
                <w:b/>
              </w:rPr>
            </w:pPr>
            <w:r w:rsidRPr="00CB6753">
              <w:rPr>
                <w:rFonts w:ascii="Times New Roman" w:hAnsi="Times New Roman"/>
                <w:b/>
              </w:rPr>
              <w:t>2017</w:t>
            </w:r>
          </w:p>
        </w:tc>
        <w:tc>
          <w:tcPr>
            <w:tcW w:w="1180" w:type="dxa"/>
            <w:tcBorders>
              <w:top w:val="single" w:sz="4" w:space="0" w:color="000000"/>
              <w:left w:val="single" w:sz="4" w:space="0" w:color="000000"/>
              <w:bottom w:val="single" w:sz="4" w:space="0" w:color="000000"/>
              <w:right w:val="single" w:sz="4" w:space="0" w:color="000000"/>
            </w:tcBorders>
            <w:shd w:val="clear" w:color="auto" w:fill="000000"/>
            <w:textDirection w:val="lrTb"/>
            <w:vAlign w:val="top"/>
          </w:tcPr>
          <w:p w:rsidR="006757B6" w:rsidRPr="00CB6753" w:rsidP="00603051">
            <w:pPr>
              <w:bidi w:val="0"/>
              <w:spacing w:after="0" w:line="240" w:lineRule="auto"/>
              <w:jc w:val="center"/>
              <w:rPr>
                <w:rFonts w:ascii="Times New Roman" w:hAnsi="Times New Roman"/>
                <w:b/>
              </w:rPr>
            </w:pPr>
            <w:r>
              <w:rPr>
                <w:rFonts w:ascii="Times New Roman" w:hAnsi="Times New Roman"/>
                <w:b/>
              </w:rPr>
              <w:t>2018</w:t>
            </w:r>
          </w:p>
        </w:tc>
      </w:tr>
      <w:tr>
        <w:tblPrEx>
          <w:tblW w:w="9640" w:type="dxa"/>
          <w:tblInd w:w="-214" w:type="dxa"/>
          <w:tblCellMar>
            <w:left w:w="0" w:type="dxa"/>
            <w:right w:w="0" w:type="dxa"/>
          </w:tblCellMar>
        </w:tblPrEx>
        <w:trPr>
          <w:trHeight w:val="70"/>
        </w:trPr>
        <w:tc>
          <w:tcPr>
            <w:tcW w:w="37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757B6" w:rsidRPr="00CB6753" w:rsidP="00603051">
            <w:pPr>
              <w:bidi w:val="0"/>
              <w:spacing w:after="0" w:line="240" w:lineRule="auto"/>
              <w:rPr>
                <w:rFonts w:ascii="Times New Roman" w:hAnsi="Times New Roman"/>
              </w:rPr>
            </w:pPr>
            <w:r w:rsidRPr="00CB6753">
              <w:rPr>
                <w:rFonts w:ascii="Times New Roman" w:hAnsi="Times New Roman"/>
                <w:b/>
                <w:bCs/>
              </w:rPr>
              <w:t>Celkový vplyv na rozpočet verejnej správy ( - príjmy, + výdavky)</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757B6" w:rsidRPr="00CB6753" w:rsidP="00603051">
            <w:pPr>
              <w:bidi w:val="0"/>
              <w:spacing w:after="0" w:line="240" w:lineRule="auto"/>
              <w:jc w:val="right"/>
              <w:rPr>
                <w:rFonts w:ascii="Times New Roman" w:hAnsi="Times New Roman"/>
              </w:rPr>
            </w:pPr>
            <w:r w:rsidRPr="00CB6753">
              <w:rPr>
                <w:rFonts w:ascii="Times New Roman" w:hAnsi="Times New Roman"/>
                <w:b/>
                <w:bCs/>
              </w:rPr>
              <w:t>0</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757B6" w:rsidRPr="00CB6753" w:rsidP="00603051">
            <w:pPr>
              <w:bidi w:val="0"/>
              <w:spacing w:after="0" w:line="240" w:lineRule="auto"/>
              <w:jc w:val="right"/>
              <w:rPr>
                <w:rFonts w:ascii="Times New Roman" w:hAnsi="Times New Roman"/>
              </w:rPr>
            </w:pPr>
            <w:r w:rsidRPr="00CB6753">
              <w:rPr>
                <w:rFonts w:ascii="Times New Roman" w:hAnsi="Times New Roman"/>
                <w:b/>
                <w:bCs/>
              </w:rPr>
              <w:t>0</w:t>
            </w:r>
          </w:p>
        </w:tc>
        <w:tc>
          <w:tcPr>
            <w:tcW w:w="1180"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757B6" w:rsidRPr="00CB6753" w:rsidP="00603051">
            <w:pPr>
              <w:bidi w:val="0"/>
              <w:spacing w:after="0" w:line="240" w:lineRule="auto"/>
              <w:jc w:val="right"/>
              <w:rPr>
                <w:rFonts w:ascii="Times New Roman" w:hAnsi="Times New Roman"/>
                <w:b/>
                <w:bCs/>
              </w:rPr>
            </w:pPr>
            <w:r>
              <w:rPr>
                <w:rFonts w:ascii="Times New Roman" w:hAnsi="Times New Roman"/>
                <w:b/>
                <w:bCs/>
              </w:rPr>
              <w:t>0</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757B6" w:rsidRPr="00CB6753" w:rsidP="00603051">
            <w:pPr>
              <w:bidi w:val="0"/>
              <w:spacing w:after="0" w:line="240" w:lineRule="auto"/>
              <w:jc w:val="right"/>
              <w:rPr>
                <w:rFonts w:ascii="Times New Roman" w:hAnsi="Times New Roman"/>
                <w:b/>
                <w:bCs/>
              </w:rPr>
            </w:pPr>
            <w:r w:rsidR="00DD4C14">
              <w:rPr>
                <w:rFonts w:ascii="Times New Roman" w:hAnsi="Times New Roman"/>
                <w:b/>
                <w:bCs/>
              </w:rPr>
              <w:t>471 625</w:t>
            </w:r>
            <w:r w:rsidRPr="00CB6753">
              <w:rPr>
                <w:rFonts w:ascii="Times New Roman" w:hAnsi="Times New Roman"/>
                <w:b/>
                <w:bCs/>
              </w:rPr>
              <w:t xml:space="preserve">   </w:t>
            </w:r>
          </w:p>
        </w:tc>
        <w:tc>
          <w:tcPr>
            <w:tcW w:w="1180" w:type="dxa"/>
            <w:tcBorders>
              <w:top w:val="single" w:sz="4" w:space="0" w:color="000000"/>
              <w:left w:val="single" w:sz="4" w:space="0" w:color="000000"/>
              <w:bottom w:val="single" w:sz="4" w:space="0" w:color="000000"/>
              <w:right w:val="single" w:sz="4" w:space="0" w:color="000000"/>
            </w:tcBorders>
            <w:textDirection w:val="lrTb"/>
            <w:vAlign w:val="top"/>
          </w:tcPr>
          <w:p w:rsidR="006757B6" w:rsidP="00603051">
            <w:pPr>
              <w:bidi w:val="0"/>
              <w:spacing w:after="0" w:line="240" w:lineRule="auto"/>
              <w:jc w:val="right"/>
              <w:rPr>
                <w:rFonts w:ascii="Times New Roman" w:hAnsi="Times New Roman"/>
                <w:b/>
                <w:bCs/>
              </w:rPr>
            </w:pPr>
          </w:p>
          <w:p w:rsidR="006757B6" w:rsidRPr="00E86903" w:rsidP="00603051">
            <w:pPr>
              <w:bidi w:val="0"/>
              <w:spacing w:after="0" w:line="240" w:lineRule="auto"/>
              <w:jc w:val="right"/>
              <w:rPr>
                <w:rFonts w:ascii="Times New Roman" w:hAnsi="Times New Roman"/>
                <w:b/>
              </w:rPr>
            </w:pPr>
            <w:r w:rsidRPr="00E86903">
              <w:rPr>
                <w:rFonts w:ascii="Times New Roman" w:hAnsi="Times New Roman"/>
                <w:b/>
              </w:rPr>
              <w:t>41 321</w:t>
            </w:r>
          </w:p>
        </w:tc>
      </w:tr>
      <w:tr>
        <w:tblPrEx>
          <w:tblW w:w="9640" w:type="dxa"/>
          <w:tblInd w:w="-214" w:type="dxa"/>
          <w:tblCellMar>
            <w:left w:w="0" w:type="dxa"/>
            <w:right w:w="0" w:type="dxa"/>
          </w:tblCellMar>
        </w:tblPrEx>
        <w:trPr>
          <w:trHeight w:val="70"/>
        </w:trPr>
        <w:tc>
          <w:tcPr>
            <w:tcW w:w="37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757B6" w:rsidRPr="00CB6753" w:rsidP="00603051">
            <w:pPr>
              <w:bidi w:val="0"/>
              <w:spacing w:after="0" w:line="240" w:lineRule="auto"/>
              <w:rPr>
                <w:rFonts w:ascii="Times New Roman" w:hAnsi="Times New Roman"/>
              </w:rPr>
            </w:pPr>
            <w:r w:rsidRPr="00CB6753">
              <w:rPr>
                <w:rFonts w:ascii="Times New Roman" w:hAnsi="Times New Roman"/>
              </w:rPr>
              <w:t>  z toho vplyv na ŠR</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757B6" w:rsidRPr="00CB6753" w:rsidP="00603051">
            <w:pPr>
              <w:bidi w:val="0"/>
              <w:spacing w:after="0" w:line="240" w:lineRule="auto"/>
              <w:jc w:val="right"/>
              <w:rPr>
                <w:rFonts w:ascii="Times New Roman" w:hAnsi="Times New Roman"/>
              </w:rPr>
            </w:pPr>
            <w:r w:rsidRPr="00CB6753">
              <w:rPr>
                <w:rFonts w:ascii="Times New Roman" w:hAnsi="Times New Roman"/>
              </w:rPr>
              <w:t>0</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757B6" w:rsidRPr="00CB6753" w:rsidP="00603051">
            <w:pPr>
              <w:bidi w:val="0"/>
              <w:spacing w:after="0" w:line="240" w:lineRule="auto"/>
              <w:jc w:val="right"/>
              <w:rPr>
                <w:rFonts w:ascii="Times New Roman" w:hAnsi="Times New Roman"/>
              </w:rPr>
            </w:pPr>
            <w:r w:rsidRPr="00CB6753">
              <w:rPr>
                <w:rFonts w:ascii="Times New Roman" w:hAnsi="Times New Roman"/>
              </w:rPr>
              <w:t>0</w:t>
            </w:r>
          </w:p>
        </w:tc>
        <w:tc>
          <w:tcPr>
            <w:tcW w:w="1180"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757B6" w:rsidRPr="00CB6753" w:rsidP="00603051">
            <w:pPr>
              <w:bidi w:val="0"/>
              <w:spacing w:after="0" w:line="240" w:lineRule="auto"/>
              <w:jc w:val="right"/>
              <w:rPr>
                <w:rFonts w:ascii="Times New Roman" w:hAnsi="Times New Roman"/>
                <w:bCs/>
              </w:rPr>
            </w:pPr>
            <w:r>
              <w:rPr>
                <w:rFonts w:ascii="Times New Roman" w:hAnsi="Times New Roman"/>
                <w:b/>
                <w:bCs/>
              </w:rPr>
              <w:t>0</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757B6" w:rsidRPr="00CB6753" w:rsidP="00603051">
            <w:pPr>
              <w:bidi w:val="0"/>
              <w:spacing w:after="0" w:line="240" w:lineRule="auto"/>
              <w:jc w:val="right"/>
              <w:rPr>
                <w:rFonts w:ascii="Times New Roman" w:hAnsi="Times New Roman"/>
                <w:bCs/>
              </w:rPr>
            </w:pPr>
            <w:r w:rsidR="00DD4C14">
              <w:rPr>
                <w:rFonts w:ascii="Times New Roman" w:hAnsi="Times New Roman"/>
                <w:b/>
                <w:bCs/>
              </w:rPr>
              <w:t>471 625</w:t>
            </w:r>
          </w:p>
        </w:tc>
        <w:tc>
          <w:tcPr>
            <w:tcW w:w="1180" w:type="dxa"/>
            <w:tcBorders>
              <w:top w:val="single" w:sz="4" w:space="0" w:color="000000"/>
              <w:left w:val="single" w:sz="4" w:space="0" w:color="000000"/>
              <w:bottom w:val="single" w:sz="4" w:space="0" w:color="000000"/>
              <w:right w:val="single" w:sz="4" w:space="0" w:color="000000"/>
            </w:tcBorders>
            <w:textDirection w:val="lrTb"/>
            <w:vAlign w:val="top"/>
          </w:tcPr>
          <w:p w:rsidR="006757B6" w:rsidRPr="00CB6753" w:rsidP="00603051">
            <w:pPr>
              <w:bidi w:val="0"/>
              <w:spacing w:after="0" w:line="240" w:lineRule="auto"/>
              <w:jc w:val="right"/>
              <w:rPr>
                <w:rFonts w:ascii="Times New Roman" w:hAnsi="Times New Roman"/>
                <w:b/>
                <w:bCs/>
              </w:rPr>
            </w:pPr>
            <w:r w:rsidRPr="00E86903">
              <w:rPr>
                <w:rFonts w:ascii="Times New Roman" w:hAnsi="Times New Roman"/>
                <w:b/>
              </w:rPr>
              <w:t>41 321</w:t>
            </w:r>
          </w:p>
        </w:tc>
      </w:tr>
      <w:tr>
        <w:tblPrEx>
          <w:tblW w:w="9640" w:type="dxa"/>
          <w:tblInd w:w="-214" w:type="dxa"/>
          <w:tblCellMar>
            <w:left w:w="0" w:type="dxa"/>
            <w:right w:w="0" w:type="dxa"/>
          </w:tblCellMar>
        </w:tblPrEx>
        <w:trPr>
          <w:trHeight w:val="151"/>
        </w:trPr>
        <w:tc>
          <w:tcPr>
            <w:tcW w:w="37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757B6" w:rsidRPr="00CB6753" w:rsidP="00603051">
            <w:pPr>
              <w:bidi w:val="0"/>
              <w:spacing w:after="0" w:line="240" w:lineRule="auto"/>
              <w:rPr>
                <w:rFonts w:ascii="Times New Roman" w:hAnsi="Times New Roman"/>
              </w:rPr>
            </w:pPr>
            <w:r w:rsidRPr="00CB6753">
              <w:rPr>
                <w:rFonts w:ascii="Times New Roman" w:hAnsi="Times New Roman"/>
              </w:rPr>
              <w:t>  financovanie zabezpečené v rozpočte</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757B6" w:rsidRPr="00CB6753" w:rsidP="00603051">
            <w:pPr>
              <w:bidi w:val="0"/>
              <w:spacing w:after="0" w:line="240" w:lineRule="auto"/>
              <w:jc w:val="right"/>
              <w:rPr>
                <w:rFonts w:ascii="Times New Roman" w:hAnsi="Times New Roman"/>
              </w:rPr>
            </w:pPr>
            <w:r w:rsidRPr="00CB6753">
              <w:rPr>
                <w:rFonts w:ascii="Times New Roman" w:hAnsi="Times New Roman"/>
              </w:rPr>
              <w:t>0</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757B6" w:rsidRPr="00CB6753" w:rsidP="00603051">
            <w:pPr>
              <w:bidi w:val="0"/>
              <w:spacing w:after="0" w:line="240" w:lineRule="auto"/>
              <w:jc w:val="right"/>
              <w:rPr>
                <w:rFonts w:ascii="Times New Roman" w:hAnsi="Times New Roman"/>
              </w:rPr>
            </w:pPr>
            <w:r w:rsidRPr="00CB6753">
              <w:rPr>
                <w:rFonts w:ascii="Times New Roman" w:hAnsi="Times New Roman"/>
              </w:rPr>
              <w:t>0</w:t>
            </w:r>
          </w:p>
        </w:tc>
        <w:tc>
          <w:tcPr>
            <w:tcW w:w="1180"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757B6" w:rsidRPr="00CB6753" w:rsidP="00603051">
            <w:pPr>
              <w:bidi w:val="0"/>
              <w:spacing w:after="0" w:line="240" w:lineRule="auto"/>
              <w:jc w:val="right"/>
              <w:rPr>
                <w:rFonts w:ascii="Times New Roman" w:hAnsi="Times New Roman"/>
              </w:rPr>
            </w:pPr>
            <w:r w:rsidRPr="00CB6753">
              <w:rPr>
                <w:rFonts w:ascii="Times New Roman" w:hAnsi="Times New Roman"/>
              </w:rPr>
              <w:t>0</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757B6" w:rsidRPr="00CB6753" w:rsidP="00603051">
            <w:pPr>
              <w:bidi w:val="0"/>
              <w:spacing w:after="0" w:line="240" w:lineRule="auto"/>
              <w:jc w:val="right"/>
              <w:rPr>
                <w:rFonts w:ascii="Times New Roman" w:hAnsi="Times New Roman"/>
              </w:rPr>
            </w:pPr>
            <w:r w:rsidRPr="00CB6753">
              <w:rPr>
                <w:rFonts w:ascii="Times New Roman" w:hAnsi="Times New Roman"/>
              </w:rPr>
              <w:t>0</w:t>
            </w:r>
          </w:p>
        </w:tc>
        <w:tc>
          <w:tcPr>
            <w:tcW w:w="1180" w:type="dxa"/>
            <w:tcBorders>
              <w:top w:val="single" w:sz="4" w:space="0" w:color="000000"/>
              <w:left w:val="single" w:sz="4" w:space="0" w:color="000000"/>
              <w:bottom w:val="single" w:sz="4" w:space="0" w:color="000000"/>
              <w:right w:val="single" w:sz="4" w:space="0" w:color="000000"/>
            </w:tcBorders>
            <w:textDirection w:val="lrTb"/>
            <w:vAlign w:val="top"/>
          </w:tcPr>
          <w:p w:rsidR="006757B6" w:rsidP="00603051">
            <w:pPr>
              <w:bidi w:val="0"/>
              <w:spacing w:after="0" w:line="240" w:lineRule="auto"/>
              <w:jc w:val="center"/>
              <w:rPr>
                <w:rFonts w:ascii="Times New Roman" w:hAnsi="Times New Roman"/>
              </w:rPr>
            </w:pPr>
          </w:p>
          <w:p w:rsidR="006757B6" w:rsidP="00603051">
            <w:pPr>
              <w:bidi w:val="0"/>
              <w:spacing w:after="0" w:line="240" w:lineRule="auto"/>
              <w:jc w:val="right"/>
              <w:rPr>
                <w:rFonts w:ascii="Times New Roman" w:hAnsi="Times New Roman"/>
              </w:rPr>
            </w:pPr>
            <w:r>
              <w:rPr>
                <w:rFonts w:ascii="Times New Roman" w:hAnsi="Times New Roman"/>
              </w:rPr>
              <w:t>0</w:t>
            </w:r>
          </w:p>
          <w:p w:rsidR="006757B6" w:rsidRPr="00CB6753" w:rsidP="00603051">
            <w:pPr>
              <w:bidi w:val="0"/>
              <w:spacing w:after="0" w:line="240" w:lineRule="auto"/>
              <w:jc w:val="right"/>
              <w:rPr>
                <w:rFonts w:ascii="Times New Roman" w:hAnsi="Times New Roman"/>
              </w:rPr>
            </w:pPr>
          </w:p>
        </w:tc>
      </w:tr>
      <w:tr>
        <w:tblPrEx>
          <w:tblW w:w="9640" w:type="dxa"/>
          <w:tblInd w:w="-214" w:type="dxa"/>
          <w:tblCellMar>
            <w:left w:w="0" w:type="dxa"/>
            <w:right w:w="0" w:type="dxa"/>
          </w:tblCellMar>
        </w:tblPrEx>
        <w:trPr>
          <w:trHeight w:val="135"/>
        </w:trPr>
        <w:tc>
          <w:tcPr>
            <w:tcW w:w="37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757B6" w:rsidRPr="00CB6753" w:rsidP="00603051">
            <w:pPr>
              <w:bidi w:val="0"/>
              <w:spacing w:after="0" w:line="240" w:lineRule="auto"/>
              <w:rPr>
                <w:rFonts w:ascii="Times New Roman" w:hAnsi="Times New Roman"/>
              </w:rPr>
            </w:pPr>
            <w:r w:rsidRPr="00CB6753">
              <w:rPr>
                <w:rFonts w:ascii="Times New Roman" w:hAnsi="Times New Roman"/>
              </w:rPr>
              <w:t>  ostatné zdroje financovania</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757B6" w:rsidRPr="00CB6753" w:rsidP="00603051">
            <w:pPr>
              <w:bidi w:val="0"/>
              <w:spacing w:after="0" w:line="240" w:lineRule="auto"/>
              <w:jc w:val="right"/>
              <w:rPr>
                <w:rFonts w:ascii="Times New Roman" w:hAnsi="Times New Roman"/>
              </w:rPr>
            </w:pPr>
            <w:r w:rsidRPr="00CB6753">
              <w:rPr>
                <w:rFonts w:ascii="Times New Roman" w:hAnsi="Times New Roman"/>
              </w:rPr>
              <w:t>0</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757B6" w:rsidRPr="00CB6753" w:rsidP="00603051">
            <w:pPr>
              <w:bidi w:val="0"/>
              <w:spacing w:after="0" w:line="240" w:lineRule="auto"/>
              <w:jc w:val="right"/>
              <w:rPr>
                <w:rFonts w:ascii="Times New Roman" w:hAnsi="Times New Roman"/>
              </w:rPr>
            </w:pPr>
            <w:r w:rsidRPr="00CB6753">
              <w:rPr>
                <w:rFonts w:ascii="Times New Roman" w:hAnsi="Times New Roman"/>
              </w:rPr>
              <w:t>0</w:t>
            </w:r>
          </w:p>
        </w:tc>
        <w:tc>
          <w:tcPr>
            <w:tcW w:w="1180"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757B6" w:rsidRPr="00CB6753" w:rsidP="00603051">
            <w:pPr>
              <w:bidi w:val="0"/>
              <w:spacing w:after="0" w:line="240" w:lineRule="auto"/>
              <w:jc w:val="right"/>
              <w:rPr>
                <w:rFonts w:ascii="Times New Roman" w:hAnsi="Times New Roman"/>
              </w:rPr>
            </w:pPr>
            <w:r w:rsidRPr="00CB6753">
              <w:rPr>
                <w:rFonts w:ascii="Times New Roman" w:hAnsi="Times New Roman"/>
              </w:rPr>
              <w:t>0</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757B6" w:rsidRPr="00CB6753" w:rsidP="00603051">
            <w:pPr>
              <w:bidi w:val="0"/>
              <w:spacing w:after="0" w:line="240" w:lineRule="auto"/>
              <w:jc w:val="right"/>
              <w:rPr>
                <w:rFonts w:ascii="Times New Roman" w:hAnsi="Times New Roman"/>
              </w:rPr>
            </w:pPr>
            <w:r w:rsidRPr="00CB6753">
              <w:rPr>
                <w:rFonts w:ascii="Times New Roman" w:hAnsi="Times New Roman"/>
              </w:rPr>
              <w:t>0</w:t>
            </w:r>
          </w:p>
        </w:tc>
        <w:tc>
          <w:tcPr>
            <w:tcW w:w="1180" w:type="dxa"/>
            <w:tcBorders>
              <w:top w:val="single" w:sz="4" w:space="0" w:color="000000"/>
              <w:left w:val="single" w:sz="4" w:space="0" w:color="000000"/>
              <w:bottom w:val="single" w:sz="4" w:space="0" w:color="000000"/>
              <w:right w:val="single" w:sz="4" w:space="0" w:color="000000"/>
            </w:tcBorders>
            <w:textDirection w:val="lrTb"/>
            <w:vAlign w:val="top"/>
          </w:tcPr>
          <w:p w:rsidR="006757B6" w:rsidRPr="00CB6753" w:rsidP="00603051">
            <w:pPr>
              <w:bidi w:val="0"/>
              <w:spacing w:after="0" w:line="240" w:lineRule="auto"/>
              <w:jc w:val="right"/>
              <w:rPr>
                <w:rFonts w:ascii="Times New Roman" w:hAnsi="Times New Roman"/>
              </w:rPr>
            </w:pPr>
            <w:r>
              <w:rPr>
                <w:rFonts w:ascii="Times New Roman" w:hAnsi="Times New Roman"/>
              </w:rPr>
              <w:t>0</w:t>
            </w:r>
          </w:p>
        </w:tc>
      </w:tr>
      <w:tr>
        <w:tblPrEx>
          <w:tblW w:w="9640" w:type="dxa"/>
          <w:tblInd w:w="-214" w:type="dxa"/>
          <w:tblCellMar>
            <w:left w:w="0" w:type="dxa"/>
            <w:right w:w="0" w:type="dxa"/>
          </w:tblCellMar>
        </w:tblPrEx>
        <w:trPr>
          <w:trHeight w:val="70"/>
        </w:trPr>
        <w:tc>
          <w:tcPr>
            <w:tcW w:w="37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757B6" w:rsidRPr="00CB6753" w:rsidP="00603051">
            <w:pPr>
              <w:bidi w:val="0"/>
              <w:spacing w:after="0" w:line="240" w:lineRule="auto"/>
              <w:rPr>
                <w:rFonts w:ascii="Times New Roman" w:hAnsi="Times New Roman"/>
              </w:rPr>
            </w:pPr>
            <w:r w:rsidRPr="00CB6753">
              <w:rPr>
                <w:rFonts w:ascii="Times New Roman" w:hAnsi="Times New Roman"/>
                <w:b/>
                <w:bCs/>
              </w:rPr>
              <w:t>Rozpočtovo nekrytý vplyv / úspora</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757B6" w:rsidRPr="00CB6753" w:rsidP="00603051">
            <w:pPr>
              <w:bidi w:val="0"/>
              <w:spacing w:after="0" w:line="240" w:lineRule="auto"/>
              <w:jc w:val="right"/>
              <w:rPr>
                <w:rFonts w:ascii="Times New Roman" w:hAnsi="Times New Roman"/>
              </w:rPr>
            </w:pPr>
            <w:r w:rsidRPr="00CB6753">
              <w:rPr>
                <w:rFonts w:ascii="Times New Roman" w:hAnsi="Times New Roman"/>
                <w:b/>
                <w:bCs/>
              </w:rPr>
              <w:t>0</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757B6" w:rsidRPr="00CB6753" w:rsidP="00603051">
            <w:pPr>
              <w:bidi w:val="0"/>
              <w:spacing w:after="0" w:line="240" w:lineRule="auto"/>
              <w:jc w:val="right"/>
              <w:rPr>
                <w:rFonts w:ascii="Times New Roman" w:hAnsi="Times New Roman"/>
              </w:rPr>
            </w:pPr>
            <w:r w:rsidRPr="00CB6753">
              <w:rPr>
                <w:rFonts w:ascii="Times New Roman" w:hAnsi="Times New Roman"/>
                <w:b/>
                <w:bCs/>
              </w:rPr>
              <w:t>0</w:t>
            </w:r>
          </w:p>
        </w:tc>
        <w:tc>
          <w:tcPr>
            <w:tcW w:w="1180"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757B6" w:rsidRPr="00CB6753" w:rsidP="00603051">
            <w:pPr>
              <w:bidi w:val="0"/>
              <w:spacing w:after="0" w:line="240" w:lineRule="auto"/>
              <w:jc w:val="right"/>
              <w:rPr>
                <w:rFonts w:ascii="Times New Roman" w:hAnsi="Times New Roman"/>
                <w:b/>
                <w:bCs/>
              </w:rPr>
            </w:pPr>
            <w:r>
              <w:rPr>
                <w:rFonts w:ascii="Times New Roman" w:hAnsi="Times New Roman"/>
                <w:b/>
                <w:bCs/>
              </w:rPr>
              <w:t>0</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757B6" w:rsidRPr="00CB6753" w:rsidP="00603051">
            <w:pPr>
              <w:bidi w:val="0"/>
              <w:spacing w:after="0" w:line="240" w:lineRule="auto"/>
              <w:jc w:val="right"/>
              <w:rPr>
                <w:rFonts w:ascii="Times New Roman" w:hAnsi="Times New Roman"/>
                <w:b/>
                <w:bCs/>
              </w:rPr>
            </w:pPr>
            <w:r w:rsidR="00DD4C14">
              <w:rPr>
                <w:rFonts w:ascii="Times New Roman" w:hAnsi="Times New Roman"/>
                <w:b/>
                <w:bCs/>
              </w:rPr>
              <w:t>471 625</w:t>
            </w:r>
          </w:p>
        </w:tc>
        <w:tc>
          <w:tcPr>
            <w:tcW w:w="1180" w:type="dxa"/>
            <w:tcBorders>
              <w:top w:val="single" w:sz="4" w:space="0" w:color="000000"/>
              <w:left w:val="single" w:sz="4" w:space="0" w:color="000000"/>
              <w:bottom w:val="single" w:sz="4" w:space="0" w:color="000000"/>
              <w:right w:val="single" w:sz="4" w:space="0" w:color="000000"/>
            </w:tcBorders>
            <w:textDirection w:val="lrTb"/>
            <w:vAlign w:val="top"/>
          </w:tcPr>
          <w:p w:rsidR="006757B6" w:rsidRPr="00CB6753" w:rsidP="00603051">
            <w:pPr>
              <w:bidi w:val="0"/>
              <w:spacing w:after="0" w:line="240" w:lineRule="auto"/>
              <w:jc w:val="right"/>
              <w:rPr>
                <w:rFonts w:ascii="Times New Roman" w:hAnsi="Times New Roman"/>
                <w:b/>
                <w:bCs/>
              </w:rPr>
            </w:pPr>
            <w:r w:rsidRPr="00E86903">
              <w:rPr>
                <w:rFonts w:ascii="Times New Roman" w:hAnsi="Times New Roman"/>
                <w:b/>
              </w:rPr>
              <w:t>41 321</w:t>
            </w:r>
          </w:p>
        </w:tc>
      </w:tr>
      <w:tr>
        <w:tblPrEx>
          <w:tblW w:w="9640" w:type="dxa"/>
          <w:tblInd w:w="-214" w:type="dxa"/>
          <w:tblCellMar>
            <w:left w:w="0" w:type="dxa"/>
            <w:right w:w="0" w:type="dxa"/>
          </w:tblCellMar>
        </w:tblPrEx>
        <w:tc>
          <w:tcPr>
            <w:tcW w:w="3743" w:type="dxa"/>
            <w:tcBorders>
              <w:top w:val="nil"/>
              <w:left w:val="nil"/>
              <w:bottom w:val="nil"/>
              <w:right w:val="nil"/>
            </w:tcBorders>
            <w:textDirection w:val="lrTb"/>
            <w:vAlign w:val="center"/>
          </w:tcPr>
          <w:p w:rsidR="006757B6" w:rsidRPr="00CB6753" w:rsidP="00603051">
            <w:pPr>
              <w:bidi w:val="0"/>
              <w:spacing w:after="0" w:line="240" w:lineRule="auto"/>
              <w:rPr>
                <w:rFonts w:ascii="Times New Roman" w:hAnsi="Times New Roman"/>
              </w:rPr>
            </w:pPr>
          </w:p>
        </w:tc>
        <w:tc>
          <w:tcPr>
            <w:tcW w:w="869" w:type="dxa"/>
            <w:tcBorders>
              <w:top w:val="nil"/>
              <w:left w:val="nil"/>
              <w:bottom w:val="nil"/>
              <w:right w:val="nil"/>
            </w:tcBorders>
            <w:textDirection w:val="lrTb"/>
            <w:vAlign w:val="center"/>
          </w:tcPr>
          <w:p w:rsidR="006757B6" w:rsidRPr="00CB6753" w:rsidP="00603051">
            <w:pPr>
              <w:bidi w:val="0"/>
              <w:spacing w:after="0" w:line="240" w:lineRule="auto"/>
              <w:rPr>
                <w:rFonts w:ascii="Times New Roman" w:hAnsi="Times New Roman"/>
              </w:rPr>
            </w:pPr>
          </w:p>
        </w:tc>
        <w:tc>
          <w:tcPr>
            <w:tcW w:w="993" w:type="dxa"/>
            <w:gridSpan w:val="2"/>
            <w:tcBorders>
              <w:top w:val="nil"/>
              <w:left w:val="nil"/>
              <w:bottom w:val="nil"/>
              <w:right w:val="nil"/>
            </w:tcBorders>
            <w:textDirection w:val="lrTb"/>
            <w:vAlign w:val="center"/>
          </w:tcPr>
          <w:p w:rsidR="006757B6" w:rsidRPr="00CB6753" w:rsidP="00603051">
            <w:pPr>
              <w:bidi w:val="0"/>
              <w:spacing w:after="0" w:line="240" w:lineRule="auto"/>
              <w:rPr>
                <w:rFonts w:ascii="Times New Roman" w:hAnsi="Times New Roman"/>
              </w:rPr>
            </w:pPr>
          </w:p>
        </w:tc>
        <w:tc>
          <w:tcPr>
            <w:tcW w:w="1417" w:type="dxa"/>
            <w:gridSpan w:val="2"/>
            <w:tcBorders>
              <w:top w:val="nil"/>
              <w:left w:val="nil"/>
              <w:bottom w:val="nil"/>
              <w:right w:val="nil"/>
            </w:tcBorders>
            <w:textDirection w:val="lrTb"/>
            <w:vAlign w:val="center"/>
          </w:tcPr>
          <w:p w:rsidR="006757B6" w:rsidRPr="00CB6753" w:rsidP="00603051">
            <w:pPr>
              <w:bidi w:val="0"/>
              <w:spacing w:after="0" w:line="240" w:lineRule="auto"/>
              <w:rPr>
                <w:rFonts w:ascii="Times New Roman" w:hAnsi="Times New Roman"/>
              </w:rPr>
            </w:pPr>
          </w:p>
        </w:tc>
        <w:tc>
          <w:tcPr>
            <w:tcW w:w="1020" w:type="dxa"/>
            <w:gridSpan w:val="2"/>
            <w:tcBorders>
              <w:top w:val="nil"/>
              <w:left w:val="nil"/>
              <w:bottom w:val="nil"/>
              <w:right w:val="nil"/>
            </w:tcBorders>
            <w:textDirection w:val="lrTb"/>
            <w:vAlign w:val="center"/>
          </w:tcPr>
          <w:p w:rsidR="006757B6" w:rsidRPr="00CB6753" w:rsidP="00603051">
            <w:pPr>
              <w:bidi w:val="0"/>
              <w:spacing w:after="0" w:line="240" w:lineRule="auto"/>
              <w:rPr>
                <w:rFonts w:ascii="Times New Roman" w:hAnsi="Times New Roman"/>
              </w:rPr>
            </w:pPr>
          </w:p>
        </w:tc>
        <w:tc>
          <w:tcPr>
            <w:tcW w:w="1598" w:type="dxa"/>
            <w:gridSpan w:val="2"/>
            <w:tcBorders>
              <w:top w:val="nil"/>
              <w:left w:val="nil"/>
              <w:bottom w:val="nil"/>
              <w:right w:val="nil"/>
            </w:tcBorders>
            <w:textDirection w:val="lrTb"/>
            <w:vAlign w:val="top"/>
          </w:tcPr>
          <w:p w:rsidR="006757B6" w:rsidRPr="00CB6753" w:rsidP="00603051">
            <w:pPr>
              <w:bidi w:val="0"/>
              <w:spacing w:after="0" w:line="240" w:lineRule="auto"/>
              <w:rPr>
                <w:rFonts w:ascii="Times New Roman" w:hAnsi="Times New Roman"/>
              </w:rPr>
            </w:pPr>
          </w:p>
        </w:tc>
      </w:tr>
    </w:tbl>
    <w:p w:rsidR="006757B6" w:rsidRPr="00CB6753" w:rsidP="006757B6">
      <w:pPr>
        <w:bidi w:val="0"/>
        <w:rPr>
          <w:rFonts w:ascii="Times New Roman" w:hAnsi="Times New Roman"/>
          <w:b/>
          <w:bCs/>
        </w:rPr>
      </w:pPr>
    </w:p>
    <w:p w:rsidR="006757B6" w:rsidRPr="00CB6753" w:rsidP="006757B6">
      <w:pPr>
        <w:bidi w:val="0"/>
        <w:rPr>
          <w:rFonts w:ascii="Times New Roman" w:hAnsi="Times New Roman"/>
          <w:b/>
          <w:bCs/>
        </w:rPr>
      </w:pPr>
      <w:r w:rsidRPr="00CB6753">
        <w:rPr>
          <w:rFonts w:ascii="Times New Roman" w:hAnsi="Times New Roman"/>
          <w:b/>
          <w:bCs/>
        </w:rPr>
        <w:t>Návrh na riešenie úbytku príjmov alebo zvýšených výdavkov podľa § 33 ods. 1 zákona č. 523/2004 Z. z. o rozpočtových pravidlách verejnej správy:</w:t>
      </w:r>
    </w:p>
    <w:p w:rsidR="006757B6" w:rsidRPr="00CB6753" w:rsidP="006757B6">
      <w:pPr>
        <w:bidi w:val="0"/>
        <w:rPr>
          <w:rFonts w:ascii="Times New Roman" w:hAnsi="Times New Roman"/>
        </w:rPr>
      </w:pPr>
    </w:p>
    <w:p w:rsidR="006757B6" w:rsidRPr="00CB6753" w:rsidP="006757B6">
      <w:pPr>
        <w:pBdr>
          <w:top w:val="single" w:sz="4" w:space="1" w:color="000000"/>
          <w:left w:val="single" w:sz="4" w:space="4" w:color="000000"/>
          <w:bottom w:val="single" w:sz="4" w:space="1" w:color="000000"/>
          <w:right w:val="single" w:sz="4" w:space="4" w:color="000000"/>
        </w:pBdr>
        <w:bidi w:val="0"/>
        <w:jc w:val="both"/>
        <w:rPr>
          <w:rFonts w:ascii="Times New Roman" w:hAnsi="Times New Roman"/>
        </w:rPr>
      </w:pPr>
      <w:r w:rsidRPr="00CB6753">
        <w:rPr>
          <w:rStyle w:val="PlaceholderText"/>
          <w:color w:val="000000"/>
        </w:rPr>
        <w:t>Napriek neutrálnemu vplyvu na akruálne príjmy bude mať zavedenie samozdanenia pri dovoze tovaru pravdepodobne negatívny vplyv na výšku maastrichtského dlhu a úrokové náklady v ESA95. V prípade, že Štátna pokladnica nedisponuje dostatočnou rezervou (alebo z dôvodu stratégie riadenia dlhu a likvidity sa nemôže znížiť), bude na vykrytie hotovostného výpadku potrebná dodatočná emisia vládnych cenných papierov, čím dôjde ku zvýšeniu hrubého dlhu, a tým aj k zvýšeniu úrokových nákladov. Pokiaľ by hotovostný výpadok bol pokrytý z rezervy Štátnej pokladnice, vplyv opatrenia na hrubý dlh a úrokové náklady dlhu by bol nulový. V dôsledku poklesu rezervy by sa však znížili úrokové príjmy z aktív.</w:t>
      </w:r>
    </w:p>
    <w:p w:rsidR="006757B6" w:rsidRPr="00CB6753" w:rsidP="006757B6">
      <w:pPr>
        <w:bidi w:val="0"/>
        <w:ind w:firstLine="709"/>
        <w:jc w:val="both"/>
        <w:rPr>
          <w:rFonts w:ascii="Times New Roman" w:hAnsi="Times New Roman"/>
        </w:rPr>
      </w:pPr>
    </w:p>
    <w:p w:rsidR="006757B6" w:rsidP="006757B6">
      <w:pPr>
        <w:bidi w:val="0"/>
        <w:ind w:firstLine="709"/>
        <w:jc w:val="both"/>
        <w:rPr>
          <w:rFonts w:ascii="Times New Roman" w:hAnsi="Times New Roman"/>
        </w:rPr>
      </w:pPr>
      <w:r w:rsidRPr="00CB6753">
        <w:rPr>
          <w:rFonts w:ascii="Times New Roman" w:hAnsi="Times New Roman"/>
        </w:rPr>
        <w:t>Zavedenie kontrolného výkazu o konkrétnych obchodných transakciách platiteľa dane má napomôcť efektívnemu potláčaniu daňových podvodných aktivít. Vybrané údaje z kontrolného výkazu bude možné konfrontovať s údajmi, ktoré platiteľ dane uviedol v daňovom priznaní. Vytvorí sa tým efektívna možnosť krížovej kontroly týchto údajov s údajmi jednotlivých obchodných partnerov a bude smerovať k posilneniu príjmov štátneho rozpočtu. Aj ďalšie navrhované opatrenia, ktoré sú zamerané na potláčanie aktivít smerujúcich k vyhýbaniu sa platbe dane, napr. proti úmyselnému zamieňaniu bežného režimu dane a osobitnej úpravy uplatňovania dane pri kúpe ojazdených motorových vozidiel, budú v konečnom dôsledku znamenať pozitívny vplyv na štátny rozpočet. Charakter navrhovaných opatrení neumožňuje kvantifikovať výšku vplyvu na štátny rozpočet.</w:t>
      </w:r>
    </w:p>
    <w:p w:rsidR="006757B6" w:rsidP="006757B6">
      <w:pPr>
        <w:bidi w:val="0"/>
        <w:ind w:firstLine="709"/>
        <w:jc w:val="both"/>
        <w:rPr>
          <w:rStyle w:val="PlaceholderText"/>
          <w:color w:val="000000"/>
        </w:rPr>
      </w:pPr>
      <w:r>
        <w:rPr>
          <w:rFonts w:ascii="Times New Roman" w:hAnsi="Times New Roman"/>
        </w:rPr>
        <w:t>Na základe</w:t>
      </w:r>
      <w:r w:rsidRPr="00886A25">
        <w:rPr>
          <w:rStyle w:val="PlaceholderText"/>
          <w:color w:val="000000"/>
        </w:rPr>
        <w:t xml:space="preserve"> </w:t>
      </w:r>
      <w:r w:rsidRPr="00A34A0E">
        <w:rPr>
          <w:rStyle w:val="PlaceholderText"/>
          <w:color w:val="000000"/>
        </w:rPr>
        <w:t>rozšíreného článku 199a smernice Rady 2006/112/ES o spoločnom systéme dane z pridanej hodnoty</w:t>
      </w:r>
      <w:r>
        <w:rPr>
          <w:rFonts w:ascii="Times New Roman" w:hAnsi="Times New Roman"/>
        </w:rPr>
        <w:t xml:space="preserve"> sa </w:t>
      </w:r>
      <w:r w:rsidRPr="00A34A0E">
        <w:rPr>
          <w:rStyle w:val="PlaceholderText"/>
          <w:color w:val="000000"/>
        </w:rPr>
        <w:t>ako jedno z najefektívnejších opatrení v boji proti daňovým podvodom</w:t>
      </w:r>
      <w:r>
        <w:rPr>
          <w:rStyle w:val="PlaceholderText"/>
          <w:color w:val="000000"/>
        </w:rPr>
        <w:t xml:space="preserve"> navrhuje </w:t>
      </w:r>
      <w:r w:rsidRPr="00A34A0E">
        <w:rPr>
          <w:rStyle w:val="PlaceholderText"/>
          <w:color w:val="000000"/>
        </w:rPr>
        <w:t>zaviesť prenos daňovej povinnosti</w:t>
      </w:r>
      <w:r>
        <w:rPr>
          <w:rStyle w:val="PlaceholderText"/>
          <w:color w:val="000000"/>
        </w:rPr>
        <w:t xml:space="preserve"> aj na</w:t>
      </w:r>
      <w:r w:rsidRPr="00886A25">
        <w:rPr>
          <w:rStyle w:val="PlaceholderText"/>
          <w:color w:val="000000"/>
        </w:rPr>
        <w:t xml:space="preserve"> </w:t>
      </w:r>
      <w:r w:rsidRPr="00A34A0E">
        <w:rPr>
          <w:rStyle w:val="PlaceholderText"/>
          <w:color w:val="000000"/>
        </w:rPr>
        <w:t>vybrané druhy poľnohospodárskych produktov, kovov, mobilné telefóny a integrované obvody.</w:t>
      </w:r>
    </w:p>
    <w:p w:rsidR="006757B6" w:rsidRPr="00386D98" w:rsidP="006757B6">
      <w:pPr>
        <w:bidi w:val="0"/>
        <w:ind w:firstLine="709"/>
        <w:jc w:val="both"/>
        <w:rPr>
          <w:rStyle w:val="PlaceholderText"/>
          <w:color w:val="000000"/>
        </w:rPr>
      </w:pPr>
      <w:r w:rsidRPr="00386D98">
        <w:rPr>
          <w:rFonts w:ascii="Times New Roman" w:hAnsi="Times New Roman"/>
        </w:rPr>
        <w:t xml:space="preserve">Vplyv uvedeného opatrenia </w:t>
      </w:r>
      <w:r w:rsidRPr="00386D98">
        <w:rPr>
          <w:rFonts w:ascii="Times New Roman" w:hAnsi="Times New Roman"/>
          <w:bCs/>
        </w:rPr>
        <w:t>nie je možné kvantifikovať</w:t>
      </w:r>
      <w:r w:rsidRPr="00386D98">
        <w:rPr>
          <w:rFonts w:ascii="Times New Roman" w:hAnsi="Times New Roman"/>
        </w:rPr>
        <w:t xml:space="preserve"> z dôvodu, že nie sú k dispozícií disagregované údaje na požadovanej úrovni. Opatrenie bude mať </w:t>
      </w:r>
      <w:r w:rsidRPr="00386D98">
        <w:rPr>
          <w:rFonts w:ascii="Times New Roman" w:hAnsi="Times New Roman"/>
          <w:bCs/>
        </w:rPr>
        <w:t>negatívny vplyv na hotovostné plnenie výnosu DPH</w:t>
      </w:r>
      <w:r w:rsidRPr="00386D98">
        <w:rPr>
          <w:rFonts w:ascii="Times New Roman" w:hAnsi="Times New Roman"/>
        </w:rPr>
        <w:t xml:space="preserve"> z transakcií podliehajúcich tuzemskému samozdaneniu z dôvodu presunutia platby DPH na konečného spotrebiteľa. Uplatňovanie samozdanenia bude znamenať výpadok</w:t>
      </w:r>
      <w:r>
        <w:rPr>
          <w:rFonts w:ascii="Times New Roman" w:hAnsi="Times New Roman"/>
        </w:rPr>
        <w:t xml:space="preserve"> </w:t>
      </w:r>
      <w:r w:rsidRPr="00386D98">
        <w:rPr>
          <w:rFonts w:ascii="Times New Roman" w:hAnsi="Times New Roman"/>
        </w:rPr>
        <w:t>hotovostných platieb dane dodávateľmi, ktoré by boli  uplatnené ako odpočet dane na vstup</w:t>
      </w:r>
      <w:r>
        <w:rPr>
          <w:rFonts w:ascii="Times New Roman" w:hAnsi="Times New Roman"/>
        </w:rPr>
        <w:t>e príjemcom tovaru, ale s jedno</w:t>
      </w:r>
      <w:r w:rsidRPr="00386D98">
        <w:rPr>
          <w:rFonts w:ascii="Times New Roman" w:hAnsi="Times New Roman"/>
        </w:rPr>
        <w:t xml:space="preserve"> alebo dvoj – mesačným oneskorením. Zmena hotovostného plnenia dane sa môže do určitej miery premietnuť aj do akruálneho výnosu dane počítaného na základe posunu</w:t>
      </w:r>
      <w:r>
        <w:rPr>
          <w:rFonts w:ascii="Times New Roman" w:hAnsi="Times New Roman"/>
        </w:rPr>
        <w:t xml:space="preserve"> hotovostného plnenia</w:t>
      </w:r>
      <w:r w:rsidRPr="00386D98">
        <w:rPr>
          <w:rFonts w:ascii="Times New Roman" w:hAnsi="Times New Roman"/>
        </w:rPr>
        <w:t>.</w:t>
      </w:r>
    </w:p>
    <w:p w:rsidR="006757B6" w:rsidRPr="00CB6753" w:rsidP="006757B6">
      <w:pPr>
        <w:bidi w:val="0"/>
        <w:rPr>
          <w:rFonts w:ascii="Times New Roman" w:hAnsi="Times New Roman"/>
          <w:b/>
          <w:bCs/>
        </w:rPr>
      </w:pPr>
    </w:p>
    <w:p w:rsidR="006757B6" w:rsidRPr="00CB6753" w:rsidP="006757B6">
      <w:pPr>
        <w:bidi w:val="0"/>
        <w:rPr>
          <w:rFonts w:ascii="Times New Roman" w:hAnsi="Times New Roman"/>
          <w:b/>
          <w:bCs/>
        </w:rPr>
      </w:pPr>
      <w:r w:rsidRPr="00CB6753">
        <w:rPr>
          <w:rFonts w:ascii="Times New Roman" w:hAnsi="Times New Roman"/>
          <w:b/>
          <w:bCs/>
        </w:rPr>
        <w:t>2.3. Popis a charakteristika návrhu</w:t>
      </w:r>
    </w:p>
    <w:p w:rsidR="006757B6" w:rsidRPr="00CB6753" w:rsidP="006757B6">
      <w:pPr>
        <w:bidi w:val="0"/>
        <w:rPr>
          <w:rFonts w:ascii="Times New Roman" w:hAnsi="Times New Roman"/>
        </w:rPr>
      </w:pPr>
    </w:p>
    <w:p w:rsidR="006757B6" w:rsidRPr="00CB6753" w:rsidP="006757B6">
      <w:pPr>
        <w:bidi w:val="0"/>
        <w:jc w:val="both"/>
        <w:rPr>
          <w:rFonts w:ascii="Times New Roman" w:hAnsi="Times New Roman"/>
          <w:b/>
          <w:bCs/>
        </w:rPr>
      </w:pPr>
      <w:r w:rsidRPr="00CB6753">
        <w:rPr>
          <w:rFonts w:ascii="Times New Roman" w:hAnsi="Times New Roman"/>
          <w:b/>
          <w:bCs/>
        </w:rPr>
        <w:t>2.3.1. Popis návrhu:</w:t>
      </w:r>
    </w:p>
    <w:p w:rsidR="006757B6" w:rsidRPr="00CB6753" w:rsidP="006757B6">
      <w:pPr>
        <w:bidi w:val="0"/>
        <w:rPr>
          <w:rFonts w:ascii="Times New Roman" w:hAnsi="Times New Roman"/>
        </w:rPr>
      </w:pPr>
    </w:p>
    <w:p w:rsidR="006757B6" w:rsidRPr="00CB6753" w:rsidP="006757B6">
      <w:pPr>
        <w:bidi w:val="0"/>
        <w:ind w:firstLine="709"/>
        <w:jc w:val="both"/>
        <w:rPr>
          <w:rStyle w:val="PlaceholderText"/>
          <w:color w:val="000000"/>
        </w:rPr>
      </w:pPr>
      <w:r w:rsidRPr="00CB6753">
        <w:rPr>
          <w:rFonts w:ascii="Times New Roman" w:hAnsi="Times New Roman"/>
        </w:rPr>
        <w:t>Novela zákona o DPH navrhuje zavedenie ďalšej série ustanovení, ktorých cieľom je predchádzanie daňovým podvodom a únikom na dani z pridanej hodnoty. Popri rozšírení vecnej pôsobnosti niektorých už prijatých opatrení (napr. zábezpeka na daň) sa zavádzajú aj úplne nové nástroje, ktorých cieľom je ef</w:t>
      </w:r>
      <w:r w:rsidRPr="00CB6753">
        <w:rPr>
          <w:rStyle w:val="PlaceholderText"/>
          <w:color w:val="000000"/>
        </w:rPr>
        <w:t xml:space="preserve">ektívne potlačenie podvodných aktivít. </w:t>
      </w:r>
    </w:p>
    <w:p w:rsidR="006757B6" w:rsidRPr="00CB6753" w:rsidP="006757B6">
      <w:pPr>
        <w:bidi w:val="0"/>
        <w:ind w:firstLine="709"/>
        <w:jc w:val="both"/>
        <w:rPr>
          <w:rStyle w:val="PlaceholderText"/>
          <w:color w:val="000000"/>
        </w:rPr>
      </w:pPr>
    </w:p>
    <w:p w:rsidR="006757B6" w:rsidRPr="00CB6753" w:rsidP="006757B6">
      <w:pPr>
        <w:bidi w:val="0"/>
        <w:ind w:firstLine="709"/>
        <w:jc w:val="both"/>
        <w:rPr>
          <w:rStyle w:val="PlaceholderText"/>
          <w:color w:val="000000"/>
        </w:rPr>
      </w:pPr>
      <w:r w:rsidRPr="00CB6753">
        <w:rPr>
          <w:rStyle w:val="PlaceholderText"/>
          <w:color w:val="000000"/>
        </w:rPr>
        <w:t xml:space="preserve">Keďže finančná správa má len obmedzené informácie o konkrétnych obchodných transakciách platiteľa dane, kontrolný výkaz, ktorý obsahuje stanovené údaje z prijatých a vydaných faktúr platiteľa dane, predstavuje najvýznamnejší nástroj na boj proti daňovým podvodom a únikom novely zákona o DPH. Vybrané údaje z kontrolného výkazu bude možné konfrontovať s údajmi, ktoré tento platiteľ dane uviedol v daňovom priznaní, omnoho väčším prínosom však bude krížová kontrola týchto údajoch s údajmi jednotlivých obchodných partnerov platiteľa dane. </w:t>
      </w:r>
    </w:p>
    <w:p w:rsidR="006757B6" w:rsidRPr="00CB6753" w:rsidP="006757B6">
      <w:pPr>
        <w:bidi w:val="0"/>
        <w:ind w:firstLine="709"/>
        <w:jc w:val="both"/>
        <w:rPr>
          <w:rStyle w:val="PlaceholderText"/>
          <w:color w:val="000000"/>
        </w:rPr>
      </w:pPr>
    </w:p>
    <w:p w:rsidR="006757B6" w:rsidRPr="00CB6753" w:rsidP="006757B6">
      <w:pPr>
        <w:bidi w:val="0"/>
        <w:ind w:firstLine="709"/>
        <w:jc w:val="both"/>
        <w:rPr>
          <w:rStyle w:val="PlaceholderText"/>
          <w:color w:val="000000"/>
        </w:rPr>
      </w:pPr>
      <w:r w:rsidRPr="00CB6753">
        <w:rPr>
          <w:rStyle w:val="PlaceholderText"/>
          <w:color w:val="000000"/>
        </w:rPr>
        <w:t xml:space="preserve">Automatizované spracovávanie kontrolného výkazu finančnou správou si vyžaduje jeho podávanie v elektronickej podobe, čerpajúc pritom údaje z elektronicky vedeného účtovníctva. Okrem zlepšenej analýzy rizík je sekundárnym efektom zavedenia kontrolného výkazu aj zlepšenie plnenia daňových povinností platiteľov dane a zároveň predpokladaný pozitívny dopad na výber dane z pridanej hodnoty. </w:t>
      </w:r>
    </w:p>
    <w:p w:rsidR="006757B6" w:rsidRPr="00CB6753" w:rsidP="006757B6">
      <w:pPr>
        <w:bidi w:val="0"/>
        <w:ind w:firstLine="709"/>
        <w:jc w:val="both"/>
        <w:rPr>
          <w:rFonts w:ascii="Times New Roman" w:hAnsi="Times New Roman"/>
          <w:color w:val="000000"/>
        </w:rPr>
      </w:pPr>
    </w:p>
    <w:p w:rsidR="006757B6" w:rsidP="006757B6">
      <w:pPr>
        <w:bidi w:val="0"/>
        <w:ind w:firstLine="709"/>
        <w:jc w:val="both"/>
        <w:rPr>
          <w:rStyle w:val="PlaceholderText"/>
          <w:color w:val="000000"/>
        </w:rPr>
      </w:pPr>
      <w:r w:rsidRPr="00CB6753">
        <w:rPr>
          <w:rStyle w:val="PlaceholderText"/>
          <w:color w:val="000000"/>
        </w:rPr>
        <w:t>Na základe poznatkov z praxe pristúpilo Ministerstvo financií Slovenskej republiky k zavedeniu ďalších opatrení, ktoré sa zameriavajú na elimináciu aktivít smerujúcich k vyhýbaniu sa platbe dane. Ide napríklad o úmyselné zamieňanie bežného režimu dane a osobitnej úpravy uplatňovania dane využívanej najmä pri kúpe ojazdených motorových vozidiel z iného členského štátu. V tejto súvislosti sa umožňuje novelou zákona o DPH použiť osobitnú úpravu uplatňovania dane len vtedy, ak je špecifikovaná na faktúre vydanej k dodaniu motorového vozidla. Podobným opatrením smerovaným proti vyhýbaniu sa platbe dane je aj pokračovanie úprav odpočítanej dane pri investičnom majetku, ktorým je neh</w:t>
      </w:r>
      <w:r>
        <w:rPr>
          <w:rStyle w:val="PlaceholderText"/>
          <w:color w:val="000000"/>
        </w:rPr>
        <w:t>nuteľnosť u právnych nástupcov.</w:t>
      </w:r>
    </w:p>
    <w:p w:rsidR="006757B6" w:rsidP="006757B6">
      <w:pPr>
        <w:bidi w:val="0"/>
        <w:ind w:firstLine="709"/>
        <w:jc w:val="both"/>
        <w:rPr>
          <w:rStyle w:val="PlaceholderText"/>
          <w:color w:val="000000"/>
        </w:rPr>
      </w:pPr>
    </w:p>
    <w:p w:rsidR="006757B6" w:rsidP="006757B6">
      <w:pPr>
        <w:bidi w:val="0"/>
        <w:ind w:firstLine="709"/>
        <w:jc w:val="both"/>
        <w:rPr>
          <w:rStyle w:val="PlaceholderText"/>
          <w:color w:val="000000"/>
        </w:rPr>
      </w:pPr>
      <w:r w:rsidRPr="00A34A0E">
        <w:rPr>
          <w:rStyle w:val="PlaceholderText"/>
          <w:color w:val="000000"/>
        </w:rPr>
        <w:t>Už v minulosti sa zavedenie prenosu daňovej povinnosti na vybrané transakcie ukázalo ako jedno z najefektívnejších opatrení v boji proti daňovým podvodom. Ministerstvo financií Slovenskej republiky sa aj z tohto dôvodu rozhodlo na vybrané komodity zaviesť prenos daňovej povinnosti na základe rozšíreného článku 199a smernice Rady 2006/112/ES o spoločnom systéme dane z pridanej hodnoty. Ide o vybrané druhy poľnohospodárskych produktov, kovov, mobilné telefóny a integrované obvody.</w:t>
      </w:r>
    </w:p>
    <w:p w:rsidR="006757B6" w:rsidRPr="00386D98" w:rsidP="006757B6">
      <w:pPr>
        <w:bidi w:val="0"/>
        <w:ind w:firstLine="709"/>
        <w:jc w:val="both"/>
        <w:rPr>
          <w:rStyle w:val="PlaceholderText"/>
          <w:color w:val="000000"/>
        </w:rPr>
      </w:pPr>
      <w:r w:rsidRPr="00386D98">
        <w:rPr>
          <w:rFonts w:ascii="Times New Roman" w:hAnsi="Times New Roman"/>
        </w:rPr>
        <w:t xml:space="preserve">Vplyv uvedeného opatrenia </w:t>
      </w:r>
      <w:r w:rsidRPr="00386D98">
        <w:rPr>
          <w:rFonts w:ascii="Times New Roman" w:hAnsi="Times New Roman"/>
          <w:bCs/>
        </w:rPr>
        <w:t>nie je možné kvantifikovať</w:t>
      </w:r>
      <w:r w:rsidRPr="00386D98">
        <w:rPr>
          <w:rFonts w:ascii="Times New Roman" w:hAnsi="Times New Roman"/>
        </w:rPr>
        <w:t xml:space="preserve"> z dôvodu, že nie sú k dispozícií disagregované údaje na požadovanej úrovni. Opatrenie bude mať </w:t>
      </w:r>
      <w:r w:rsidRPr="00386D98">
        <w:rPr>
          <w:rFonts w:ascii="Times New Roman" w:hAnsi="Times New Roman"/>
          <w:bCs/>
        </w:rPr>
        <w:t>negatívny vplyv na hotovostné plnenie výnosu DPH</w:t>
      </w:r>
      <w:r w:rsidRPr="00386D98">
        <w:rPr>
          <w:rFonts w:ascii="Times New Roman" w:hAnsi="Times New Roman"/>
        </w:rPr>
        <w:t xml:space="preserve"> z transakcií podliehajúcich tuzemskému samozdaneniu z dôvodu presunutia platby DPH na konečného spotrebiteľa. Uplatňovanie samozdanenia bude znamenať výpadok hotovostných platieb dane dodávateľmi, ktoré by boli  uplatnené ako odpočet dane na vstup</w:t>
      </w:r>
      <w:r>
        <w:rPr>
          <w:rFonts w:ascii="Times New Roman" w:hAnsi="Times New Roman"/>
        </w:rPr>
        <w:t>e príjemcom tovaru, ale s jedno</w:t>
      </w:r>
      <w:r w:rsidRPr="00386D98">
        <w:rPr>
          <w:rFonts w:ascii="Times New Roman" w:hAnsi="Times New Roman"/>
        </w:rPr>
        <w:t xml:space="preserve"> alebo dvoj – mesačným oneskorením. Zmena hotovostného plnenia dane sa môže do určitej miery premietnuť aj do akruálneho výnosu dane počítaného na základe posunu</w:t>
      </w:r>
      <w:r>
        <w:rPr>
          <w:rFonts w:ascii="Times New Roman" w:hAnsi="Times New Roman"/>
        </w:rPr>
        <w:t xml:space="preserve"> hotovostného plnenia</w:t>
      </w:r>
      <w:r w:rsidRPr="00386D98">
        <w:rPr>
          <w:rFonts w:ascii="Times New Roman" w:hAnsi="Times New Roman"/>
        </w:rPr>
        <w:t>.</w:t>
      </w:r>
    </w:p>
    <w:p w:rsidR="006757B6" w:rsidRPr="00CB6753" w:rsidP="006757B6">
      <w:pPr>
        <w:bidi w:val="0"/>
        <w:ind w:firstLine="709"/>
        <w:jc w:val="both"/>
        <w:rPr>
          <w:rStyle w:val="PlaceholderText"/>
          <w:color w:val="000000"/>
        </w:rPr>
      </w:pPr>
    </w:p>
    <w:p w:rsidR="006757B6" w:rsidRPr="00CB6753" w:rsidP="006757B6">
      <w:pPr>
        <w:bidi w:val="0"/>
        <w:ind w:firstLine="709"/>
        <w:jc w:val="both"/>
        <w:rPr>
          <w:rStyle w:val="PlaceholderText"/>
          <w:color w:val="000000"/>
        </w:rPr>
      </w:pPr>
      <w:r w:rsidRPr="00CB6753">
        <w:rPr>
          <w:rStyle w:val="PlaceholderText"/>
          <w:color w:val="000000"/>
        </w:rPr>
        <w:t>K zlepšeniu podnikateľského prostredia nevyhnutne prispievajú aj úpravy legislatívno-technického charakteru, ktoré pre určité situácie dopĺňajú chýbajúci zákonný postup a zvyšujú tým právnu istotu platiteľov dane. K takýmto opatreniam patria napríklad právna úprava zmeny typu registrácie pre daň, úprava zrušenia registrácie pre daň.</w:t>
      </w:r>
    </w:p>
    <w:p w:rsidR="006757B6" w:rsidRPr="00CB6753" w:rsidP="006757B6">
      <w:pPr>
        <w:bidi w:val="0"/>
        <w:jc w:val="both"/>
        <w:rPr>
          <w:rStyle w:val="PlaceholderText"/>
          <w:color w:val="000000"/>
        </w:rPr>
      </w:pPr>
    </w:p>
    <w:p w:rsidR="006757B6" w:rsidRPr="00CB6753" w:rsidP="006757B6">
      <w:pPr>
        <w:bidi w:val="0"/>
        <w:jc w:val="both"/>
        <w:rPr>
          <w:rFonts w:ascii="Times New Roman" w:hAnsi="Times New Roman"/>
        </w:rPr>
      </w:pPr>
      <w:r w:rsidRPr="00CB6753">
        <w:rPr>
          <w:rFonts w:ascii="Times New Roman" w:hAnsi="Times New Roman"/>
        </w:rPr>
        <w:tab/>
        <w:t xml:space="preserve">Novela zákona o DPH predpokladá zavedenie opatrení s účinnosťou od 1. januára 2014. </w:t>
      </w:r>
    </w:p>
    <w:p w:rsidR="006757B6" w:rsidRPr="00CB6753" w:rsidP="006757B6">
      <w:pPr>
        <w:bidi w:val="0"/>
        <w:jc w:val="both"/>
        <w:rPr>
          <w:rFonts w:ascii="Times New Roman" w:hAnsi="Times New Roman"/>
        </w:rPr>
      </w:pPr>
    </w:p>
    <w:p w:rsidR="006757B6" w:rsidP="006757B6">
      <w:pPr>
        <w:bidi w:val="0"/>
        <w:ind w:firstLine="709"/>
        <w:jc w:val="both"/>
        <w:rPr>
          <w:rStyle w:val="PlaceholderText"/>
          <w:color w:val="000000"/>
        </w:rPr>
      </w:pPr>
      <w:r w:rsidRPr="00CB6753">
        <w:rPr>
          <w:rStyle w:val="PlaceholderText"/>
          <w:color w:val="000000"/>
        </w:rPr>
        <w:t xml:space="preserve">Súčasne sa návrhom novely zákona o DPH z dôvodu konsolidácie verejných financií </w:t>
      </w:r>
      <w:r>
        <w:rPr>
          <w:rStyle w:val="PlaceholderText"/>
          <w:color w:val="000000"/>
        </w:rPr>
        <w:t xml:space="preserve">a značne napätej situácie v príjmovej časti štátneho rozpočtu </w:t>
      </w:r>
      <w:r w:rsidRPr="00CB6753">
        <w:rPr>
          <w:rStyle w:val="PlaceholderText"/>
          <w:color w:val="000000"/>
        </w:rPr>
        <w:t>odkladá účinnosť opatrenia týkajúceho sa samozdanenia dovozu tovaru z tretích štátov platiteľom dane z 1. januára 2014 na 1. január 201</w:t>
      </w:r>
      <w:r>
        <w:rPr>
          <w:rStyle w:val="PlaceholderText"/>
          <w:color w:val="000000"/>
        </w:rPr>
        <w:t>7</w:t>
      </w:r>
      <w:r w:rsidRPr="00CB6753">
        <w:rPr>
          <w:rStyle w:val="PlaceholderText"/>
          <w:color w:val="000000"/>
        </w:rPr>
        <w:t>.</w:t>
      </w:r>
    </w:p>
    <w:p w:rsidR="006757B6" w:rsidP="006757B6">
      <w:pPr>
        <w:bidi w:val="0"/>
        <w:ind w:firstLine="709"/>
        <w:jc w:val="both"/>
        <w:rPr>
          <w:rStyle w:val="PlaceholderText"/>
          <w:color w:val="000000"/>
        </w:rPr>
      </w:pPr>
    </w:p>
    <w:p w:rsidR="006757B6" w:rsidRPr="005D7C3C" w:rsidP="006757B6">
      <w:pPr>
        <w:bidi w:val="0"/>
        <w:ind w:firstLine="709"/>
        <w:jc w:val="both"/>
        <w:rPr>
          <w:rFonts w:ascii="Times New Roman" w:hAnsi="Times New Roman"/>
        </w:rPr>
      </w:pPr>
      <w:r w:rsidRPr="005D7C3C">
        <w:rPr>
          <w:rFonts w:ascii="Times New Roman" w:hAnsi="Times New Roman"/>
        </w:rPr>
        <w:t>Odklad účinnosti opatrenia týkajúceho sa samozdanenia dovozu tovaru z tretích štátov platiteľom dane z 1. januára 2014 na 1. január 201</w:t>
      </w:r>
      <w:r>
        <w:rPr>
          <w:rFonts w:ascii="Times New Roman" w:hAnsi="Times New Roman"/>
        </w:rPr>
        <w:t>7</w:t>
      </w:r>
      <w:r w:rsidRPr="005D7C3C">
        <w:rPr>
          <w:rFonts w:ascii="Times New Roman" w:hAnsi="Times New Roman"/>
        </w:rPr>
        <w:t xml:space="preserve"> presunie negatívne fiškálne vplyvy o </w:t>
      </w:r>
      <w:r>
        <w:rPr>
          <w:rFonts w:ascii="Times New Roman" w:hAnsi="Times New Roman"/>
        </w:rPr>
        <w:t>tri</w:t>
      </w:r>
      <w:r w:rsidRPr="005D7C3C">
        <w:rPr>
          <w:rFonts w:ascii="Times New Roman" w:hAnsi="Times New Roman"/>
        </w:rPr>
        <w:t xml:space="preserve"> roky neskôr t.j. do roku 201</w:t>
      </w:r>
      <w:r>
        <w:rPr>
          <w:rFonts w:ascii="Times New Roman" w:hAnsi="Times New Roman"/>
        </w:rPr>
        <w:t>7</w:t>
      </w:r>
      <w:r w:rsidRPr="005D7C3C">
        <w:rPr>
          <w:rFonts w:ascii="Times New Roman" w:hAnsi="Times New Roman"/>
        </w:rPr>
        <w:t xml:space="preserve">. </w:t>
      </w:r>
    </w:p>
    <w:p w:rsidR="006757B6" w:rsidRPr="005D7C3C" w:rsidP="006757B6">
      <w:pPr>
        <w:bidi w:val="0"/>
        <w:jc w:val="both"/>
        <w:rPr>
          <w:rFonts w:ascii="Times New Roman" w:hAnsi="Times New Roman"/>
        </w:rPr>
      </w:pPr>
    </w:p>
    <w:p w:rsidR="006757B6" w:rsidRPr="005D7C3C" w:rsidP="006757B6">
      <w:pPr>
        <w:bidi w:val="0"/>
        <w:ind w:firstLine="709"/>
        <w:jc w:val="both"/>
        <w:rPr>
          <w:rFonts w:ascii="Times New Roman" w:hAnsi="Times New Roman"/>
        </w:rPr>
      </w:pPr>
      <w:r w:rsidRPr="005D7C3C">
        <w:rPr>
          <w:rFonts w:ascii="Times New Roman" w:hAnsi="Times New Roman"/>
        </w:rPr>
        <w:t xml:space="preserve">Samozdanenie </w:t>
      </w:r>
      <w:r>
        <w:rPr>
          <w:rFonts w:ascii="Times New Roman" w:hAnsi="Times New Roman"/>
        </w:rPr>
        <w:t>dovozu tovaru z tretích štátov</w:t>
      </w:r>
      <w:r w:rsidRPr="005D7C3C">
        <w:rPr>
          <w:rFonts w:ascii="Times New Roman" w:hAnsi="Times New Roman"/>
        </w:rPr>
        <w:t xml:space="preserve"> nebude mať vplyv na akruálny výnos DPH (ESA 95), zníži však hotovostný výnos DPH v roku 201</w:t>
      </w:r>
      <w:r>
        <w:rPr>
          <w:rFonts w:ascii="Times New Roman" w:hAnsi="Times New Roman"/>
        </w:rPr>
        <w:t>7</w:t>
      </w:r>
      <w:r w:rsidRPr="005D7C3C">
        <w:rPr>
          <w:rFonts w:ascii="Times New Roman" w:hAnsi="Times New Roman"/>
        </w:rPr>
        <w:t xml:space="preserve"> (v prvom kvartáli roka). Veľkosť tohto vplyvu bude závisieť od počtu subjektov, ktoré splnia podmienky pre využívanie samozdanenia. Pri predpoklade, že</w:t>
      </w:r>
      <w:r w:rsidRPr="005D7C3C">
        <w:rPr>
          <w:rFonts w:ascii="Times New Roman" w:hAnsi="Times New Roman"/>
          <w:b/>
        </w:rPr>
        <w:t xml:space="preserve"> </w:t>
      </w:r>
      <w:r w:rsidRPr="005D7C3C">
        <w:rPr>
          <w:rFonts w:ascii="Times New Roman" w:hAnsi="Times New Roman"/>
        </w:rPr>
        <w:t>samozdanenie sa bude vzťahovať na 2/3 dovozu z tretích krajín, bude negatívny vplyv na hotovostný výnos DPH v roku 201</w:t>
      </w:r>
      <w:r>
        <w:rPr>
          <w:rFonts w:ascii="Times New Roman" w:hAnsi="Times New Roman"/>
        </w:rPr>
        <w:t>7</w:t>
      </w:r>
      <w:r w:rsidRPr="005D7C3C">
        <w:rPr>
          <w:rFonts w:ascii="Times New Roman" w:hAnsi="Times New Roman"/>
        </w:rPr>
        <w:t xml:space="preserve"> vo výške 4</w:t>
      </w:r>
      <w:r w:rsidR="00DD4C14">
        <w:rPr>
          <w:rFonts w:ascii="Times New Roman" w:hAnsi="Times New Roman"/>
        </w:rPr>
        <w:t>5</w:t>
      </w:r>
      <w:r>
        <w:rPr>
          <w:rFonts w:ascii="Times New Roman" w:hAnsi="Times New Roman"/>
        </w:rPr>
        <w:t>4</w:t>
      </w:r>
      <w:r w:rsidRPr="005D7C3C">
        <w:rPr>
          <w:rFonts w:ascii="Times New Roman" w:hAnsi="Times New Roman"/>
        </w:rPr>
        <w:t>,</w:t>
      </w:r>
      <w:r>
        <w:rPr>
          <w:rFonts w:ascii="Times New Roman" w:hAnsi="Times New Roman"/>
        </w:rPr>
        <w:t>6</w:t>
      </w:r>
      <w:r w:rsidRPr="005D7C3C">
        <w:rPr>
          <w:rFonts w:ascii="Times New Roman" w:hAnsi="Times New Roman"/>
        </w:rPr>
        <w:t xml:space="preserve"> mil. Eur (0,5% HDP). Tento výpadok sa prejaví najmä v prvých troch mesiacoch roku, kedy poklesne hotovostný výnos DPH na coln</w:t>
      </w:r>
      <w:r>
        <w:rPr>
          <w:rFonts w:ascii="Times New Roman" w:hAnsi="Times New Roman"/>
        </w:rPr>
        <w:t>ý</w:t>
      </w:r>
      <w:r w:rsidRPr="005D7C3C">
        <w:rPr>
          <w:rFonts w:ascii="Times New Roman" w:hAnsi="Times New Roman"/>
        </w:rPr>
        <w:t>ch</w:t>
      </w:r>
      <w:r>
        <w:rPr>
          <w:rFonts w:ascii="Times New Roman" w:hAnsi="Times New Roman"/>
        </w:rPr>
        <w:t xml:space="preserve"> úradoch</w:t>
      </w:r>
      <w:r w:rsidRPr="005D7C3C">
        <w:rPr>
          <w:rFonts w:ascii="Times New Roman" w:hAnsi="Times New Roman"/>
        </w:rPr>
        <w:t xml:space="preserve"> z dôvodu uplatnenia samozdanenia, pričom zároveň budú ešte vyplácané vzniknuté nadmerné odpočty vzťahujúce sa k DPH zaplatenej na coln</w:t>
      </w:r>
      <w:r>
        <w:rPr>
          <w:rFonts w:ascii="Times New Roman" w:hAnsi="Times New Roman"/>
        </w:rPr>
        <w:t>ý</w:t>
      </w:r>
      <w:r w:rsidRPr="005D7C3C">
        <w:rPr>
          <w:rFonts w:ascii="Times New Roman" w:hAnsi="Times New Roman"/>
        </w:rPr>
        <w:t>ch</w:t>
      </w:r>
      <w:r>
        <w:rPr>
          <w:rFonts w:ascii="Times New Roman" w:hAnsi="Times New Roman"/>
        </w:rPr>
        <w:t xml:space="preserve"> úradoch</w:t>
      </w:r>
      <w:r w:rsidRPr="005D7C3C">
        <w:rPr>
          <w:rFonts w:ascii="Times New Roman" w:hAnsi="Times New Roman"/>
        </w:rPr>
        <w:t xml:space="preserve"> z konca roku 201</w:t>
      </w:r>
      <w:r>
        <w:rPr>
          <w:rFonts w:ascii="Times New Roman" w:hAnsi="Times New Roman"/>
        </w:rPr>
        <w:t>6</w:t>
      </w:r>
      <w:r w:rsidRPr="005D7C3C">
        <w:rPr>
          <w:rFonts w:ascii="Times New Roman" w:hAnsi="Times New Roman"/>
        </w:rPr>
        <w:t>. Negatívny vplyv v ďalších rokoch vyplýva výlučne z očakávaného medziročného rastu výberu DPH na coln</w:t>
      </w:r>
      <w:r>
        <w:rPr>
          <w:rFonts w:ascii="Times New Roman" w:hAnsi="Times New Roman"/>
        </w:rPr>
        <w:t>ý</w:t>
      </w:r>
      <w:r w:rsidRPr="005D7C3C">
        <w:rPr>
          <w:rFonts w:ascii="Times New Roman" w:hAnsi="Times New Roman"/>
        </w:rPr>
        <w:t>ch</w:t>
      </w:r>
      <w:r>
        <w:rPr>
          <w:rFonts w:ascii="Times New Roman" w:hAnsi="Times New Roman"/>
        </w:rPr>
        <w:t xml:space="preserve"> úradoch</w:t>
      </w:r>
      <w:r w:rsidRPr="005D7C3C">
        <w:rPr>
          <w:rFonts w:ascii="Times New Roman" w:hAnsi="Times New Roman"/>
        </w:rPr>
        <w:t>. V roku 201</w:t>
      </w:r>
      <w:r>
        <w:rPr>
          <w:rFonts w:ascii="Times New Roman" w:hAnsi="Times New Roman"/>
        </w:rPr>
        <w:t>8</w:t>
      </w:r>
      <w:r w:rsidRPr="005D7C3C">
        <w:rPr>
          <w:rFonts w:ascii="Times New Roman" w:hAnsi="Times New Roman"/>
        </w:rPr>
        <w:t xml:space="preserve"> by bol vo výške 2</w:t>
      </w:r>
      <w:r>
        <w:rPr>
          <w:rFonts w:ascii="Times New Roman" w:hAnsi="Times New Roman"/>
        </w:rPr>
        <w:t>3</w:t>
      </w:r>
      <w:r w:rsidRPr="005D7C3C">
        <w:rPr>
          <w:rFonts w:ascii="Times New Roman" w:hAnsi="Times New Roman"/>
        </w:rPr>
        <w:t>,</w:t>
      </w:r>
      <w:r>
        <w:rPr>
          <w:rFonts w:ascii="Times New Roman" w:hAnsi="Times New Roman"/>
        </w:rPr>
        <w:t>4</w:t>
      </w:r>
      <w:r w:rsidRPr="005D7C3C">
        <w:rPr>
          <w:rFonts w:ascii="Times New Roman" w:hAnsi="Times New Roman"/>
        </w:rPr>
        <w:t xml:space="preserve"> mil. Eur.</w:t>
      </w:r>
    </w:p>
    <w:p w:rsidR="006757B6" w:rsidRPr="00CB6753" w:rsidP="006757B6">
      <w:pPr>
        <w:bidi w:val="0"/>
        <w:ind w:firstLine="709"/>
        <w:jc w:val="both"/>
        <w:rPr>
          <w:rFonts w:ascii="Times New Roman" w:hAnsi="Times New Roman"/>
        </w:rPr>
      </w:pPr>
      <w:r w:rsidRPr="00CB6753">
        <w:rPr>
          <w:rStyle w:val="PlaceholderText"/>
          <w:color w:val="000000"/>
        </w:rPr>
        <w:t xml:space="preserve"> </w:t>
      </w:r>
    </w:p>
    <w:p w:rsidR="006757B6" w:rsidRPr="00CB6753" w:rsidP="006757B6">
      <w:pPr>
        <w:bidi w:val="0"/>
        <w:ind w:firstLine="709"/>
        <w:jc w:val="both"/>
        <w:rPr>
          <w:rStyle w:val="PlaceholderText"/>
          <w:color w:val="000000"/>
        </w:rPr>
      </w:pPr>
      <w:r w:rsidRPr="00CB6753">
        <w:rPr>
          <w:rStyle w:val="PlaceholderText"/>
          <w:color w:val="000000"/>
        </w:rPr>
        <w:t xml:space="preserve">Napriek neutrálnemu vplyvu na akruálne príjmy bude toto opatrenie mať pravdepodobne negatívny vplyv na výšku maastrichtského dlhu a úrokové náklady v ESA95. V prípade, že Štátna pokladnica nedisponuje dostatočnou rezervou (alebo z dôvodu stratégie riadenia dlhu a likvidity sa nemôže znížiť), bude na vykrytie hotovostného výpadku potrebná dodatočná emisia vládnych cenných papierov, čím dôjde ku zvýšeniu hrubého dlhu, a tým aj k zvýšeniu úrokových nákladov. Pokiaľ by hotovostný výpadok bol pokrytý z rezervy Štátnej pokladnice, vplyv opatrenia na hrubý dlh a úrokové náklady dlhu by bol nulový. V dôsledku poklesu rezervy by sa však znížili úrokové príjmy z aktív. </w:t>
      </w:r>
    </w:p>
    <w:p w:rsidR="006757B6" w:rsidRPr="00CB6753" w:rsidP="006757B6">
      <w:pPr>
        <w:bidi w:val="0"/>
        <w:jc w:val="both"/>
        <w:rPr>
          <w:rFonts w:ascii="Times New Roman" w:hAnsi="Times New Roman"/>
        </w:rPr>
      </w:pPr>
    </w:p>
    <w:p w:rsidR="006757B6" w:rsidRPr="00CB6753" w:rsidP="006757B6">
      <w:pPr>
        <w:bidi w:val="0"/>
        <w:rPr>
          <w:rFonts w:ascii="Times New Roman" w:hAnsi="Times New Roman"/>
          <w:b/>
          <w:bCs/>
        </w:rPr>
      </w:pPr>
      <w:r w:rsidRPr="00CB6753">
        <w:rPr>
          <w:rFonts w:ascii="Times New Roman" w:hAnsi="Times New Roman"/>
          <w:b/>
          <w:bCs/>
        </w:rPr>
        <w:t>2.3.2. Charakteristika návrhu podľa bodu  2.3.2. Metodiky :</w:t>
      </w:r>
    </w:p>
    <w:p w:rsidR="006757B6" w:rsidRPr="00CB6753" w:rsidP="006757B6">
      <w:pPr>
        <w:bidi w:val="0"/>
        <w:rPr>
          <w:rFonts w:ascii="Times New Roman" w:hAnsi="Times New Roman"/>
          <w:b/>
        </w:rPr>
      </w:pPr>
      <w:r w:rsidRPr="00CB6753">
        <w:rPr>
          <w:rFonts w:ascii="Times New Roman" w:hAnsi="Times New Roman"/>
          <w:bdr w:val="single" w:sz="4" w:space="0" w:color="auto"/>
        </w:rPr>
        <w:t xml:space="preserve">     </w:t>
      </w:r>
      <w:r w:rsidRPr="00CB6753">
        <w:rPr>
          <w:rFonts w:ascii="Times New Roman" w:hAnsi="Times New Roman"/>
        </w:rPr>
        <w:t xml:space="preserve">  </w:t>
      </w:r>
      <w:r w:rsidRPr="00CB6753">
        <w:rPr>
          <w:rFonts w:ascii="Times New Roman" w:hAnsi="Times New Roman"/>
          <w:b/>
        </w:rPr>
        <w:t>zmena sadzby</w:t>
      </w:r>
    </w:p>
    <w:p w:rsidR="006757B6" w:rsidRPr="00CB6753" w:rsidP="006757B6">
      <w:pPr>
        <w:bidi w:val="0"/>
        <w:rPr>
          <w:rFonts w:ascii="Times New Roman" w:hAnsi="Times New Roman"/>
          <w:b/>
        </w:rPr>
      </w:pPr>
      <w:r w:rsidRPr="00CB6753">
        <w:rPr>
          <w:rFonts w:ascii="Times New Roman" w:hAnsi="Times New Roman"/>
          <w:b/>
          <w:bdr w:val="single" w:sz="4" w:space="0" w:color="auto"/>
        </w:rPr>
        <w:t xml:space="preserve">     </w:t>
      </w:r>
      <w:r w:rsidRPr="00CB6753">
        <w:rPr>
          <w:rFonts w:ascii="Times New Roman" w:hAnsi="Times New Roman"/>
          <w:b/>
        </w:rPr>
        <w:t xml:space="preserve">  zmena v nároku</w:t>
      </w:r>
    </w:p>
    <w:p w:rsidR="006757B6" w:rsidRPr="00CB6753" w:rsidP="006757B6">
      <w:pPr>
        <w:bidi w:val="0"/>
        <w:rPr>
          <w:rFonts w:ascii="Times New Roman" w:hAnsi="Times New Roman"/>
          <w:b/>
        </w:rPr>
      </w:pPr>
      <w:r w:rsidRPr="00CB6753">
        <w:rPr>
          <w:rFonts w:ascii="Times New Roman" w:hAnsi="Times New Roman"/>
          <w:b/>
          <w:bdr w:val="single" w:sz="4" w:space="0" w:color="auto"/>
        </w:rPr>
        <w:t xml:space="preserve">     </w:t>
      </w:r>
      <w:r w:rsidRPr="00CB6753">
        <w:rPr>
          <w:rFonts w:ascii="Times New Roman" w:hAnsi="Times New Roman"/>
          <w:b/>
        </w:rPr>
        <w:t xml:space="preserve">  nová služba alebo nariadenie (alebo ich zrušenie)</w:t>
      </w:r>
    </w:p>
    <w:p w:rsidR="006757B6" w:rsidRPr="00CB6753" w:rsidP="006757B6">
      <w:pPr>
        <w:bidi w:val="0"/>
        <w:rPr>
          <w:rFonts w:ascii="Times New Roman" w:hAnsi="Times New Roman"/>
          <w:b/>
        </w:rPr>
      </w:pPr>
      <w:r w:rsidRPr="00CB6753">
        <w:rPr>
          <w:rFonts w:ascii="Times New Roman" w:hAnsi="Times New Roman"/>
          <w:b/>
          <w:bdr w:val="single" w:sz="4" w:space="0" w:color="auto"/>
        </w:rPr>
        <w:t xml:space="preserve">     </w:t>
      </w:r>
      <w:r w:rsidRPr="00CB6753">
        <w:rPr>
          <w:rFonts w:ascii="Times New Roman" w:hAnsi="Times New Roman"/>
          <w:b/>
        </w:rPr>
        <w:t xml:space="preserve">  kombinovaný návrh</w:t>
      </w:r>
    </w:p>
    <w:p w:rsidR="006757B6" w:rsidRPr="00CB6753" w:rsidP="006757B6">
      <w:pPr>
        <w:bidi w:val="0"/>
        <w:rPr>
          <w:rFonts w:ascii="Times New Roman" w:hAnsi="Times New Roman"/>
          <w:b/>
        </w:rPr>
      </w:pPr>
      <w:r w:rsidRPr="00CB6753">
        <w:rPr>
          <w:rFonts w:ascii="Times New Roman" w:hAnsi="Times New Roman"/>
          <w:b/>
          <w:bdr w:val="single" w:sz="4" w:space="0" w:color="auto"/>
        </w:rPr>
        <w:t xml:space="preserve"> </w:t>
      </w:r>
      <w:r w:rsidRPr="00CB6753">
        <w:rPr>
          <w:rFonts w:ascii="Times New Roman" w:hAnsi="Times New Roman"/>
          <w:bdr w:val="single" w:sz="4" w:space="0" w:color="auto"/>
        </w:rPr>
        <w:t>X</w:t>
      </w:r>
      <w:r w:rsidRPr="00CB6753">
        <w:rPr>
          <w:rFonts w:ascii="Times New Roman" w:hAnsi="Times New Roman"/>
          <w:b/>
          <w:bdr w:val="single" w:sz="4" w:space="0" w:color="auto"/>
        </w:rPr>
        <w:t xml:space="preserve"> </w:t>
      </w:r>
      <w:r w:rsidRPr="00CB6753">
        <w:rPr>
          <w:rFonts w:ascii="Times New Roman" w:hAnsi="Times New Roman"/>
          <w:b/>
        </w:rPr>
        <w:t xml:space="preserve">  iné </w:t>
      </w:r>
    </w:p>
    <w:p w:rsidR="006757B6" w:rsidRPr="00CB6753" w:rsidP="006757B6">
      <w:pPr>
        <w:bidi w:val="0"/>
        <w:rPr>
          <w:rFonts w:ascii="Times New Roman" w:hAnsi="Times New Roman"/>
          <w:b/>
          <w:bCs/>
        </w:rPr>
      </w:pPr>
    </w:p>
    <w:p w:rsidR="006757B6" w:rsidRPr="00CB6753" w:rsidP="006757B6">
      <w:pPr>
        <w:bidi w:val="0"/>
        <w:rPr>
          <w:rFonts w:ascii="Times New Roman" w:hAnsi="Times New Roman"/>
        </w:rPr>
      </w:pPr>
      <w:r w:rsidRPr="00CB6753">
        <w:rPr>
          <w:rFonts w:ascii="Times New Roman" w:hAnsi="Times New Roman"/>
          <w:b/>
          <w:bCs/>
        </w:rPr>
        <w:t>2.3.3. Predpoklady vývoja objemu aktivít:</w:t>
      </w:r>
    </w:p>
    <w:p w:rsidR="006757B6" w:rsidRPr="00CB6753" w:rsidP="006757B6">
      <w:pPr>
        <w:bidi w:val="0"/>
        <w:ind w:firstLine="709"/>
        <w:jc w:val="both"/>
        <w:rPr>
          <w:rFonts w:ascii="Times New Roman" w:hAnsi="Times New Roman"/>
        </w:rPr>
      </w:pPr>
      <w:r w:rsidRPr="00CB6753">
        <w:rPr>
          <w:rFonts w:ascii="Times New Roman" w:hAnsi="Times New Roman"/>
        </w:rPr>
        <w:t>Návrh zákona nemá vplyv na zmenu vývoja objemu aktivít, z tohto dôvodu sa tabuľka č. 3 Predpoklady vývoja objemu aktivít nepredkladá.</w:t>
      </w:r>
    </w:p>
    <w:p w:rsidR="006757B6" w:rsidRPr="00CB6753" w:rsidP="006757B6">
      <w:pPr>
        <w:bidi w:val="0"/>
        <w:rPr>
          <w:rFonts w:ascii="Times New Roman" w:hAnsi="Times New Roman"/>
        </w:rPr>
      </w:pPr>
    </w:p>
    <w:p w:rsidR="006757B6" w:rsidRPr="00CB6753" w:rsidP="006757B6">
      <w:pPr>
        <w:bidi w:val="0"/>
        <w:rPr>
          <w:rFonts w:ascii="Times New Roman" w:hAnsi="Times New Roman"/>
        </w:rPr>
        <w:sectPr w:rsidSect="00334BC4">
          <w:footerReference w:type="even" r:id="rId4"/>
          <w:footerReference w:type="default" r:id="rId5"/>
          <w:pgSz w:w="11905" w:h="16837" w:code="9"/>
          <w:pgMar w:top="1418" w:right="1418" w:bottom="1418" w:left="1418" w:header="567" w:footer="567" w:gutter="0"/>
          <w:lnNumType w:distance="0"/>
          <w:cols w:space="708"/>
          <w:noEndnote w:val="0"/>
          <w:bidi w:val="0"/>
          <w:docGrid w:linePitch="360"/>
        </w:sectPr>
      </w:pPr>
      <w:r w:rsidRPr="00CB6753">
        <w:rPr>
          <w:rFonts w:ascii="Times New Roman" w:hAnsi="Times New Roman"/>
          <w:b/>
          <w:bCs/>
        </w:rPr>
        <w:t>2.3.4. Výpočty vplyvov na verejné financie</w:t>
      </w:r>
    </w:p>
    <w:p w:rsidR="006757B6" w:rsidRPr="00CB6753" w:rsidP="006757B6">
      <w:pPr>
        <w:tabs>
          <w:tab w:val="num" w:pos="1080"/>
        </w:tabs>
        <w:bidi w:val="0"/>
        <w:rPr>
          <w:rFonts w:ascii="Times New Roman" w:hAnsi="Times New Roman"/>
          <w:b/>
          <w:bCs/>
        </w:rPr>
      </w:pPr>
      <w:r w:rsidRPr="00CB6753">
        <w:rPr>
          <w:rFonts w:ascii="Times New Roman" w:hAnsi="Times New Roman"/>
          <w:b/>
          <w:bCs/>
        </w:rPr>
        <w:t xml:space="preserve">   </w:t>
      </w:r>
      <w:r>
        <w:rPr>
          <w:rFonts w:ascii="Times New Roman" w:hAnsi="Times New Roman"/>
          <w:b/>
          <w:bCs/>
        </w:rPr>
        <w:t xml:space="preserve">                                                                                                                                                                                                </w:t>
      </w:r>
      <w:r w:rsidRPr="00CB6753">
        <w:rPr>
          <w:rFonts w:ascii="Times New Roman" w:hAnsi="Times New Roman"/>
          <w:b/>
          <w:bCs/>
        </w:rPr>
        <w:t xml:space="preserve"> </w:t>
      </w:r>
      <w:r w:rsidRPr="00CB6753">
        <w:rPr>
          <w:rFonts w:ascii="Times New Roman" w:hAnsi="Times New Roman"/>
          <w:bCs/>
        </w:rPr>
        <w:t>Tabuľka č. 4</w:t>
      </w:r>
      <w:r w:rsidRPr="00CB6753">
        <w:rPr>
          <w:rFonts w:ascii="Times New Roman" w:hAnsi="Times New Roman"/>
          <w:b/>
          <w:bCs/>
        </w:rPr>
        <w:t xml:space="preserve">                                                                  </w:t>
      </w:r>
      <w:r w:rsidRPr="00CB6753">
        <w:rPr>
          <w:rFonts w:ascii="Times New Roman" w:hAnsi="Times New Roman"/>
          <w:bCs/>
        </w:rPr>
        <w:t xml:space="preserve">                                                                                                                                                                                                                       </w:t>
      </w:r>
    </w:p>
    <w:tbl>
      <w:tblPr>
        <w:tblStyle w:val="TableNormal"/>
        <w:tblpPr w:leftFromText="141" w:rightFromText="141" w:horzAnchor="margin" w:tblpXSpec="center" w:tblpY="533"/>
        <w:tblW w:w="14142" w:type="dxa"/>
        <w:tblLayout w:type="fixed"/>
        <w:tblCellMar>
          <w:left w:w="70" w:type="dxa"/>
          <w:right w:w="70" w:type="dxa"/>
        </w:tblCellMar>
      </w:tblPr>
      <w:tblGrid>
        <w:gridCol w:w="4510"/>
        <w:gridCol w:w="1367"/>
        <w:gridCol w:w="21"/>
        <w:gridCol w:w="1396"/>
        <w:gridCol w:w="1389"/>
        <w:gridCol w:w="27"/>
        <w:gridCol w:w="1362"/>
        <w:gridCol w:w="196"/>
        <w:gridCol w:w="1711"/>
        <w:gridCol w:w="2125"/>
        <w:gridCol w:w="38"/>
      </w:tblGrid>
      <w:tr>
        <w:tblPrEx>
          <w:tblW w:w="14142" w:type="dxa"/>
          <w:tblLayout w:type="fixed"/>
          <w:tblCellMar>
            <w:left w:w="70" w:type="dxa"/>
            <w:right w:w="70" w:type="dxa"/>
          </w:tblCellMar>
        </w:tblPrEx>
        <w:trPr>
          <w:cantSplit/>
          <w:trHeight w:val="255"/>
        </w:trPr>
        <w:tc>
          <w:tcPr>
            <w:tcW w:w="4514"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6757B6" w:rsidRPr="00CB6753" w:rsidP="00603051">
            <w:pPr>
              <w:bidi w:val="0"/>
              <w:spacing w:after="0" w:line="240" w:lineRule="auto"/>
              <w:jc w:val="center"/>
              <w:rPr>
                <w:rFonts w:ascii="Times New Roman" w:hAnsi="Times New Roman"/>
                <w:b/>
                <w:bCs/>
                <w:color w:val="FFFFFF"/>
              </w:rPr>
            </w:pPr>
            <w:r w:rsidRPr="00CB6753">
              <w:rPr>
                <w:rFonts w:ascii="Times New Roman" w:hAnsi="Times New Roman"/>
                <w:b/>
                <w:bCs/>
                <w:color w:val="FFFFFF"/>
              </w:rPr>
              <w:t>Príjmy (v tis. eur)</w:t>
            </w:r>
          </w:p>
        </w:tc>
        <w:tc>
          <w:tcPr>
            <w:tcW w:w="5559" w:type="dxa"/>
            <w:gridSpan w:val="6"/>
            <w:tcBorders>
              <w:top w:val="single" w:sz="4" w:space="0" w:color="auto"/>
              <w:left w:val="nil"/>
              <w:bottom w:val="single" w:sz="4" w:space="0" w:color="auto"/>
              <w:right w:val="single" w:sz="4" w:space="0" w:color="auto"/>
            </w:tcBorders>
            <w:shd w:val="clear" w:color="auto" w:fill="000000"/>
            <w:textDirection w:val="lrTb"/>
            <w:vAlign w:val="top"/>
          </w:tcPr>
          <w:p w:rsidR="006757B6" w:rsidRPr="00CB6753" w:rsidP="00603051">
            <w:pPr>
              <w:bidi w:val="0"/>
              <w:spacing w:after="0" w:line="240" w:lineRule="auto"/>
              <w:jc w:val="center"/>
              <w:rPr>
                <w:rFonts w:ascii="Times New Roman" w:hAnsi="Times New Roman"/>
                <w:b/>
                <w:bCs/>
                <w:color w:val="FFFFFF"/>
              </w:rPr>
            </w:pPr>
            <w:r w:rsidRPr="00CB6753">
              <w:rPr>
                <w:rFonts w:ascii="Times New Roman" w:hAnsi="Times New Roman"/>
                <w:b/>
                <w:bCs/>
                <w:color w:val="FFFFFF"/>
              </w:rPr>
              <w:t>Vplyv na rozpočet verejnej správy</w:t>
            </w:r>
          </w:p>
        </w:tc>
        <w:tc>
          <w:tcPr>
            <w:tcW w:w="1908" w:type="dxa"/>
            <w:gridSpan w:val="2"/>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6757B6" w:rsidRPr="00CB6753" w:rsidP="00603051">
            <w:pPr>
              <w:bidi w:val="0"/>
              <w:spacing w:after="0" w:line="240" w:lineRule="auto"/>
              <w:jc w:val="center"/>
              <w:rPr>
                <w:rFonts w:ascii="Times New Roman" w:hAnsi="Times New Roman"/>
                <w:b/>
                <w:bCs/>
                <w:color w:val="FFFFFF"/>
              </w:rPr>
            </w:pPr>
          </w:p>
        </w:tc>
        <w:tc>
          <w:tcPr>
            <w:tcW w:w="2161" w:type="dxa"/>
            <w:gridSpan w:val="2"/>
            <w:vMerge w:val="restart"/>
            <w:tcBorders>
              <w:top w:val="single" w:sz="4" w:space="0" w:color="auto"/>
              <w:left w:val="single" w:sz="4" w:space="0" w:color="auto"/>
              <w:bottom w:val="single" w:sz="4" w:space="0" w:color="auto"/>
              <w:right w:val="single" w:sz="4" w:space="0" w:color="auto"/>
            </w:tcBorders>
            <w:shd w:val="clear" w:color="auto" w:fill="000000"/>
            <w:noWrap/>
            <w:textDirection w:val="lrTb"/>
            <w:vAlign w:val="center"/>
          </w:tcPr>
          <w:p w:rsidR="006757B6" w:rsidRPr="00CB6753" w:rsidP="00603051">
            <w:pPr>
              <w:bidi w:val="0"/>
              <w:spacing w:after="0" w:line="240" w:lineRule="auto"/>
              <w:jc w:val="center"/>
              <w:rPr>
                <w:rFonts w:ascii="Times New Roman" w:hAnsi="Times New Roman"/>
                <w:b/>
                <w:bCs/>
                <w:color w:val="FFFFFF"/>
              </w:rPr>
            </w:pPr>
            <w:r w:rsidRPr="00CB6753">
              <w:rPr>
                <w:rFonts w:ascii="Times New Roman" w:hAnsi="Times New Roman"/>
                <w:b/>
                <w:bCs/>
                <w:color w:val="FFFFFF"/>
              </w:rPr>
              <w:t>poznámka</w:t>
            </w:r>
          </w:p>
        </w:tc>
      </w:tr>
      <w:tr>
        <w:tblPrEx>
          <w:tblW w:w="14142" w:type="dxa"/>
          <w:tblLayout w:type="fixed"/>
          <w:tblCellMar>
            <w:left w:w="70" w:type="dxa"/>
            <w:right w:w="70" w:type="dxa"/>
          </w:tblCellMar>
        </w:tblPrEx>
        <w:trPr>
          <w:cantSplit/>
          <w:trHeight w:val="255"/>
        </w:trPr>
        <w:tc>
          <w:tcPr>
            <w:tcW w:w="4514" w:type="dxa"/>
            <w:vMerge/>
            <w:tcBorders>
              <w:top w:val="single" w:sz="4" w:space="0" w:color="auto"/>
              <w:left w:val="single" w:sz="4" w:space="0" w:color="auto"/>
              <w:bottom w:val="single" w:sz="4" w:space="0" w:color="auto"/>
              <w:right w:val="single" w:sz="4" w:space="0" w:color="auto"/>
            </w:tcBorders>
            <w:textDirection w:val="lrTb"/>
            <w:vAlign w:val="center"/>
          </w:tcPr>
          <w:p w:rsidR="006757B6" w:rsidRPr="00CB6753" w:rsidP="00603051">
            <w:pPr>
              <w:bidi w:val="0"/>
              <w:spacing w:after="0" w:line="240" w:lineRule="auto"/>
              <w:rPr>
                <w:rFonts w:ascii="Times New Roman" w:hAnsi="Times New Roman"/>
                <w:b/>
                <w:bCs/>
                <w:color w:val="FFFFFF"/>
              </w:rPr>
            </w:pPr>
          </w:p>
        </w:tc>
        <w:tc>
          <w:tcPr>
            <w:tcW w:w="1389" w:type="dxa"/>
            <w:gridSpan w:val="2"/>
            <w:tcBorders>
              <w:top w:val="nil"/>
              <w:left w:val="nil"/>
              <w:bottom w:val="single" w:sz="4" w:space="0" w:color="auto"/>
              <w:right w:val="single" w:sz="4" w:space="0" w:color="auto"/>
            </w:tcBorders>
            <w:shd w:val="clear" w:color="auto" w:fill="000000"/>
            <w:textDirection w:val="lrTb"/>
            <w:vAlign w:val="top"/>
          </w:tcPr>
          <w:p w:rsidR="006757B6" w:rsidRPr="00CB6753" w:rsidP="00603051">
            <w:pPr>
              <w:bidi w:val="0"/>
              <w:spacing w:after="0" w:line="240" w:lineRule="auto"/>
              <w:jc w:val="center"/>
              <w:rPr>
                <w:rFonts w:ascii="Times New Roman" w:hAnsi="Times New Roman"/>
                <w:b/>
                <w:bCs/>
                <w:color w:val="FFFFFF"/>
              </w:rPr>
            </w:pPr>
            <w:r w:rsidRPr="00CB6753">
              <w:rPr>
                <w:rFonts w:ascii="Times New Roman" w:hAnsi="Times New Roman"/>
                <w:b/>
                <w:bCs/>
                <w:color w:val="FFFFFF"/>
              </w:rPr>
              <w:t>2014</w:t>
            </w:r>
          </w:p>
        </w:tc>
        <w:tc>
          <w:tcPr>
            <w:tcW w:w="1390" w:type="dxa"/>
            <w:tcBorders>
              <w:top w:val="nil"/>
              <w:left w:val="nil"/>
              <w:bottom w:val="single" w:sz="4" w:space="0" w:color="auto"/>
              <w:right w:val="single" w:sz="4" w:space="0" w:color="auto"/>
            </w:tcBorders>
            <w:shd w:val="clear" w:color="auto" w:fill="000000"/>
            <w:textDirection w:val="lrTb"/>
            <w:vAlign w:val="top"/>
          </w:tcPr>
          <w:p w:rsidR="006757B6" w:rsidRPr="00CB6753" w:rsidP="00603051">
            <w:pPr>
              <w:bidi w:val="0"/>
              <w:spacing w:after="0" w:line="240" w:lineRule="auto"/>
              <w:jc w:val="center"/>
              <w:rPr>
                <w:rFonts w:ascii="Times New Roman" w:hAnsi="Times New Roman"/>
                <w:b/>
                <w:bCs/>
                <w:color w:val="FFFFFF"/>
              </w:rPr>
            </w:pPr>
            <w:r w:rsidRPr="00CB6753">
              <w:rPr>
                <w:rFonts w:ascii="Times New Roman" w:hAnsi="Times New Roman"/>
                <w:b/>
                <w:bCs/>
                <w:color w:val="FFFFFF"/>
              </w:rPr>
              <w:t>2015</w:t>
            </w:r>
          </w:p>
        </w:tc>
        <w:tc>
          <w:tcPr>
            <w:tcW w:w="1390" w:type="dxa"/>
            <w:tcBorders>
              <w:top w:val="nil"/>
              <w:left w:val="nil"/>
              <w:bottom w:val="single" w:sz="4" w:space="0" w:color="auto"/>
              <w:right w:val="single" w:sz="4" w:space="0" w:color="auto"/>
            </w:tcBorders>
            <w:shd w:val="clear" w:color="auto" w:fill="000000"/>
            <w:textDirection w:val="lrTb"/>
            <w:vAlign w:val="top"/>
          </w:tcPr>
          <w:p w:rsidR="006757B6" w:rsidRPr="00CB6753" w:rsidP="00603051">
            <w:pPr>
              <w:bidi w:val="0"/>
              <w:spacing w:after="0" w:line="240" w:lineRule="auto"/>
              <w:jc w:val="center"/>
              <w:rPr>
                <w:rFonts w:ascii="Times New Roman" w:hAnsi="Times New Roman"/>
                <w:b/>
                <w:bCs/>
                <w:color w:val="FFFFFF"/>
              </w:rPr>
            </w:pPr>
            <w:r w:rsidRPr="00CB6753">
              <w:rPr>
                <w:rFonts w:ascii="Times New Roman" w:hAnsi="Times New Roman"/>
                <w:b/>
                <w:bCs/>
                <w:color w:val="FFFFFF"/>
              </w:rPr>
              <w:t>2016</w:t>
            </w:r>
          </w:p>
        </w:tc>
        <w:tc>
          <w:tcPr>
            <w:tcW w:w="1390" w:type="dxa"/>
            <w:gridSpan w:val="2"/>
            <w:tcBorders>
              <w:top w:val="nil"/>
              <w:left w:val="nil"/>
              <w:bottom w:val="single" w:sz="4" w:space="0" w:color="auto"/>
              <w:right w:val="single" w:sz="4" w:space="0" w:color="auto"/>
            </w:tcBorders>
            <w:shd w:val="clear" w:color="auto" w:fill="000000"/>
            <w:textDirection w:val="lrTb"/>
            <w:vAlign w:val="top"/>
          </w:tcPr>
          <w:p w:rsidR="006757B6" w:rsidRPr="00CB6753" w:rsidP="00603051">
            <w:pPr>
              <w:bidi w:val="0"/>
              <w:spacing w:after="0" w:line="240" w:lineRule="auto"/>
              <w:jc w:val="center"/>
              <w:rPr>
                <w:rFonts w:ascii="Times New Roman" w:hAnsi="Times New Roman"/>
                <w:b/>
                <w:bCs/>
                <w:color w:val="FFFFFF"/>
              </w:rPr>
            </w:pPr>
            <w:r w:rsidRPr="00CB6753">
              <w:rPr>
                <w:rFonts w:ascii="Times New Roman" w:hAnsi="Times New Roman"/>
                <w:b/>
                <w:bCs/>
                <w:color w:val="FFFFFF"/>
              </w:rPr>
              <w:t>2017</w:t>
            </w:r>
          </w:p>
        </w:tc>
        <w:tc>
          <w:tcPr>
            <w:tcW w:w="1908" w:type="dxa"/>
            <w:gridSpan w:val="2"/>
            <w:tcBorders>
              <w:top w:val="single" w:sz="4" w:space="0" w:color="auto"/>
              <w:left w:val="single" w:sz="4" w:space="0" w:color="auto"/>
              <w:bottom w:val="single" w:sz="4" w:space="0" w:color="auto"/>
              <w:right w:val="single" w:sz="4" w:space="0" w:color="auto"/>
            </w:tcBorders>
            <w:textDirection w:val="lrTb"/>
            <w:vAlign w:val="top"/>
          </w:tcPr>
          <w:p w:rsidR="006757B6" w:rsidRPr="00E86903" w:rsidP="00603051">
            <w:pPr>
              <w:bidi w:val="0"/>
              <w:spacing w:after="0" w:line="240" w:lineRule="auto"/>
              <w:rPr>
                <w:rFonts w:ascii="Times New Roman" w:hAnsi="Times New Roman"/>
                <w:b/>
                <w:bCs/>
                <w:color w:val="FFFFFF"/>
                <w:highlight w:val="black"/>
              </w:rPr>
            </w:pPr>
            <w:r>
              <w:rPr>
                <w:rFonts w:ascii="Times New Roman" w:hAnsi="Times New Roman"/>
                <w:b/>
                <w:bCs/>
                <w:color w:val="FFFFFF"/>
                <w:highlight w:val="black"/>
              </w:rPr>
              <w:t xml:space="preserve">                     2018</w:t>
            </w:r>
          </w:p>
        </w:tc>
        <w:tc>
          <w:tcPr>
            <w:tcW w:w="2161" w:type="dxa"/>
            <w:gridSpan w:val="2"/>
            <w:vMerge/>
            <w:tcBorders>
              <w:top w:val="single" w:sz="4" w:space="0" w:color="auto"/>
              <w:left w:val="single" w:sz="4" w:space="0" w:color="auto"/>
              <w:bottom w:val="single" w:sz="4" w:space="0" w:color="auto"/>
              <w:right w:val="single" w:sz="4" w:space="0" w:color="auto"/>
            </w:tcBorders>
            <w:textDirection w:val="lrTb"/>
            <w:vAlign w:val="center"/>
          </w:tcPr>
          <w:p w:rsidR="006757B6" w:rsidRPr="00CB6753" w:rsidP="00603051">
            <w:pPr>
              <w:bidi w:val="0"/>
              <w:spacing w:after="0" w:line="240" w:lineRule="auto"/>
              <w:rPr>
                <w:rFonts w:ascii="Times New Roman" w:hAnsi="Times New Roman"/>
                <w:b/>
                <w:bCs/>
                <w:color w:val="FFFFFF"/>
              </w:rPr>
            </w:pPr>
          </w:p>
        </w:tc>
      </w:tr>
      <w:tr>
        <w:tblPrEx>
          <w:tblW w:w="14142" w:type="dxa"/>
          <w:tblLayout w:type="fixed"/>
          <w:tblCellMar>
            <w:left w:w="70" w:type="dxa"/>
            <w:right w:w="70" w:type="dxa"/>
          </w:tblCellMar>
        </w:tblPrEx>
        <w:trPr>
          <w:gridAfter w:val="1"/>
          <w:wAfter w:w="38" w:type="dxa"/>
          <w:trHeight w:val="255"/>
        </w:trPr>
        <w:tc>
          <w:tcPr>
            <w:tcW w:w="4514" w:type="dxa"/>
            <w:tcBorders>
              <w:top w:val="nil"/>
              <w:left w:val="single" w:sz="4" w:space="0" w:color="auto"/>
              <w:bottom w:val="single" w:sz="4" w:space="0" w:color="auto"/>
              <w:right w:val="single" w:sz="4" w:space="0" w:color="auto"/>
            </w:tcBorders>
            <w:textDirection w:val="lrTb"/>
            <w:vAlign w:val="top"/>
          </w:tcPr>
          <w:p w:rsidR="006757B6" w:rsidRPr="00CB6753" w:rsidP="00603051">
            <w:pPr>
              <w:pStyle w:val="Default"/>
              <w:bidi w:val="0"/>
              <w:spacing w:after="0" w:line="240" w:lineRule="auto"/>
              <w:rPr>
                <w:rFonts w:ascii="Times New Roman" w:hAnsi="Times New Roman" w:cs="Times New Roman"/>
              </w:rPr>
            </w:pPr>
            <w:r w:rsidRPr="00CB6753">
              <w:rPr>
                <w:rFonts w:ascii="Times New Roman" w:hAnsi="Times New Roman" w:cs="Times New Roman"/>
                <w:b/>
                <w:bCs/>
              </w:rPr>
              <w:t>Daňové príjmy (100)</w:t>
            </w:r>
            <w:r w:rsidRPr="00CB6753">
              <w:rPr>
                <w:rFonts w:ascii="Times New Roman" w:hAnsi="Times New Roman" w:cs="Times New Roman"/>
                <w:b/>
                <w:bCs/>
                <w:vertAlign w:val="superscript"/>
              </w:rPr>
              <w:t>1</w:t>
            </w:r>
          </w:p>
        </w:tc>
        <w:tc>
          <w:tcPr>
            <w:tcW w:w="1368" w:type="dxa"/>
            <w:tcBorders>
              <w:top w:val="nil"/>
              <w:left w:val="nil"/>
              <w:bottom w:val="single" w:sz="4" w:space="0" w:color="auto"/>
              <w:right w:val="single" w:sz="4" w:space="0" w:color="auto"/>
            </w:tcBorders>
            <w:textDirection w:val="lrTb"/>
            <w:vAlign w:val="top"/>
          </w:tcPr>
          <w:p w:rsidR="006757B6" w:rsidRPr="00CB6753" w:rsidP="00603051">
            <w:pPr>
              <w:bidi w:val="0"/>
              <w:spacing w:after="0" w:line="240" w:lineRule="auto"/>
              <w:jc w:val="right"/>
              <w:rPr>
                <w:rFonts w:ascii="Times New Roman" w:hAnsi="Times New Roman"/>
                <w:b/>
                <w:bCs/>
              </w:rPr>
            </w:pPr>
            <w:r w:rsidRPr="00CB6753">
              <w:rPr>
                <w:rFonts w:ascii="Times New Roman" w:hAnsi="Times New Roman"/>
                <w:b/>
                <w:bCs/>
              </w:rPr>
              <w:t>0</w:t>
            </w:r>
          </w:p>
        </w:tc>
        <w:tc>
          <w:tcPr>
            <w:tcW w:w="1418" w:type="dxa"/>
            <w:gridSpan w:val="2"/>
            <w:tcBorders>
              <w:top w:val="nil"/>
              <w:left w:val="nil"/>
              <w:bottom w:val="single" w:sz="4" w:space="0" w:color="auto"/>
              <w:right w:val="single" w:sz="4" w:space="0" w:color="auto"/>
            </w:tcBorders>
            <w:textDirection w:val="lrTb"/>
            <w:vAlign w:val="top"/>
          </w:tcPr>
          <w:p w:rsidR="006757B6" w:rsidRPr="00CB6753" w:rsidP="00603051">
            <w:pPr>
              <w:bidi w:val="0"/>
              <w:spacing w:after="0" w:line="240" w:lineRule="auto"/>
              <w:jc w:val="right"/>
              <w:rPr>
                <w:rFonts w:ascii="Times New Roman" w:hAnsi="Times New Roman"/>
                <w:b/>
                <w:bCs/>
              </w:rPr>
            </w:pPr>
            <w:r w:rsidRPr="00CB6753">
              <w:rPr>
                <w:rFonts w:ascii="Times New Roman" w:hAnsi="Times New Roman"/>
                <w:b/>
                <w:bCs/>
              </w:rPr>
              <w:t>0</w:t>
            </w:r>
          </w:p>
        </w:tc>
        <w:tc>
          <w:tcPr>
            <w:tcW w:w="1417" w:type="dxa"/>
            <w:gridSpan w:val="2"/>
            <w:tcBorders>
              <w:top w:val="nil"/>
              <w:left w:val="nil"/>
              <w:bottom w:val="single" w:sz="4" w:space="0" w:color="auto"/>
              <w:right w:val="single" w:sz="4" w:space="0" w:color="auto"/>
            </w:tcBorders>
            <w:textDirection w:val="lrTb"/>
            <w:vAlign w:val="center"/>
          </w:tcPr>
          <w:p w:rsidR="006757B6" w:rsidRPr="00CB6753" w:rsidP="00603051">
            <w:pPr>
              <w:bidi w:val="0"/>
              <w:spacing w:after="0" w:line="240" w:lineRule="auto"/>
              <w:jc w:val="right"/>
              <w:rPr>
                <w:rFonts w:ascii="Times New Roman" w:hAnsi="Times New Roman"/>
                <w:b/>
              </w:rPr>
            </w:pPr>
            <w:r>
              <w:rPr>
                <w:rFonts w:ascii="Times New Roman" w:hAnsi="Times New Roman"/>
                <w:b/>
              </w:rPr>
              <w:t>0</w:t>
            </w:r>
          </w:p>
        </w:tc>
        <w:tc>
          <w:tcPr>
            <w:tcW w:w="1559" w:type="dxa"/>
            <w:gridSpan w:val="2"/>
            <w:tcBorders>
              <w:top w:val="nil"/>
              <w:left w:val="nil"/>
              <w:bottom w:val="single" w:sz="4" w:space="0" w:color="auto"/>
              <w:right w:val="single" w:sz="4" w:space="0" w:color="auto"/>
            </w:tcBorders>
            <w:textDirection w:val="lrTb"/>
            <w:vAlign w:val="center"/>
          </w:tcPr>
          <w:p w:rsidR="006757B6" w:rsidRPr="00CB6753" w:rsidP="00603051">
            <w:pPr>
              <w:bidi w:val="0"/>
              <w:spacing w:after="0" w:line="240" w:lineRule="auto"/>
              <w:jc w:val="right"/>
              <w:rPr>
                <w:rFonts w:ascii="Times New Roman" w:hAnsi="Times New Roman"/>
                <w:b/>
              </w:rPr>
            </w:pPr>
            <w:r w:rsidRPr="00CB6753">
              <w:rPr>
                <w:rFonts w:ascii="Times New Roman" w:hAnsi="Times New Roman"/>
                <w:b/>
              </w:rPr>
              <w:t>-</w:t>
            </w:r>
            <w:r>
              <w:rPr>
                <w:rFonts w:ascii="Times New Roman" w:hAnsi="Times New Roman"/>
                <w:b/>
              </w:rPr>
              <w:t>454 624</w:t>
            </w:r>
          </w:p>
        </w:tc>
        <w:tc>
          <w:tcPr>
            <w:tcW w:w="1701" w:type="dxa"/>
            <w:tcBorders>
              <w:top w:val="single" w:sz="4" w:space="0" w:color="auto"/>
              <w:left w:val="nil"/>
              <w:bottom w:val="single" w:sz="4" w:space="0" w:color="auto"/>
              <w:right w:val="single" w:sz="4" w:space="0" w:color="auto"/>
            </w:tcBorders>
            <w:textDirection w:val="lrTb"/>
            <w:vAlign w:val="top"/>
          </w:tcPr>
          <w:p w:rsidR="006757B6" w:rsidRPr="00CB6753" w:rsidP="00603051">
            <w:pPr>
              <w:bidi w:val="0"/>
              <w:spacing w:after="0" w:line="240" w:lineRule="auto"/>
              <w:jc w:val="right"/>
              <w:rPr>
                <w:rFonts w:ascii="Times New Roman" w:hAnsi="Times New Roman"/>
              </w:rPr>
            </w:pPr>
            <w:r>
              <w:rPr>
                <w:rFonts w:ascii="Times New Roman" w:hAnsi="Times New Roman"/>
                <w:b/>
              </w:rPr>
              <w:t>- 23 426</w:t>
            </w:r>
          </w:p>
        </w:tc>
        <w:tc>
          <w:tcPr>
            <w:tcW w:w="2127" w:type="dxa"/>
            <w:tcBorders>
              <w:top w:val="nil"/>
              <w:left w:val="single" w:sz="4" w:space="0" w:color="auto"/>
              <w:bottom w:val="single" w:sz="4" w:space="0" w:color="auto"/>
              <w:right w:val="single" w:sz="4" w:space="0" w:color="auto"/>
            </w:tcBorders>
            <w:noWrap/>
            <w:textDirection w:val="lrTb"/>
            <w:vAlign w:val="bottom"/>
          </w:tcPr>
          <w:p w:rsidR="006757B6" w:rsidRPr="00CB6753" w:rsidP="00603051">
            <w:pPr>
              <w:bidi w:val="0"/>
              <w:spacing w:after="0" w:line="240" w:lineRule="auto"/>
              <w:rPr>
                <w:rFonts w:ascii="Times New Roman" w:hAnsi="Times New Roman"/>
              </w:rPr>
            </w:pPr>
            <w:r w:rsidRPr="00CB6753">
              <w:rPr>
                <w:rFonts w:ascii="Times New Roman" w:hAnsi="Times New Roman"/>
              </w:rPr>
              <w:t> </w:t>
            </w:r>
          </w:p>
        </w:tc>
      </w:tr>
      <w:tr>
        <w:tblPrEx>
          <w:tblW w:w="14142" w:type="dxa"/>
          <w:tblLayout w:type="fixed"/>
          <w:tblCellMar>
            <w:left w:w="70" w:type="dxa"/>
            <w:right w:w="70" w:type="dxa"/>
          </w:tblCellMar>
        </w:tblPrEx>
        <w:trPr>
          <w:gridAfter w:val="1"/>
          <w:wAfter w:w="38" w:type="dxa"/>
          <w:trHeight w:val="255"/>
        </w:trPr>
        <w:tc>
          <w:tcPr>
            <w:tcW w:w="4514" w:type="dxa"/>
            <w:tcBorders>
              <w:top w:val="nil"/>
              <w:left w:val="single" w:sz="4" w:space="0" w:color="auto"/>
              <w:bottom w:val="single" w:sz="4" w:space="0" w:color="auto"/>
              <w:right w:val="single" w:sz="4" w:space="0" w:color="auto"/>
            </w:tcBorders>
            <w:textDirection w:val="lrTb"/>
            <w:vAlign w:val="top"/>
          </w:tcPr>
          <w:p w:rsidR="006757B6" w:rsidRPr="00CB6753" w:rsidP="00603051">
            <w:pPr>
              <w:pStyle w:val="Default"/>
              <w:bidi w:val="0"/>
              <w:spacing w:after="0" w:line="240" w:lineRule="auto"/>
              <w:rPr>
                <w:rFonts w:ascii="Times New Roman" w:hAnsi="Times New Roman" w:cs="Times New Roman"/>
                <w:b/>
                <w:bCs/>
              </w:rPr>
            </w:pPr>
            <w:r w:rsidRPr="00CB6753">
              <w:rPr>
                <w:rFonts w:ascii="Times New Roman" w:hAnsi="Times New Roman" w:cs="Times New Roman"/>
                <w:b/>
                <w:bCs/>
              </w:rPr>
              <w:t>DPH (131)</w:t>
            </w:r>
          </w:p>
        </w:tc>
        <w:tc>
          <w:tcPr>
            <w:tcW w:w="1368" w:type="dxa"/>
            <w:tcBorders>
              <w:top w:val="nil"/>
              <w:left w:val="nil"/>
              <w:bottom w:val="single" w:sz="4" w:space="0" w:color="auto"/>
              <w:right w:val="single" w:sz="4" w:space="0" w:color="auto"/>
            </w:tcBorders>
            <w:textDirection w:val="lrTb"/>
            <w:vAlign w:val="top"/>
          </w:tcPr>
          <w:p w:rsidR="006757B6" w:rsidRPr="00CB6753" w:rsidP="00603051">
            <w:pPr>
              <w:bidi w:val="0"/>
              <w:spacing w:after="0" w:line="240" w:lineRule="auto"/>
              <w:jc w:val="right"/>
              <w:rPr>
                <w:rFonts w:ascii="Times New Roman" w:hAnsi="Times New Roman"/>
                <w:b/>
                <w:bCs/>
              </w:rPr>
            </w:pPr>
            <w:r w:rsidRPr="00CB6753">
              <w:rPr>
                <w:rFonts w:ascii="Times New Roman" w:hAnsi="Times New Roman"/>
                <w:b/>
                <w:bCs/>
              </w:rPr>
              <w:t>0</w:t>
            </w:r>
          </w:p>
        </w:tc>
        <w:tc>
          <w:tcPr>
            <w:tcW w:w="1418" w:type="dxa"/>
            <w:gridSpan w:val="2"/>
            <w:tcBorders>
              <w:top w:val="nil"/>
              <w:left w:val="nil"/>
              <w:bottom w:val="single" w:sz="4" w:space="0" w:color="auto"/>
              <w:right w:val="single" w:sz="4" w:space="0" w:color="auto"/>
            </w:tcBorders>
            <w:textDirection w:val="lrTb"/>
            <w:vAlign w:val="top"/>
          </w:tcPr>
          <w:p w:rsidR="006757B6" w:rsidRPr="00CB6753" w:rsidP="00603051">
            <w:pPr>
              <w:bidi w:val="0"/>
              <w:spacing w:after="0" w:line="240" w:lineRule="auto"/>
              <w:jc w:val="right"/>
              <w:rPr>
                <w:rFonts w:ascii="Times New Roman" w:hAnsi="Times New Roman"/>
                <w:b/>
                <w:bCs/>
              </w:rPr>
            </w:pPr>
            <w:r w:rsidRPr="00CB6753">
              <w:rPr>
                <w:rFonts w:ascii="Times New Roman" w:hAnsi="Times New Roman"/>
                <w:b/>
                <w:bCs/>
              </w:rPr>
              <w:t>0</w:t>
            </w:r>
          </w:p>
        </w:tc>
        <w:tc>
          <w:tcPr>
            <w:tcW w:w="1417" w:type="dxa"/>
            <w:gridSpan w:val="2"/>
            <w:tcBorders>
              <w:top w:val="nil"/>
              <w:left w:val="nil"/>
              <w:bottom w:val="single" w:sz="4" w:space="0" w:color="auto"/>
              <w:right w:val="single" w:sz="4" w:space="0" w:color="auto"/>
            </w:tcBorders>
            <w:textDirection w:val="lrTb"/>
            <w:vAlign w:val="center"/>
          </w:tcPr>
          <w:p w:rsidR="006757B6" w:rsidRPr="00CB6753" w:rsidP="00603051">
            <w:pPr>
              <w:bidi w:val="0"/>
              <w:spacing w:after="0" w:line="240" w:lineRule="auto"/>
              <w:jc w:val="right"/>
              <w:rPr>
                <w:rFonts w:ascii="Times New Roman" w:hAnsi="Times New Roman"/>
                <w:b/>
              </w:rPr>
            </w:pPr>
            <w:r>
              <w:rPr>
                <w:rFonts w:ascii="Times New Roman" w:hAnsi="Times New Roman"/>
                <w:b/>
              </w:rPr>
              <w:t>0</w:t>
            </w:r>
          </w:p>
        </w:tc>
        <w:tc>
          <w:tcPr>
            <w:tcW w:w="1559" w:type="dxa"/>
            <w:gridSpan w:val="2"/>
            <w:tcBorders>
              <w:top w:val="nil"/>
              <w:left w:val="nil"/>
              <w:bottom w:val="single" w:sz="4" w:space="0" w:color="auto"/>
              <w:right w:val="single" w:sz="4" w:space="0" w:color="auto"/>
            </w:tcBorders>
            <w:textDirection w:val="lrTb"/>
            <w:vAlign w:val="center"/>
          </w:tcPr>
          <w:p w:rsidR="006757B6" w:rsidRPr="00CB6753" w:rsidP="00603051">
            <w:pPr>
              <w:bidi w:val="0"/>
              <w:spacing w:after="0" w:line="240" w:lineRule="auto"/>
              <w:jc w:val="right"/>
              <w:rPr>
                <w:rFonts w:ascii="Times New Roman" w:hAnsi="Times New Roman"/>
                <w:b/>
              </w:rPr>
            </w:pPr>
            <w:r w:rsidRPr="00CB6753">
              <w:rPr>
                <w:rFonts w:ascii="Times New Roman" w:hAnsi="Times New Roman"/>
                <w:b/>
              </w:rPr>
              <w:t>-</w:t>
            </w:r>
            <w:r>
              <w:rPr>
                <w:rFonts w:ascii="Times New Roman" w:hAnsi="Times New Roman"/>
                <w:b/>
              </w:rPr>
              <w:t>454 624</w:t>
            </w:r>
          </w:p>
        </w:tc>
        <w:tc>
          <w:tcPr>
            <w:tcW w:w="1701" w:type="dxa"/>
            <w:tcBorders>
              <w:top w:val="single" w:sz="4" w:space="0" w:color="auto"/>
              <w:left w:val="nil"/>
              <w:bottom w:val="single" w:sz="4" w:space="0" w:color="auto"/>
              <w:right w:val="single" w:sz="4" w:space="0" w:color="auto"/>
            </w:tcBorders>
            <w:textDirection w:val="lrTb"/>
            <w:vAlign w:val="top"/>
          </w:tcPr>
          <w:p w:rsidR="006757B6" w:rsidRPr="00CB6753" w:rsidP="00603051">
            <w:pPr>
              <w:bidi w:val="0"/>
              <w:spacing w:after="0" w:line="240" w:lineRule="auto"/>
              <w:jc w:val="right"/>
              <w:rPr>
                <w:rFonts w:ascii="Times New Roman" w:hAnsi="Times New Roman"/>
              </w:rPr>
            </w:pPr>
            <w:r>
              <w:rPr>
                <w:rFonts w:ascii="Times New Roman" w:hAnsi="Times New Roman"/>
                <w:b/>
              </w:rPr>
              <w:t>- 23 426</w:t>
            </w:r>
          </w:p>
        </w:tc>
        <w:tc>
          <w:tcPr>
            <w:tcW w:w="2127" w:type="dxa"/>
            <w:tcBorders>
              <w:top w:val="nil"/>
              <w:left w:val="single" w:sz="4" w:space="0" w:color="auto"/>
              <w:bottom w:val="single" w:sz="4" w:space="0" w:color="auto"/>
              <w:right w:val="single" w:sz="4" w:space="0" w:color="auto"/>
            </w:tcBorders>
            <w:noWrap/>
            <w:textDirection w:val="lrTb"/>
            <w:vAlign w:val="bottom"/>
          </w:tcPr>
          <w:p w:rsidR="006757B6" w:rsidRPr="00CB6753" w:rsidP="00603051">
            <w:pPr>
              <w:bidi w:val="0"/>
              <w:spacing w:after="0" w:line="240" w:lineRule="auto"/>
              <w:rPr>
                <w:rFonts w:ascii="Times New Roman" w:hAnsi="Times New Roman"/>
              </w:rPr>
            </w:pPr>
          </w:p>
        </w:tc>
      </w:tr>
      <w:tr>
        <w:tblPrEx>
          <w:tblW w:w="14142" w:type="dxa"/>
          <w:tblLayout w:type="fixed"/>
          <w:tblCellMar>
            <w:left w:w="70" w:type="dxa"/>
            <w:right w:w="70" w:type="dxa"/>
          </w:tblCellMar>
        </w:tblPrEx>
        <w:trPr>
          <w:gridAfter w:val="1"/>
          <w:wAfter w:w="38" w:type="dxa"/>
          <w:trHeight w:val="255"/>
        </w:trPr>
        <w:tc>
          <w:tcPr>
            <w:tcW w:w="4514" w:type="dxa"/>
            <w:tcBorders>
              <w:top w:val="nil"/>
              <w:left w:val="single" w:sz="4" w:space="0" w:color="auto"/>
              <w:bottom w:val="single" w:sz="4" w:space="0" w:color="auto"/>
              <w:right w:val="single" w:sz="4" w:space="0" w:color="auto"/>
            </w:tcBorders>
            <w:textDirection w:val="lrTb"/>
            <w:vAlign w:val="top"/>
          </w:tcPr>
          <w:p w:rsidR="006757B6" w:rsidRPr="00CB6753" w:rsidP="00603051">
            <w:pPr>
              <w:bidi w:val="0"/>
              <w:spacing w:after="0" w:line="240" w:lineRule="auto"/>
              <w:rPr>
                <w:rFonts w:ascii="Times New Roman" w:hAnsi="Times New Roman"/>
                <w:b/>
                <w:bCs/>
              </w:rPr>
            </w:pPr>
            <w:r w:rsidRPr="00CB6753">
              <w:rPr>
                <w:rFonts w:ascii="Times New Roman" w:hAnsi="Times New Roman"/>
                <w:b/>
                <w:bCs/>
              </w:rPr>
              <w:t>Nedaňové príjmy (200)</w:t>
            </w:r>
            <w:r w:rsidRPr="00CB6753">
              <w:rPr>
                <w:rFonts w:ascii="Times New Roman" w:hAnsi="Times New Roman"/>
                <w:b/>
                <w:bCs/>
                <w:vertAlign w:val="superscript"/>
              </w:rPr>
              <w:t>1</w:t>
            </w:r>
          </w:p>
        </w:tc>
        <w:tc>
          <w:tcPr>
            <w:tcW w:w="1368" w:type="dxa"/>
            <w:tcBorders>
              <w:top w:val="nil"/>
              <w:left w:val="nil"/>
              <w:bottom w:val="single" w:sz="4" w:space="0" w:color="auto"/>
              <w:right w:val="single" w:sz="4" w:space="0" w:color="auto"/>
            </w:tcBorders>
            <w:textDirection w:val="lrTb"/>
            <w:vAlign w:val="top"/>
          </w:tcPr>
          <w:p w:rsidR="006757B6" w:rsidRPr="00CB6753" w:rsidP="00603051">
            <w:pPr>
              <w:bidi w:val="0"/>
              <w:spacing w:after="0" w:line="240" w:lineRule="auto"/>
              <w:jc w:val="right"/>
              <w:rPr>
                <w:rFonts w:ascii="Times New Roman" w:hAnsi="Times New Roman"/>
                <w:b/>
                <w:bCs/>
              </w:rPr>
            </w:pPr>
          </w:p>
        </w:tc>
        <w:tc>
          <w:tcPr>
            <w:tcW w:w="1418" w:type="dxa"/>
            <w:gridSpan w:val="2"/>
            <w:tcBorders>
              <w:top w:val="nil"/>
              <w:left w:val="nil"/>
              <w:bottom w:val="single" w:sz="4" w:space="0" w:color="auto"/>
              <w:right w:val="single" w:sz="4" w:space="0" w:color="auto"/>
            </w:tcBorders>
            <w:textDirection w:val="lrTb"/>
            <w:vAlign w:val="top"/>
          </w:tcPr>
          <w:p w:rsidR="006757B6" w:rsidRPr="00CB6753" w:rsidP="00603051">
            <w:pPr>
              <w:bidi w:val="0"/>
              <w:spacing w:after="0" w:line="240" w:lineRule="auto"/>
              <w:jc w:val="right"/>
              <w:rPr>
                <w:rFonts w:ascii="Times New Roman" w:hAnsi="Times New Roman"/>
                <w:b/>
                <w:bCs/>
              </w:rPr>
            </w:pPr>
          </w:p>
        </w:tc>
        <w:tc>
          <w:tcPr>
            <w:tcW w:w="1417" w:type="dxa"/>
            <w:gridSpan w:val="2"/>
            <w:tcBorders>
              <w:top w:val="nil"/>
              <w:left w:val="nil"/>
              <w:bottom w:val="single" w:sz="4" w:space="0" w:color="auto"/>
              <w:right w:val="single" w:sz="4" w:space="0" w:color="auto"/>
            </w:tcBorders>
            <w:textDirection w:val="lrTb"/>
            <w:vAlign w:val="center"/>
          </w:tcPr>
          <w:p w:rsidR="006757B6" w:rsidRPr="00CB6753" w:rsidP="00603051">
            <w:pPr>
              <w:bidi w:val="0"/>
              <w:spacing w:after="0" w:line="240" w:lineRule="auto"/>
              <w:jc w:val="right"/>
              <w:rPr>
                <w:rFonts w:ascii="Times New Roman" w:hAnsi="Times New Roman"/>
                <w:b/>
                <w:bCs/>
                <w:iCs/>
              </w:rPr>
            </w:pPr>
          </w:p>
        </w:tc>
        <w:tc>
          <w:tcPr>
            <w:tcW w:w="1559" w:type="dxa"/>
            <w:gridSpan w:val="2"/>
            <w:tcBorders>
              <w:top w:val="nil"/>
              <w:left w:val="nil"/>
              <w:bottom w:val="single" w:sz="4" w:space="0" w:color="auto"/>
              <w:right w:val="single" w:sz="4" w:space="0" w:color="auto"/>
            </w:tcBorders>
            <w:textDirection w:val="lrTb"/>
            <w:vAlign w:val="center"/>
          </w:tcPr>
          <w:p w:rsidR="006757B6" w:rsidRPr="00CB6753" w:rsidP="00603051">
            <w:pPr>
              <w:bidi w:val="0"/>
              <w:spacing w:after="0" w:line="240" w:lineRule="auto"/>
              <w:jc w:val="right"/>
              <w:rPr>
                <w:rFonts w:ascii="Times New Roman" w:hAnsi="Times New Roman"/>
                <w:b/>
                <w:bCs/>
                <w:iCs/>
              </w:rPr>
            </w:pPr>
          </w:p>
        </w:tc>
        <w:tc>
          <w:tcPr>
            <w:tcW w:w="1701" w:type="dxa"/>
            <w:tcBorders>
              <w:top w:val="single" w:sz="4" w:space="0" w:color="auto"/>
              <w:left w:val="nil"/>
              <w:bottom w:val="single" w:sz="4" w:space="0" w:color="auto"/>
              <w:right w:val="single" w:sz="4" w:space="0" w:color="auto"/>
            </w:tcBorders>
            <w:textDirection w:val="lrTb"/>
            <w:vAlign w:val="top"/>
          </w:tcPr>
          <w:p w:rsidR="006757B6" w:rsidRPr="00CB6753" w:rsidP="00603051">
            <w:pPr>
              <w:bidi w:val="0"/>
              <w:spacing w:after="0" w:line="240" w:lineRule="auto"/>
              <w:rPr>
                <w:rFonts w:ascii="Times New Roman" w:hAnsi="Times New Roman"/>
              </w:rPr>
            </w:pPr>
          </w:p>
        </w:tc>
        <w:tc>
          <w:tcPr>
            <w:tcW w:w="2127" w:type="dxa"/>
            <w:tcBorders>
              <w:top w:val="nil"/>
              <w:left w:val="single" w:sz="4" w:space="0" w:color="auto"/>
              <w:bottom w:val="single" w:sz="4" w:space="0" w:color="auto"/>
              <w:right w:val="single" w:sz="4" w:space="0" w:color="auto"/>
            </w:tcBorders>
            <w:noWrap/>
            <w:textDirection w:val="lrTb"/>
            <w:vAlign w:val="bottom"/>
          </w:tcPr>
          <w:p w:rsidR="006757B6" w:rsidRPr="00CB6753" w:rsidP="00603051">
            <w:pPr>
              <w:bidi w:val="0"/>
              <w:spacing w:after="0" w:line="240" w:lineRule="auto"/>
              <w:rPr>
                <w:rFonts w:ascii="Times New Roman" w:hAnsi="Times New Roman"/>
              </w:rPr>
            </w:pPr>
            <w:r w:rsidRPr="00CB6753">
              <w:rPr>
                <w:rFonts w:ascii="Times New Roman" w:hAnsi="Times New Roman"/>
              </w:rPr>
              <w:t> </w:t>
            </w:r>
          </w:p>
        </w:tc>
      </w:tr>
      <w:tr>
        <w:tblPrEx>
          <w:tblW w:w="14142" w:type="dxa"/>
          <w:tblLayout w:type="fixed"/>
          <w:tblCellMar>
            <w:left w:w="70" w:type="dxa"/>
            <w:right w:w="70" w:type="dxa"/>
          </w:tblCellMar>
        </w:tblPrEx>
        <w:trPr>
          <w:gridAfter w:val="1"/>
          <w:wAfter w:w="38" w:type="dxa"/>
          <w:trHeight w:val="255"/>
        </w:trPr>
        <w:tc>
          <w:tcPr>
            <w:tcW w:w="4514" w:type="dxa"/>
            <w:tcBorders>
              <w:top w:val="nil"/>
              <w:left w:val="single" w:sz="4" w:space="0" w:color="auto"/>
              <w:bottom w:val="single" w:sz="4" w:space="0" w:color="auto"/>
              <w:right w:val="single" w:sz="4" w:space="0" w:color="auto"/>
            </w:tcBorders>
            <w:textDirection w:val="lrTb"/>
            <w:vAlign w:val="top"/>
          </w:tcPr>
          <w:p w:rsidR="006757B6" w:rsidRPr="00CB6753" w:rsidP="00603051">
            <w:pPr>
              <w:bidi w:val="0"/>
              <w:spacing w:after="0" w:line="240" w:lineRule="auto"/>
              <w:rPr>
                <w:rFonts w:ascii="Times New Roman" w:hAnsi="Times New Roman"/>
                <w:b/>
                <w:bCs/>
              </w:rPr>
            </w:pPr>
            <w:r w:rsidRPr="00CB6753">
              <w:rPr>
                <w:rFonts w:ascii="Times New Roman" w:hAnsi="Times New Roman"/>
                <w:b/>
                <w:bCs/>
              </w:rPr>
              <w:t>Granty a transfery (300)</w:t>
            </w:r>
            <w:r w:rsidRPr="00CB6753">
              <w:rPr>
                <w:rFonts w:ascii="Times New Roman" w:hAnsi="Times New Roman"/>
                <w:b/>
                <w:bCs/>
                <w:vertAlign w:val="superscript"/>
              </w:rPr>
              <w:t>1</w:t>
            </w:r>
          </w:p>
        </w:tc>
        <w:tc>
          <w:tcPr>
            <w:tcW w:w="1368" w:type="dxa"/>
            <w:tcBorders>
              <w:top w:val="nil"/>
              <w:left w:val="nil"/>
              <w:bottom w:val="single" w:sz="4" w:space="0" w:color="auto"/>
              <w:right w:val="single" w:sz="4" w:space="0" w:color="auto"/>
            </w:tcBorders>
            <w:textDirection w:val="lrTb"/>
            <w:vAlign w:val="top"/>
          </w:tcPr>
          <w:p w:rsidR="006757B6" w:rsidRPr="00CB6753" w:rsidP="00603051">
            <w:pPr>
              <w:bidi w:val="0"/>
              <w:spacing w:after="0" w:line="240" w:lineRule="auto"/>
              <w:jc w:val="right"/>
              <w:rPr>
                <w:rFonts w:ascii="Times New Roman" w:hAnsi="Times New Roman"/>
                <w:b/>
                <w:bCs/>
              </w:rPr>
            </w:pPr>
          </w:p>
        </w:tc>
        <w:tc>
          <w:tcPr>
            <w:tcW w:w="1418" w:type="dxa"/>
            <w:gridSpan w:val="2"/>
            <w:tcBorders>
              <w:top w:val="nil"/>
              <w:left w:val="nil"/>
              <w:bottom w:val="single" w:sz="4" w:space="0" w:color="auto"/>
              <w:right w:val="single" w:sz="4" w:space="0" w:color="auto"/>
            </w:tcBorders>
            <w:textDirection w:val="lrTb"/>
            <w:vAlign w:val="top"/>
          </w:tcPr>
          <w:p w:rsidR="006757B6" w:rsidRPr="00CB6753" w:rsidP="00603051">
            <w:pPr>
              <w:bidi w:val="0"/>
              <w:spacing w:after="0" w:line="240" w:lineRule="auto"/>
              <w:jc w:val="right"/>
              <w:rPr>
                <w:rFonts w:ascii="Times New Roman" w:hAnsi="Times New Roman"/>
                <w:b/>
                <w:bCs/>
              </w:rPr>
            </w:pPr>
          </w:p>
        </w:tc>
        <w:tc>
          <w:tcPr>
            <w:tcW w:w="1417" w:type="dxa"/>
            <w:gridSpan w:val="2"/>
            <w:tcBorders>
              <w:top w:val="nil"/>
              <w:left w:val="nil"/>
              <w:bottom w:val="single" w:sz="4" w:space="0" w:color="auto"/>
              <w:right w:val="single" w:sz="4" w:space="0" w:color="auto"/>
            </w:tcBorders>
            <w:textDirection w:val="lrTb"/>
            <w:vAlign w:val="top"/>
          </w:tcPr>
          <w:p w:rsidR="006757B6" w:rsidRPr="00CB6753" w:rsidP="00603051">
            <w:pPr>
              <w:bidi w:val="0"/>
              <w:spacing w:after="0" w:line="240" w:lineRule="auto"/>
              <w:jc w:val="center"/>
              <w:rPr>
                <w:rFonts w:ascii="Times New Roman" w:hAnsi="Times New Roman"/>
                <w:b/>
                <w:bCs/>
              </w:rPr>
            </w:pPr>
          </w:p>
        </w:tc>
        <w:tc>
          <w:tcPr>
            <w:tcW w:w="1559" w:type="dxa"/>
            <w:gridSpan w:val="2"/>
            <w:tcBorders>
              <w:top w:val="nil"/>
              <w:left w:val="nil"/>
              <w:bottom w:val="single" w:sz="4" w:space="0" w:color="auto"/>
              <w:right w:val="single" w:sz="4" w:space="0" w:color="auto"/>
            </w:tcBorders>
            <w:textDirection w:val="lrTb"/>
            <w:vAlign w:val="top"/>
          </w:tcPr>
          <w:p w:rsidR="006757B6" w:rsidRPr="00CB6753" w:rsidP="00603051">
            <w:pPr>
              <w:bidi w:val="0"/>
              <w:spacing w:after="0" w:line="240" w:lineRule="auto"/>
              <w:jc w:val="center"/>
              <w:rPr>
                <w:rFonts w:ascii="Times New Roman" w:hAnsi="Times New Roman"/>
                <w:b/>
                <w:bCs/>
              </w:rPr>
            </w:pPr>
          </w:p>
        </w:tc>
        <w:tc>
          <w:tcPr>
            <w:tcW w:w="1701" w:type="dxa"/>
            <w:tcBorders>
              <w:top w:val="single" w:sz="4" w:space="0" w:color="auto"/>
              <w:left w:val="nil"/>
              <w:bottom w:val="single" w:sz="4" w:space="0" w:color="auto"/>
              <w:right w:val="single" w:sz="4" w:space="0" w:color="auto"/>
            </w:tcBorders>
            <w:textDirection w:val="lrTb"/>
            <w:vAlign w:val="top"/>
          </w:tcPr>
          <w:p w:rsidR="006757B6" w:rsidRPr="00CB6753" w:rsidP="00603051">
            <w:pPr>
              <w:bidi w:val="0"/>
              <w:spacing w:after="0" w:line="240" w:lineRule="auto"/>
              <w:rPr>
                <w:rFonts w:ascii="Times New Roman" w:hAnsi="Times New Roman"/>
              </w:rPr>
            </w:pPr>
          </w:p>
        </w:tc>
        <w:tc>
          <w:tcPr>
            <w:tcW w:w="2127" w:type="dxa"/>
            <w:tcBorders>
              <w:top w:val="nil"/>
              <w:left w:val="single" w:sz="4" w:space="0" w:color="auto"/>
              <w:bottom w:val="single" w:sz="4" w:space="0" w:color="auto"/>
              <w:right w:val="single" w:sz="4" w:space="0" w:color="auto"/>
            </w:tcBorders>
            <w:noWrap/>
            <w:textDirection w:val="lrTb"/>
            <w:vAlign w:val="bottom"/>
          </w:tcPr>
          <w:p w:rsidR="006757B6" w:rsidRPr="00CB6753" w:rsidP="00603051">
            <w:pPr>
              <w:bidi w:val="0"/>
              <w:spacing w:after="0" w:line="240" w:lineRule="auto"/>
              <w:rPr>
                <w:rFonts w:ascii="Times New Roman" w:hAnsi="Times New Roman"/>
              </w:rPr>
            </w:pPr>
            <w:r w:rsidRPr="00CB6753">
              <w:rPr>
                <w:rFonts w:ascii="Times New Roman" w:hAnsi="Times New Roman"/>
              </w:rPr>
              <w:t> </w:t>
            </w:r>
          </w:p>
        </w:tc>
      </w:tr>
      <w:tr>
        <w:tblPrEx>
          <w:tblW w:w="14142" w:type="dxa"/>
          <w:tblLayout w:type="fixed"/>
          <w:tblCellMar>
            <w:left w:w="70" w:type="dxa"/>
            <w:right w:w="70" w:type="dxa"/>
          </w:tblCellMar>
        </w:tblPrEx>
        <w:trPr>
          <w:gridAfter w:val="1"/>
          <w:wAfter w:w="38" w:type="dxa"/>
          <w:trHeight w:val="255"/>
        </w:trPr>
        <w:tc>
          <w:tcPr>
            <w:tcW w:w="4514" w:type="dxa"/>
            <w:tcBorders>
              <w:top w:val="nil"/>
              <w:left w:val="single" w:sz="4" w:space="0" w:color="auto"/>
              <w:bottom w:val="single" w:sz="4" w:space="0" w:color="auto"/>
              <w:right w:val="single" w:sz="4" w:space="0" w:color="auto"/>
            </w:tcBorders>
            <w:textDirection w:val="lrTb"/>
            <w:vAlign w:val="top"/>
          </w:tcPr>
          <w:p w:rsidR="006757B6" w:rsidRPr="00CB6753" w:rsidP="00603051">
            <w:pPr>
              <w:bidi w:val="0"/>
              <w:spacing w:after="0" w:line="240" w:lineRule="auto"/>
              <w:rPr>
                <w:rFonts w:ascii="Times New Roman" w:hAnsi="Times New Roman"/>
                <w:b/>
                <w:bCs/>
              </w:rPr>
            </w:pPr>
            <w:r w:rsidRPr="00CB6753">
              <w:rPr>
                <w:rFonts w:ascii="Times New Roman" w:hAnsi="Times New Roman"/>
                <w:b/>
                <w:bCs/>
              </w:rPr>
              <w:t>Príjmy z transakcií s finančnými aktívami a finančnými pasívami (400)</w:t>
            </w:r>
          </w:p>
        </w:tc>
        <w:tc>
          <w:tcPr>
            <w:tcW w:w="1368" w:type="dxa"/>
            <w:tcBorders>
              <w:top w:val="nil"/>
              <w:left w:val="nil"/>
              <w:bottom w:val="single" w:sz="4" w:space="0" w:color="auto"/>
              <w:right w:val="single" w:sz="4" w:space="0" w:color="auto"/>
            </w:tcBorders>
            <w:shd w:val="clear" w:color="auto" w:fill="FFFF00"/>
            <w:textDirection w:val="lrTb"/>
            <w:vAlign w:val="top"/>
          </w:tcPr>
          <w:p w:rsidR="006757B6" w:rsidRPr="00CB6753" w:rsidP="00603051">
            <w:pPr>
              <w:bidi w:val="0"/>
              <w:spacing w:after="0" w:line="240" w:lineRule="auto"/>
              <w:jc w:val="right"/>
              <w:rPr>
                <w:rFonts w:ascii="Times New Roman" w:hAnsi="Times New Roman"/>
                <w:b/>
                <w:bCs/>
              </w:rPr>
            </w:pPr>
            <w:r w:rsidRPr="00CB6753">
              <w:rPr>
                <w:rFonts w:ascii="Times New Roman" w:hAnsi="Times New Roman"/>
                <w:b/>
                <w:bCs/>
              </w:rPr>
              <w:t> </w:t>
            </w:r>
          </w:p>
        </w:tc>
        <w:tc>
          <w:tcPr>
            <w:tcW w:w="1418" w:type="dxa"/>
            <w:gridSpan w:val="2"/>
            <w:tcBorders>
              <w:top w:val="nil"/>
              <w:left w:val="nil"/>
              <w:bottom w:val="single" w:sz="4" w:space="0" w:color="auto"/>
              <w:right w:val="single" w:sz="4" w:space="0" w:color="auto"/>
            </w:tcBorders>
            <w:shd w:val="clear" w:color="auto" w:fill="FFFF00"/>
            <w:textDirection w:val="lrTb"/>
            <w:vAlign w:val="top"/>
          </w:tcPr>
          <w:p w:rsidR="006757B6" w:rsidRPr="00CB6753" w:rsidP="00603051">
            <w:pPr>
              <w:bidi w:val="0"/>
              <w:spacing w:after="0" w:line="240" w:lineRule="auto"/>
              <w:jc w:val="right"/>
              <w:rPr>
                <w:rFonts w:ascii="Times New Roman" w:hAnsi="Times New Roman"/>
                <w:b/>
                <w:bCs/>
              </w:rPr>
            </w:pPr>
            <w:r w:rsidRPr="00CB6753">
              <w:rPr>
                <w:rFonts w:ascii="Times New Roman" w:hAnsi="Times New Roman"/>
                <w:b/>
                <w:bCs/>
              </w:rPr>
              <w:t> </w:t>
            </w:r>
          </w:p>
        </w:tc>
        <w:tc>
          <w:tcPr>
            <w:tcW w:w="1417" w:type="dxa"/>
            <w:gridSpan w:val="2"/>
            <w:tcBorders>
              <w:top w:val="nil"/>
              <w:left w:val="nil"/>
              <w:bottom w:val="single" w:sz="4" w:space="0" w:color="auto"/>
              <w:right w:val="single" w:sz="4" w:space="0" w:color="auto"/>
            </w:tcBorders>
            <w:shd w:val="clear" w:color="auto" w:fill="FFFF00"/>
            <w:textDirection w:val="lrTb"/>
            <w:vAlign w:val="top"/>
          </w:tcPr>
          <w:p w:rsidR="006757B6" w:rsidRPr="00CB6753" w:rsidP="00603051">
            <w:pPr>
              <w:bidi w:val="0"/>
              <w:spacing w:after="0" w:line="240" w:lineRule="auto"/>
              <w:jc w:val="center"/>
              <w:rPr>
                <w:rFonts w:ascii="Times New Roman" w:hAnsi="Times New Roman"/>
                <w:b/>
                <w:bCs/>
              </w:rPr>
            </w:pPr>
            <w:r w:rsidRPr="00CB6753">
              <w:rPr>
                <w:rFonts w:ascii="Times New Roman" w:hAnsi="Times New Roman"/>
                <w:b/>
                <w:bCs/>
              </w:rPr>
              <w:t> </w:t>
            </w:r>
          </w:p>
        </w:tc>
        <w:tc>
          <w:tcPr>
            <w:tcW w:w="1559" w:type="dxa"/>
            <w:gridSpan w:val="2"/>
            <w:tcBorders>
              <w:top w:val="nil"/>
              <w:left w:val="nil"/>
              <w:bottom w:val="single" w:sz="4" w:space="0" w:color="auto"/>
              <w:right w:val="single" w:sz="4" w:space="0" w:color="auto"/>
            </w:tcBorders>
            <w:shd w:val="clear" w:color="auto" w:fill="FFFF00"/>
            <w:textDirection w:val="lrTb"/>
            <w:vAlign w:val="top"/>
          </w:tcPr>
          <w:p w:rsidR="006757B6" w:rsidRPr="00CB6753" w:rsidP="00603051">
            <w:pPr>
              <w:bidi w:val="0"/>
              <w:spacing w:after="0" w:line="240" w:lineRule="auto"/>
              <w:jc w:val="center"/>
              <w:rPr>
                <w:rFonts w:ascii="Times New Roman" w:hAnsi="Times New Roman"/>
                <w:b/>
                <w:bCs/>
              </w:rPr>
            </w:pPr>
            <w:r w:rsidRPr="00CB6753">
              <w:rPr>
                <w:rFonts w:ascii="Times New Roman" w:hAnsi="Times New Roman"/>
                <w:b/>
                <w:bCs/>
              </w:rPr>
              <w:t> </w:t>
            </w:r>
          </w:p>
        </w:tc>
        <w:tc>
          <w:tcPr>
            <w:tcW w:w="1701" w:type="dxa"/>
            <w:tcBorders>
              <w:top w:val="single" w:sz="4" w:space="0" w:color="auto"/>
              <w:left w:val="nil"/>
              <w:bottom w:val="single" w:sz="4" w:space="0" w:color="auto"/>
              <w:right w:val="single" w:sz="4" w:space="0" w:color="auto"/>
            </w:tcBorders>
            <w:shd w:val="clear" w:color="auto" w:fill="FFFF00"/>
            <w:textDirection w:val="lrTb"/>
            <w:vAlign w:val="top"/>
          </w:tcPr>
          <w:p w:rsidR="006757B6" w:rsidRPr="00CB6753" w:rsidP="00603051">
            <w:pPr>
              <w:bidi w:val="0"/>
              <w:spacing w:after="0" w:line="240" w:lineRule="auto"/>
              <w:rPr>
                <w:rFonts w:ascii="Times New Roman" w:hAnsi="Times New Roman"/>
              </w:rPr>
            </w:pPr>
          </w:p>
        </w:tc>
        <w:tc>
          <w:tcPr>
            <w:tcW w:w="2127" w:type="dxa"/>
            <w:tcBorders>
              <w:top w:val="nil"/>
              <w:left w:val="single" w:sz="4" w:space="0" w:color="auto"/>
              <w:bottom w:val="single" w:sz="4" w:space="0" w:color="auto"/>
              <w:right w:val="single" w:sz="4" w:space="0" w:color="auto"/>
            </w:tcBorders>
            <w:shd w:val="clear" w:color="auto" w:fill="FFFF00"/>
            <w:noWrap/>
            <w:textDirection w:val="lrTb"/>
            <w:vAlign w:val="bottom"/>
          </w:tcPr>
          <w:p w:rsidR="006757B6" w:rsidRPr="00CB6753" w:rsidP="00603051">
            <w:pPr>
              <w:bidi w:val="0"/>
              <w:spacing w:after="0" w:line="240" w:lineRule="auto"/>
              <w:rPr>
                <w:rFonts w:ascii="Times New Roman" w:hAnsi="Times New Roman"/>
              </w:rPr>
            </w:pPr>
            <w:r w:rsidRPr="00CB6753">
              <w:rPr>
                <w:rFonts w:ascii="Times New Roman" w:hAnsi="Times New Roman"/>
              </w:rPr>
              <w:t> </w:t>
            </w:r>
          </w:p>
        </w:tc>
      </w:tr>
      <w:tr>
        <w:tblPrEx>
          <w:tblW w:w="14142" w:type="dxa"/>
          <w:tblLayout w:type="fixed"/>
          <w:tblCellMar>
            <w:left w:w="70" w:type="dxa"/>
            <w:right w:w="70" w:type="dxa"/>
          </w:tblCellMar>
        </w:tblPrEx>
        <w:trPr>
          <w:gridAfter w:val="1"/>
          <w:wAfter w:w="38" w:type="dxa"/>
          <w:trHeight w:val="255"/>
        </w:trPr>
        <w:tc>
          <w:tcPr>
            <w:tcW w:w="4514" w:type="dxa"/>
            <w:tcBorders>
              <w:top w:val="nil"/>
              <w:left w:val="single" w:sz="4" w:space="0" w:color="auto"/>
              <w:bottom w:val="single" w:sz="4" w:space="0" w:color="auto"/>
              <w:right w:val="single" w:sz="4" w:space="0" w:color="auto"/>
            </w:tcBorders>
            <w:textDirection w:val="lrTb"/>
            <w:vAlign w:val="top"/>
          </w:tcPr>
          <w:p w:rsidR="006757B6" w:rsidRPr="00CB6753" w:rsidP="00603051">
            <w:pPr>
              <w:bidi w:val="0"/>
              <w:spacing w:after="0" w:line="240" w:lineRule="auto"/>
              <w:rPr>
                <w:rFonts w:ascii="Times New Roman" w:hAnsi="Times New Roman"/>
                <w:b/>
                <w:bCs/>
              </w:rPr>
            </w:pPr>
            <w:r w:rsidRPr="00CB6753">
              <w:rPr>
                <w:rFonts w:ascii="Times New Roman" w:hAnsi="Times New Roman"/>
                <w:b/>
                <w:bCs/>
              </w:rPr>
              <w:t>Prijaté úvery, pôžičky a návratné finančné výpomoci (500)</w:t>
            </w:r>
          </w:p>
        </w:tc>
        <w:tc>
          <w:tcPr>
            <w:tcW w:w="1368" w:type="dxa"/>
            <w:tcBorders>
              <w:top w:val="nil"/>
              <w:left w:val="nil"/>
              <w:bottom w:val="single" w:sz="4" w:space="0" w:color="auto"/>
              <w:right w:val="single" w:sz="4" w:space="0" w:color="auto"/>
            </w:tcBorders>
            <w:shd w:val="clear" w:color="auto" w:fill="FFFF00"/>
            <w:textDirection w:val="lrTb"/>
            <w:vAlign w:val="top"/>
          </w:tcPr>
          <w:p w:rsidR="006757B6" w:rsidRPr="00CB6753" w:rsidP="00603051">
            <w:pPr>
              <w:bidi w:val="0"/>
              <w:spacing w:after="0" w:line="240" w:lineRule="auto"/>
              <w:jc w:val="right"/>
              <w:rPr>
                <w:rFonts w:ascii="Times New Roman" w:hAnsi="Times New Roman"/>
                <w:b/>
                <w:bCs/>
              </w:rPr>
            </w:pPr>
            <w:r w:rsidRPr="00CB6753">
              <w:rPr>
                <w:rFonts w:ascii="Times New Roman" w:hAnsi="Times New Roman"/>
                <w:b/>
                <w:bCs/>
              </w:rPr>
              <w:t> </w:t>
            </w:r>
          </w:p>
        </w:tc>
        <w:tc>
          <w:tcPr>
            <w:tcW w:w="1418" w:type="dxa"/>
            <w:gridSpan w:val="2"/>
            <w:tcBorders>
              <w:top w:val="nil"/>
              <w:left w:val="nil"/>
              <w:bottom w:val="single" w:sz="4" w:space="0" w:color="auto"/>
              <w:right w:val="single" w:sz="4" w:space="0" w:color="auto"/>
            </w:tcBorders>
            <w:shd w:val="clear" w:color="auto" w:fill="FFFF00"/>
            <w:textDirection w:val="lrTb"/>
            <w:vAlign w:val="top"/>
          </w:tcPr>
          <w:p w:rsidR="006757B6" w:rsidRPr="00CB6753" w:rsidP="00603051">
            <w:pPr>
              <w:bidi w:val="0"/>
              <w:spacing w:after="0" w:line="240" w:lineRule="auto"/>
              <w:jc w:val="right"/>
              <w:rPr>
                <w:rFonts w:ascii="Times New Roman" w:hAnsi="Times New Roman"/>
                <w:b/>
                <w:bCs/>
              </w:rPr>
            </w:pPr>
            <w:r w:rsidRPr="00CB6753">
              <w:rPr>
                <w:rFonts w:ascii="Times New Roman" w:hAnsi="Times New Roman"/>
                <w:b/>
                <w:bCs/>
              </w:rPr>
              <w:t> </w:t>
            </w:r>
          </w:p>
        </w:tc>
        <w:tc>
          <w:tcPr>
            <w:tcW w:w="1417" w:type="dxa"/>
            <w:gridSpan w:val="2"/>
            <w:tcBorders>
              <w:top w:val="nil"/>
              <w:left w:val="nil"/>
              <w:bottom w:val="single" w:sz="4" w:space="0" w:color="auto"/>
              <w:right w:val="single" w:sz="4" w:space="0" w:color="auto"/>
            </w:tcBorders>
            <w:shd w:val="clear" w:color="auto" w:fill="FFFF00"/>
            <w:textDirection w:val="lrTb"/>
            <w:vAlign w:val="top"/>
          </w:tcPr>
          <w:p w:rsidR="006757B6" w:rsidRPr="00CB6753" w:rsidP="00603051">
            <w:pPr>
              <w:bidi w:val="0"/>
              <w:spacing w:after="0" w:line="240" w:lineRule="auto"/>
              <w:jc w:val="center"/>
              <w:rPr>
                <w:rFonts w:ascii="Times New Roman" w:hAnsi="Times New Roman"/>
                <w:b/>
                <w:bCs/>
              </w:rPr>
            </w:pPr>
            <w:r w:rsidRPr="00CB6753">
              <w:rPr>
                <w:rFonts w:ascii="Times New Roman" w:hAnsi="Times New Roman"/>
                <w:b/>
                <w:bCs/>
              </w:rPr>
              <w:t> </w:t>
            </w:r>
          </w:p>
        </w:tc>
        <w:tc>
          <w:tcPr>
            <w:tcW w:w="1559" w:type="dxa"/>
            <w:gridSpan w:val="2"/>
            <w:tcBorders>
              <w:top w:val="nil"/>
              <w:left w:val="nil"/>
              <w:bottom w:val="single" w:sz="4" w:space="0" w:color="auto"/>
              <w:right w:val="single" w:sz="4" w:space="0" w:color="auto"/>
            </w:tcBorders>
            <w:shd w:val="clear" w:color="auto" w:fill="FFFF00"/>
            <w:textDirection w:val="lrTb"/>
            <w:vAlign w:val="top"/>
          </w:tcPr>
          <w:p w:rsidR="006757B6" w:rsidRPr="00CB6753" w:rsidP="00603051">
            <w:pPr>
              <w:bidi w:val="0"/>
              <w:spacing w:after="0" w:line="240" w:lineRule="auto"/>
              <w:jc w:val="center"/>
              <w:rPr>
                <w:rFonts w:ascii="Times New Roman" w:hAnsi="Times New Roman"/>
                <w:b/>
                <w:bCs/>
              </w:rPr>
            </w:pPr>
            <w:r w:rsidRPr="00CB6753">
              <w:rPr>
                <w:rFonts w:ascii="Times New Roman" w:hAnsi="Times New Roman"/>
                <w:b/>
                <w:bCs/>
              </w:rPr>
              <w:t> </w:t>
            </w:r>
          </w:p>
        </w:tc>
        <w:tc>
          <w:tcPr>
            <w:tcW w:w="1701" w:type="dxa"/>
            <w:tcBorders>
              <w:top w:val="single" w:sz="4" w:space="0" w:color="auto"/>
              <w:left w:val="nil"/>
              <w:bottom w:val="single" w:sz="4" w:space="0" w:color="auto"/>
              <w:right w:val="single" w:sz="4" w:space="0" w:color="auto"/>
            </w:tcBorders>
            <w:shd w:val="clear" w:color="auto" w:fill="FFFF00"/>
            <w:textDirection w:val="lrTb"/>
            <w:vAlign w:val="top"/>
          </w:tcPr>
          <w:p w:rsidR="006757B6" w:rsidRPr="00CB6753" w:rsidP="00603051">
            <w:pPr>
              <w:bidi w:val="0"/>
              <w:spacing w:after="0" w:line="240" w:lineRule="auto"/>
              <w:rPr>
                <w:rFonts w:ascii="Times New Roman" w:hAnsi="Times New Roman"/>
              </w:rPr>
            </w:pPr>
          </w:p>
        </w:tc>
        <w:tc>
          <w:tcPr>
            <w:tcW w:w="2127" w:type="dxa"/>
            <w:tcBorders>
              <w:top w:val="nil"/>
              <w:left w:val="single" w:sz="4" w:space="0" w:color="auto"/>
              <w:bottom w:val="single" w:sz="4" w:space="0" w:color="auto"/>
              <w:right w:val="single" w:sz="4" w:space="0" w:color="auto"/>
            </w:tcBorders>
            <w:shd w:val="clear" w:color="auto" w:fill="FFFF00"/>
            <w:noWrap/>
            <w:textDirection w:val="lrTb"/>
            <w:vAlign w:val="bottom"/>
          </w:tcPr>
          <w:p w:rsidR="006757B6" w:rsidRPr="00CB6753" w:rsidP="00603051">
            <w:pPr>
              <w:bidi w:val="0"/>
              <w:spacing w:after="0" w:line="240" w:lineRule="auto"/>
              <w:rPr>
                <w:rFonts w:ascii="Times New Roman" w:hAnsi="Times New Roman"/>
              </w:rPr>
            </w:pPr>
            <w:r w:rsidRPr="00CB6753">
              <w:rPr>
                <w:rFonts w:ascii="Times New Roman" w:hAnsi="Times New Roman"/>
              </w:rPr>
              <w:t> </w:t>
            </w:r>
          </w:p>
        </w:tc>
      </w:tr>
      <w:tr>
        <w:tblPrEx>
          <w:tblW w:w="14142" w:type="dxa"/>
          <w:tblLayout w:type="fixed"/>
          <w:tblCellMar>
            <w:left w:w="70" w:type="dxa"/>
            <w:right w:w="70" w:type="dxa"/>
          </w:tblCellMar>
        </w:tblPrEx>
        <w:trPr>
          <w:gridAfter w:val="1"/>
          <w:wAfter w:w="38" w:type="dxa"/>
          <w:trHeight w:val="77"/>
        </w:trPr>
        <w:tc>
          <w:tcPr>
            <w:tcW w:w="4514" w:type="dxa"/>
            <w:tcBorders>
              <w:top w:val="nil"/>
              <w:left w:val="single" w:sz="4" w:space="0" w:color="auto"/>
              <w:bottom w:val="single" w:sz="4" w:space="0" w:color="auto"/>
              <w:right w:val="single" w:sz="4" w:space="0" w:color="auto"/>
            </w:tcBorders>
            <w:shd w:val="clear" w:color="auto" w:fill="000000"/>
            <w:textDirection w:val="lrTb"/>
            <w:vAlign w:val="top"/>
          </w:tcPr>
          <w:p w:rsidR="006757B6" w:rsidRPr="00CB6753" w:rsidP="00603051">
            <w:pPr>
              <w:bidi w:val="0"/>
              <w:spacing w:after="0" w:line="240" w:lineRule="auto"/>
              <w:rPr>
                <w:rFonts w:ascii="Times New Roman" w:hAnsi="Times New Roman"/>
                <w:b/>
                <w:bCs/>
                <w:color w:val="FFFFFF"/>
              </w:rPr>
            </w:pPr>
            <w:r w:rsidRPr="00CB6753">
              <w:rPr>
                <w:rFonts w:ascii="Times New Roman" w:hAnsi="Times New Roman"/>
                <w:b/>
                <w:bCs/>
                <w:color w:val="FFFFFF"/>
              </w:rPr>
              <w:t>Dopad na príjmy verejnej správy celkom</w:t>
            </w:r>
          </w:p>
        </w:tc>
        <w:tc>
          <w:tcPr>
            <w:tcW w:w="1368" w:type="dxa"/>
            <w:tcBorders>
              <w:top w:val="nil"/>
              <w:left w:val="nil"/>
              <w:bottom w:val="single" w:sz="4" w:space="0" w:color="auto"/>
              <w:right w:val="single" w:sz="4" w:space="0" w:color="auto"/>
            </w:tcBorders>
            <w:shd w:val="clear" w:color="auto" w:fill="000000"/>
            <w:textDirection w:val="lrTb"/>
            <w:vAlign w:val="top"/>
          </w:tcPr>
          <w:p w:rsidR="006757B6" w:rsidRPr="00CB6753" w:rsidP="00603051">
            <w:pPr>
              <w:tabs>
                <w:tab w:val="left" w:pos="388"/>
                <w:tab w:val="center" w:pos="680"/>
              </w:tabs>
              <w:bidi w:val="0"/>
              <w:spacing w:after="0" w:line="240" w:lineRule="auto"/>
              <w:jc w:val="right"/>
              <w:rPr>
                <w:rFonts w:ascii="Times New Roman" w:hAnsi="Times New Roman"/>
                <w:b/>
                <w:bCs/>
                <w:color w:val="FFFF00"/>
              </w:rPr>
            </w:pPr>
            <w:r w:rsidRPr="00CB6753">
              <w:rPr>
                <w:rFonts w:ascii="Times New Roman" w:hAnsi="Times New Roman"/>
                <w:b/>
                <w:bCs/>
                <w:color w:val="FFFF00"/>
              </w:rPr>
              <w:tab/>
              <w:t xml:space="preserve">    </w:t>
            </w:r>
            <w:r w:rsidRPr="00CB6753">
              <w:rPr>
                <w:rFonts w:ascii="Times New Roman" w:hAnsi="Times New Roman"/>
                <w:b/>
                <w:bCs/>
              </w:rPr>
              <w:t>0</w:t>
            </w:r>
          </w:p>
        </w:tc>
        <w:tc>
          <w:tcPr>
            <w:tcW w:w="1418" w:type="dxa"/>
            <w:gridSpan w:val="2"/>
            <w:tcBorders>
              <w:top w:val="nil"/>
              <w:left w:val="nil"/>
              <w:bottom w:val="single" w:sz="4" w:space="0" w:color="auto"/>
              <w:right w:val="single" w:sz="4" w:space="0" w:color="auto"/>
            </w:tcBorders>
            <w:shd w:val="clear" w:color="auto" w:fill="000000"/>
            <w:textDirection w:val="lrTb"/>
            <w:vAlign w:val="top"/>
          </w:tcPr>
          <w:p w:rsidR="006757B6" w:rsidRPr="00CB6753" w:rsidP="00603051">
            <w:pPr>
              <w:tabs>
                <w:tab w:val="left" w:pos="388"/>
                <w:tab w:val="center" w:pos="680"/>
              </w:tabs>
              <w:bidi w:val="0"/>
              <w:spacing w:after="0" w:line="240" w:lineRule="auto"/>
              <w:jc w:val="right"/>
              <w:rPr>
                <w:rFonts w:ascii="Times New Roman" w:hAnsi="Times New Roman"/>
                <w:b/>
                <w:bCs/>
                <w:color w:val="FFFF00"/>
              </w:rPr>
            </w:pPr>
            <w:r w:rsidRPr="00CB6753">
              <w:rPr>
                <w:rFonts w:ascii="Times New Roman" w:hAnsi="Times New Roman"/>
                <w:b/>
                <w:bCs/>
                <w:color w:val="FFFF00"/>
              </w:rPr>
              <w:tab/>
              <w:t xml:space="preserve">    </w:t>
            </w:r>
            <w:r w:rsidRPr="00CB6753">
              <w:rPr>
                <w:rFonts w:ascii="Times New Roman" w:hAnsi="Times New Roman"/>
                <w:b/>
                <w:bCs/>
              </w:rPr>
              <w:t>0</w:t>
            </w:r>
          </w:p>
        </w:tc>
        <w:tc>
          <w:tcPr>
            <w:tcW w:w="1417" w:type="dxa"/>
            <w:gridSpan w:val="2"/>
            <w:tcBorders>
              <w:top w:val="nil"/>
              <w:left w:val="nil"/>
              <w:bottom w:val="single" w:sz="4" w:space="0" w:color="auto"/>
              <w:right w:val="single" w:sz="4" w:space="0" w:color="auto"/>
            </w:tcBorders>
            <w:shd w:val="clear" w:color="auto" w:fill="000000"/>
            <w:textDirection w:val="lrTb"/>
            <w:vAlign w:val="center"/>
          </w:tcPr>
          <w:p w:rsidR="006757B6" w:rsidRPr="00CB6753" w:rsidP="00603051">
            <w:pPr>
              <w:bidi w:val="0"/>
              <w:spacing w:after="0" w:line="240" w:lineRule="auto"/>
              <w:jc w:val="right"/>
              <w:rPr>
                <w:rFonts w:ascii="Times New Roman" w:hAnsi="Times New Roman"/>
                <w:b/>
              </w:rPr>
            </w:pPr>
            <w:r>
              <w:rPr>
                <w:rFonts w:ascii="Times New Roman" w:hAnsi="Times New Roman"/>
                <w:b/>
              </w:rPr>
              <w:t>0</w:t>
            </w:r>
          </w:p>
        </w:tc>
        <w:tc>
          <w:tcPr>
            <w:tcW w:w="1559" w:type="dxa"/>
            <w:gridSpan w:val="2"/>
            <w:tcBorders>
              <w:top w:val="nil"/>
              <w:left w:val="nil"/>
              <w:bottom w:val="single" w:sz="4" w:space="0" w:color="auto"/>
              <w:right w:val="single" w:sz="4" w:space="0" w:color="auto"/>
            </w:tcBorders>
            <w:shd w:val="clear" w:color="auto" w:fill="000000"/>
            <w:textDirection w:val="lrTb"/>
            <w:vAlign w:val="center"/>
          </w:tcPr>
          <w:p w:rsidR="006757B6" w:rsidRPr="00CB6753" w:rsidP="00603051">
            <w:pPr>
              <w:bidi w:val="0"/>
              <w:spacing w:after="0" w:line="240" w:lineRule="auto"/>
              <w:jc w:val="right"/>
              <w:rPr>
                <w:rFonts w:ascii="Times New Roman" w:hAnsi="Times New Roman"/>
                <w:b/>
              </w:rPr>
            </w:pPr>
            <w:r>
              <w:rPr>
                <w:rFonts w:ascii="Times New Roman" w:hAnsi="Times New Roman"/>
                <w:b/>
              </w:rPr>
              <w:t xml:space="preserve">     </w:t>
            </w:r>
            <w:r w:rsidRPr="00CB6753">
              <w:rPr>
                <w:rFonts w:ascii="Times New Roman" w:hAnsi="Times New Roman"/>
                <w:b/>
              </w:rPr>
              <w:t>-</w:t>
            </w:r>
            <w:r>
              <w:rPr>
                <w:rFonts w:ascii="Times New Roman" w:hAnsi="Times New Roman"/>
                <w:b/>
              </w:rPr>
              <w:t>454 624</w:t>
            </w:r>
          </w:p>
        </w:tc>
        <w:tc>
          <w:tcPr>
            <w:tcW w:w="1701" w:type="dxa"/>
            <w:tcBorders>
              <w:top w:val="single" w:sz="4" w:space="0" w:color="auto"/>
              <w:left w:val="nil"/>
              <w:bottom w:val="single" w:sz="4" w:space="0" w:color="auto"/>
              <w:right w:val="single" w:sz="4" w:space="0" w:color="auto"/>
            </w:tcBorders>
            <w:shd w:val="clear" w:color="auto" w:fill="000000"/>
            <w:textDirection w:val="lrTb"/>
            <w:vAlign w:val="top"/>
          </w:tcPr>
          <w:p w:rsidR="006757B6" w:rsidRPr="00CB6753" w:rsidP="00603051">
            <w:pPr>
              <w:bidi w:val="0"/>
              <w:spacing w:after="0" w:line="240" w:lineRule="auto"/>
              <w:jc w:val="right"/>
              <w:rPr>
                <w:rFonts w:ascii="Times New Roman" w:hAnsi="Times New Roman"/>
                <w:color w:val="FFFFFF"/>
              </w:rPr>
            </w:pPr>
            <w:r>
              <w:rPr>
                <w:rFonts w:ascii="Times New Roman" w:hAnsi="Times New Roman"/>
                <w:b/>
              </w:rPr>
              <w:t>- 23 426</w:t>
            </w:r>
          </w:p>
        </w:tc>
        <w:tc>
          <w:tcPr>
            <w:tcW w:w="2127" w:type="dxa"/>
            <w:tcBorders>
              <w:top w:val="nil"/>
              <w:left w:val="single" w:sz="4" w:space="0" w:color="auto"/>
              <w:bottom w:val="single" w:sz="4" w:space="0" w:color="auto"/>
              <w:right w:val="single" w:sz="4" w:space="0" w:color="auto"/>
            </w:tcBorders>
            <w:shd w:val="clear" w:color="auto" w:fill="000000"/>
            <w:noWrap/>
            <w:textDirection w:val="lrTb"/>
            <w:vAlign w:val="bottom"/>
          </w:tcPr>
          <w:p w:rsidR="006757B6" w:rsidRPr="00CB6753" w:rsidP="00603051">
            <w:pPr>
              <w:bidi w:val="0"/>
              <w:spacing w:after="0" w:line="240" w:lineRule="auto"/>
              <w:rPr>
                <w:rFonts w:ascii="Times New Roman" w:hAnsi="Times New Roman"/>
                <w:color w:val="FFFFFF"/>
              </w:rPr>
            </w:pPr>
            <w:r w:rsidRPr="00CB6753">
              <w:rPr>
                <w:rFonts w:ascii="Times New Roman" w:hAnsi="Times New Roman"/>
                <w:color w:val="FFFFFF"/>
              </w:rPr>
              <w:t> </w:t>
            </w:r>
          </w:p>
        </w:tc>
      </w:tr>
      <w:tr>
        <w:tblPrEx>
          <w:tblW w:w="14142" w:type="dxa"/>
          <w:tblLayout w:type="fixed"/>
          <w:tblCellMar>
            <w:left w:w="70" w:type="dxa"/>
            <w:right w:w="70" w:type="dxa"/>
          </w:tblCellMar>
        </w:tblPrEx>
        <w:trPr>
          <w:trHeight w:val="77"/>
        </w:trPr>
        <w:tc>
          <w:tcPr>
            <w:tcW w:w="4514" w:type="dxa"/>
            <w:tcBorders>
              <w:top w:val="nil"/>
              <w:left w:val="single" w:sz="4" w:space="0" w:color="auto"/>
              <w:bottom w:val="single" w:sz="4" w:space="0" w:color="auto"/>
              <w:right w:val="single" w:sz="4" w:space="0" w:color="auto"/>
            </w:tcBorders>
            <w:shd w:val="clear" w:color="auto" w:fill="000000"/>
            <w:textDirection w:val="lrTb"/>
            <w:vAlign w:val="top"/>
          </w:tcPr>
          <w:p w:rsidR="006757B6" w:rsidRPr="00CB6753" w:rsidP="00603051">
            <w:pPr>
              <w:bidi w:val="0"/>
              <w:spacing w:after="0" w:line="240" w:lineRule="auto"/>
              <w:rPr>
                <w:rFonts w:ascii="Times New Roman" w:hAnsi="Times New Roman"/>
                <w:b/>
                <w:bCs/>
                <w:color w:val="FFFFFF"/>
              </w:rPr>
            </w:pPr>
          </w:p>
        </w:tc>
        <w:tc>
          <w:tcPr>
            <w:tcW w:w="1389" w:type="dxa"/>
            <w:gridSpan w:val="2"/>
            <w:tcBorders>
              <w:top w:val="nil"/>
              <w:left w:val="nil"/>
              <w:bottom w:val="single" w:sz="4" w:space="0" w:color="auto"/>
              <w:right w:val="single" w:sz="4" w:space="0" w:color="auto"/>
            </w:tcBorders>
            <w:shd w:val="clear" w:color="auto" w:fill="000000"/>
            <w:textDirection w:val="lrTb"/>
            <w:vAlign w:val="top"/>
          </w:tcPr>
          <w:p w:rsidR="006757B6" w:rsidRPr="00CB6753" w:rsidP="00603051">
            <w:pPr>
              <w:tabs>
                <w:tab w:val="left" w:pos="388"/>
                <w:tab w:val="center" w:pos="680"/>
              </w:tabs>
              <w:bidi w:val="0"/>
              <w:spacing w:after="0" w:line="240" w:lineRule="auto"/>
              <w:rPr>
                <w:rFonts w:ascii="Times New Roman" w:hAnsi="Times New Roman"/>
                <w:b/>
                <w:bCs/>
                <w:color w:val="FFFF00"/>
              </w:rPr>
            </w:pPr>
          </w:p>
        </w:tc>
        <w:tc>
          <w:tcPr>
            <w:tcW w:w="1390" w:type="dxa"/>
            <w:tcBorders>
              <w:top w:val="nil"/>
              <w:left w:val="nil"/>
              <w:bottom w:val="single" w:sz="4" w:space="0" w:color="auto"/>
              <w:right w:val="single" w:sz="4" w:space="0" w:color="auto"/>
            </w:tcBorders>
            <w:shd w:val="clear" w:color="auto" w:fill="000000"/>
            <w:textDirection w:val="lrTb"/>
            <w:vAlign w:val="center"/>
          </w:tcPr>
          <w:p w:rsidR="006757B6" w:rsidRPr="00CB6753" w:rsidP="00603051">
            <w:pPr>
              <w:bidi w:val="0"/>
              <w:spacing w:after="0" w:line="240" w:lineRule="auto"/>
              <w:jc w:val="right"/>
              <w:rPr>
                <w:rFonts w:ascii="Times New Roman" w:hAnsi="Times New Roman"/>
                <w:b/>
                <w:bCs/>
                <w:iCs/>
              </w:rPr>
            </w:pPr>
          </w:p>
        </w:tc>
        <w:tc>
          <w:tcPr>
            <w:tcW w:w="1390" w:type="dxa"/>
            <w:tcBorders>
              <w:top w:val="nil"/>
              <w:left w:val="nil"/>
              <w:bottom w:val="single" w:sz="4" w:space="0" w:color="auto"/>
              <w:right w:val="single" w:sz="4" w:space="0" w:color="auto"/>
            </w:tcBorders>
            <w:shd w:val="clear" w:color="auto" w:fill="000000"/>
            <w:textDirection w:val="lrTb"/>
            <w:vAlign w:val="center"/>
          </w:tcPr>
          <w:p w:rsidR="006757B6" w:rsidRPr="00CB6753" w:rsidP="00603051">
            <w:pPr>
              <w:bidi w:val="0"/>
              <w:spacing w:after="0" w:line="240" w:lineRule="auto"/>
              <w:jc w:val="right"/>
              <w:rPr>
                <w:rFonts w:ascii="Times New Roman" w:hAnsi="Times New Roman"/>
                <w:b/>
                <w:bCs/>
                <w:iCs/>
              </w:rPr>
            </w:pPr>
          </w:p>
        </w:tc>
        <w:tc>
          <w:tcPr>
            <w:tcW w:w="1390" w:type="dxa"/>
            <w:gridSpan w:val="2"/>
            <w:tcBorders>
              <w:top w:val="nil"/>
              <w:left w:val="nil"/>
              <w:bottom w:val="single" w:sz="4" w:space="0" w:color="auto"/>
              <w:right w:val="single" w:sz="4" w:space="0" w:color="auto"/>
            </w:tcBorders>
            <w:shd w:val="clear" w:color="auto" w:fill="000000"/>
            <w:textDirection w:val="lrTb"/>
            <w:vAlign w:val="center"/>
          </w:tcPr>
          <w:p w:rsidR="006757B6" w:rsidRPr="00CB6753" w:rsidP="00603051">
            <w:pPr>
              <w:bidi w:val="0"/>
              <w:spacing w:after="0" w:line="240" w:lineRule="auto"/>
              <w:jc w:val="right"/>
              <w:rPr>
                <w:rFonts w:ascii="Times New Roman" w:hAnsi="Times New Roman"/>
                <w:b/>
                <w:bCs/>
                <w:iCs/>
              </w:rPr>
            </w:pPr>
          </w:p>
        </w:tc>
        <w:tc>
          <w:tcPr>
            <w:tcW w:w="1908" w:type="dxa"/>
            <w:gridSpan w:val="2"/>
            <w:tcBorders>
              <w:top w:val="single" w:sz="4" w:space="0" w:color="auto"/>
              <w:left w:val="nil"/>
              <w:bottom w:val="single" w:sz="4" w:space="0" w:color="auto"/>
              <w:right w:val="single" w:sz="4" w:space="0" w:color="auto"/>
            </w:tcBorders>
            <w:shd w:val="clear" w:color="auto" w:fill="000000"/>
            <w:textDirection w:val="lrTb"/>
            <w:vAlign w:val="top"/>
          </w:tcPr>
          <w:p w:rsidR="006757B6" w:rsidRPr="00CB6753" w:rsidP="00603051">
            <w:pPr>
              <w:bidi w:val="0"/>
              <w:spacing w:after="0" w:line="240" w:lineRule="auto"/>
              <w:rPr>
                <w:rFonts w:ascii="Times New Roman" w:hAnsi="Times New Roman"/>
                <w:color w:val="FFFFFF"/>
                <w:highlight w:val="yellow"/>
              </w:rPr>
            </w:pPr>
          </w:p>
        </w:tc>
        <w:tc>
          <w:tcPr>
            <w:tcW w:w="2161" w:type="dxa"/>
            <w:gridSpan w:val="2"/>
            <w:tcBorders>
              <w:top w:val="nil"/>
              <w:left w:val="single" w:sz="4" w:space="0" w:color="auto"/>
              <w:bottom w:val="single" w:sz="4" w:space="0" w:color="auto"/>
              <w:right w:val="single" w:sz="4" w:space="0" w:color="auto"/>
            </w:tcBorders>
            <w:shd w:val="clear" w:color="auto" w:fill="000000"/>
            <w:noWrap/>
            <w:textDirection w:val="lrTb"/>
            <w:vAlign w:val="bottom"/>
          </w:tcPr>
          <w:p w:rsidR="006757B6" w:rsidRPr="00CB6753" w:rsidP="00603051">
            <w:pPr>
              <w:bidi w:val="0"/>
              <w:spacing w:after="0" w:line="240" w:lineRule="auto"/>
              <w:rPr>
                <w:rFonts w:ascii="Times New Roman" w:hAnsi="Times New Roman"/>
                <w:color w:val="FFFFFF"/>
                <w:highlight w:val="yellow"/>
              </w:rPr>
            </w:pPr>
          </w:p>
        </w:tc>
      </w:tr>
    </w:tbl>
    <w:p w:rsidR="006757B6" w:rsidRPr="00CB6753" w:rsidP="006757B6">
      <w:pPr>
        <w:tabs>
          <w:tab w:val="num" w:pos="1080"/>
        </w:tabs>
        <w:bidi w:val="0"/>
        <w:rPr>
          <w:rFonts w:ascii="Times New Roman" w:hAnsi="Times New Roman"/>
          <w:bCs/>
        </w:rPr>
      </w:pPr>
      <w:r w:rsidRPr="00CB6753">
        <w:rPr>
          <w:rFonts w:ascii="Times New Roman" w:hAnsi="Times New Roman"/>
          <w:b/>
          <w:bCs/>
        </w:rPr>
        <w:t xml:space="preserve">        </w:t>
      </w:r>
      <w:r w:rsidRPr="00CB6753">
        <w:rPr>
          <w:rFonts w:ascii="Times New Roman" w:hAnsi="Times New Roman"/>
          <w:bCs/>
        </w:rPr>
        <w:t xml:space="preserve">1 –  príjmy rozpísať až do položiek platnej ekonomickej klasifikácie            </w:t>
      </w:r>
      <w:r w:rsidRPr="00CB6753">
        <w:rPr>
          <w:rFonts w:ascii="Times New Roman" w:hAnsi="Times New Roman"/>
          <w:color w:val="000000"/>
        </w:rPr>
        <w:t>Vplyv na výnos DPH na hotovostnej báze</w:t>
      </w:r>
    </w:p>
    <w:p w:rsidR="006757B6" w:rsidRPr="00CB6753" w:rsidP="006757B6">
      <w:pPr>
        <w:pStyle w:val="NormalWeb"/>
        <w:bidi w:val="0"/>
        <w:spacing w:before="0" w:after="0"/>
        <w:ind w:left="0"/>
        <w:jc w:val="right"/>
        <w:rPr>
          <w:rFonts w:ascii="Times New Roman" w:hAnsi="Times New Roman"/>
        </w:rPr>
      </w:pPr>
      <w:r w:rsidRPr="00CB6753">
        <w:rPr>
          <w:rFonts w:ascii="Times New Roman" w:hAnsi="Times New Roman"/>
        </w:rPr>
        <w:t xml:space="preserve">                                                                                                                                                                         </w:t>
      </w:r>
      <w:r>
        <w:rPr>
          <w:rFonts w:ascii="Times New Roman" w:hAnsi="Times New Roman"/>
        </w:rPr>
        <w:t xml:space="preserve">                       </w:t>
      </w:r>
      <w:r w:rsidRPr="00CB6753">
        <w:rPr>
          <w:rFonts w:ascii="Times New Roman" w:hAnsi="Times New Roman"/>
        </w:rPr>
        <w:t xml:space="preserve">                                                                                                                                                                                                                                        </w:t>
      </w:r>
      <w:r w:rsidRPr="00CB6753">
        <w:rPr>
          <w:rFonts w:ascii="Times New Roman" w:hAnsi="Times New Roman"/>
          <w:b/>
        </w:rPr>
        <w:t xml:space="preserve"> </w:t>
      </w:r>
      <w:r>
        <w:rPr>
          <w:rFonts w:ascii="Times New Roman" w:hAnsi="Times New Roman"/>
          <w:b/>
        </w:rPr>
        <w:t xml:space="preserve">                                 </w:t>
      </w:r>
      <w:r w:rsidRPr="00CB6753">
        <w:rPr>
          <w:rFonts w:ascii="Times New Roman" w:hAnsi="Times New Roman"/>
        </w:rPr>
        <w:t xml:space="preserve">Tabuľka č. 5 </w:t>
      </w:r>
    </w:p>
    <w:tbl>
      <w:tblPr>
        <w:tblStyle w:val="TableNormal"/>
        <w:tblW w:w="5000" w:type="pct"/>
        <w:jc w:val="center"/>
        <w:tblCellMar>
          <w:left w:w="0" w:type="dxa"/>
          <w:right w:w="0" w:type="dxa"/>
        </w:tblCellMar>
      </w:tblPr>
      <w:tblGrid>
        <w:gridCol w:w="8357"/>
        <w:gridCol w:w="747"/>
        <w:gridCol w:w="747"/>
        <w:gridCol w:w="747"/>
        <w:gridCol w:w="1179"/>
        <w:gridCol w:w="1137"/>
        <w:gridCol w:w="1228"/>
      </w:tblGrid>
      <w:tr>
        <w:tblPrEx>
          <w:tblW w:w="5000" w:type="pct"/>
          <w:jc w:val="center"/>
          <w:tblCellMar>
            <w:left w:w="0" w:type="dxa"/>
            <w:right w:w="0" w:type="dxa"/>
          </w:tblCellMar>
        </w:tblPrEx>
        <w:trPr>
          <w:trHeight w:val="255"/>
          <w:jc w:val="center"/>
        </w:trPr>
        <w:tc>
          <w:tcPr>
            <w:tcW w:w="2955" w:type="pct"/>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6757B6" w:rsidRPr="00CB6753" w:rsidP="00603051">
            <w:pPr>
              <w:pStyle w:val="NormalWeb"/>
              <w:bidi w:val="0"/>
              <w:spacing w:before="0" w:after="0" w:line="240" w:lineRule="auto"/>
              <w:ind w:left="0"/>
              <w:jc w:val="center"/>
              <w:rPr>
                <w:rFonts w:ascii="Times New Roman" w:hAnsi="Times New Roman"/>
              </w:rPr>
            </w:pPr>
            <w:r w:rsidRPr="00CB6753">
              <w:rPr>
                <w:rFonts w:ascii="Times New Roman" w:hAnsi="Times New Roman"/>
                <w:b/>
                <w:bCs/>
                <w:color w:val="FFFFFF"/>
              </w:rPr>
              <w:t xml:space="preserve">Výdavky </w:t>
            </w:r>
            <w:r w:rsidRPr="006757B6">
              <w:rPr>
                <w:rFonts w:ascii="Times New Roman" w:hAnsi="Times New Roman"/>
                <w:b/>
                <w:bCs/>
                <w:color w:val="FFFFFF"/>
              </w:rPr>
              <w:t>(v tis. eur)</w:t>
            </w:r>
          </w:p>
        </w:tc>
        <w:tc>
          <w:tcPr>
            <w:tcW w:w="1209" w:type="pct"/>
            <w:gridSpan w:val="4"/>
            <w:tcBorders>
              <w:top w:val="single" w:sz="4" w:space="0" w:color="000000"/>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6757B6" w:rsidRPr="00CB6753" w:rsidP="00603051">
            <w:pPr>
              <w:pStyle w:val="NormalWeb"/>
              <w:bidi w:val="0"/>
              <w:spacing w:before="0" w:after="0" w:line="240" w:lineRule="auto"/>
              <w:ind w:left="0"/>
              <w:jc w:val="center"/>
              <w:rPr>
                <w:rFonts w:ascii="Times New Roman" w:hAnsi="Times New Roman"/>
              </w:rPr>
            </w:pPr>
            <w:r w:rsidRPr="00CB6753">
              <w:rPr>
                <w:rFonts w:ascii="Times New Roman" w:hAnsi="Times New Roman"/>
                <w:b/>
                <w:bCs/>
                <w:color w:val="FFFFFF"/>
              </w:rPr>
              <w:t>Vplyv na rozpočet verejnej správy</w:t>
            </w:r>
          </w:p>
        </w:tc>
        <w:tc>
          <w:tcPr>
            <w:tcW w:w="402" w:type="pct"/>
            <w:tcBorders>
              <w:top w:val="single" w:sz="4" w:space="0" w:color="000000"/>
              <w:left w:val="none" w:sz="0" w:space="0" w:color="auto"/>
              <w:bottom w:val="single" w:sz="4" w:space="0" w:color="000000"/>
              <w:right w:val="single" w:sz="4" w:space="0" w:color="auto"/>
            </w:tcBorders>
            <w:shd w:val="clear" w:color="auto" w:fill="000000"/>
            <w:textDirection w:val="lrTb"/>
            <w:vAlign w:val="top"/>
          </w:tcPr>
          <w:p w:rsidR="006757B6" w:rsidRPr="00CB6753" w:rsidP="00603051">
            <w:pPr>
              <w:pStyle w:val="NormalWeb"/>
              <w:bidi w:val="0"/>
              <w:spacing w:before="0" w:after="0" w:line="240" w:lineRule="auto"/>
              <w:ind w:left="0"/>
              <w:jc w:val="center"/>
              <w:rPr>
                <w:rFonts w:ascii="Times New Roman" w:hAnsi="Times New Roman"/>
                <w:b/>
                <w:bCs/>
                <w:color w:val="FFFFFF"/>
              </w:rPr>
            </w:pPr>
          </w:p>
        </w:tc>
        <w:tc>
          <w:tcPr>
            <w:tcW w:w="434" w:type="pct"/>
            <w:tcBorders>
              <w:top w:val="single" w:sz="4" w:space="0" w:color="000000"/>
              <w:left w:val="single" w:sz="4"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6757B6" w:rsidRPr="00CB6753" w:rsidP="00603051">
            <w:pPr>
              <w:pStyle w:val="NormalWeb"/>
              <w:bidi w:val="0"/>
              <w:spacing w:before="0" w:after="0" w:line="240" w:lineRule="auto"/>
              <w:ind w:left="0"/>
              <w:jc w:val="center"/>
              <w:rPr>
                <w:rFonts w:ascii="Times New Roman" w:hAnsi="Times New Roman"/>
              </w:rPr>
            </w:pPr>
            <w:r w:rsidRPr="00CB6753">
              <w:rPr>
                <w:rFonts w:ascii="Times New Roman" w:hAnsi="Times New Roman"/>
                <w:b/>
                <w:bCs/>
                <w:color w:val="FFFFFF"/>
              </w:rPr>
              <w:t>poznámka</w:t>
            </w:r>
          </w:p>
        </w:tc>
      </w:tr>
      <w:tr>
        <w:tblPrEx>
          <w:tblW w:w="5000" w:type="pct"/>
          <w:jc w:val="center"/>
          <w:tblCellMar>
            <w:left w:w="0" w:type="dxa"/>
            <w:right w:w="0" w:type="dxa"/>
          </w:tblCellMar>
        </w:tblPrEx>
        <w:trPr>
          <w:trHeight w:val="197"/>
          <w:jc w:val="center"/>
        </w:trPr>
        <w:tc>
          <w:tcPr>
            <w:tcW w:w="2955" w:type="pct"/>
            <w:vMerge/>
            <w:tcBorders>
              <w:top w:val="single" w:sz="4" w:space="0" w:color="000000"/>
              <w:left w:val="single" w:sz="4" w:space="0" w:color="000000"/>
              <w:bottom w:val="single" w:sz="4" w:space="0" w:color="000000"/>
              <w:right w:val="single" w:sz="4" w:space="0" w:color="000000"/>
            </w:tcBorders>
            <w:textDirection w:val="lrTb"/>
            <w:vAlign w:val="center"/>
          </w:tcPr>
          <w:p w:rsidR="006757B6" w:rsidRPr="00CB6753" w:rsidP="00603051">
            <w:pPr>
              <w:bidi w:val="0"/>
              <w:spacing w:after="0" w:line="240" w:lineRule="auto"/>
              <w:rPr>
                <w:rFonts w:ascii="Times New Roman" w:hAnsi="Times New Roman"/>
              </w:rPr>
            </w:pPr>
          </w:p>
        </w:tc>
        <w:tc>
          <w:tcPr>
            <w:tcW w:w="264" w:type="pct"/>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6757B6" w:rsidRPr="00CB6753" w:rsidP="00603051">
            <w:pPr>
              <w:bidi w:val="0"/>
              <w:spacing w:after="0" w:line="240" w:lineRule="auto"/>
              <w:jc w:val="center"/>
              <w:rPr>
                <w:rFonts w:ascii="Times New Roman" w:hAnsi="Times New Roman"/>
                <w:b/>
                <w:bCs/>
                <w:color w:val="FFFFFF"/>
              </w:rPr>
            </w:pPr>
            <w:r w:rsidRPr="00CB6753">
              <w:rPr>
                <w:rFonts w:ascii="Times New Roman" w:hAnsi="Times New Roman"/>
                <w:b/>
                <w:bCs/>
                <w:color w:val="FFFFFF"/>
              </w:rPr>
              <w:t>2014</w:t>
            </w:r>
          </w:p>
        </w:tc>
        <w:tc>
          <w:tcPr>
            <w:tcW w:w="264" w:type="pct"/>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6757B6" w:rsidRPr="00CB6753" w:rsidP="00603051">
            <w:pPr>
              <w:bidi w:val="0"/>
              <w:spacing w:after="0" w:line="240" w:lineRule="auto"/>
              <w:jc w:val="center"/>
              <w:rPr>
                <w:rFonts w:ascii="Times New Roman" w:hAnsi="Times New Roman"/>
                <w:b/>
                <w:bCs/>
                <w:color w:val="FFFFFF"/>
              </w:rPr>
            </w:pPr>
            <w:r w:rsidRPr="00CB6753">
              <w:rPr>
                <w:rFonts w:ascii="Times New Roman" w:hAnsi="Times New Roman"/>
                <w:b/>
                <w:bCs/>
                <w:color w:val="FFFFFF"/>
              </w:rPr>
              <w:t>2015</w:t>
            </w:r>
          </w:p>
        </w:tc>
        <w:tc>
          <w:tcPr>
            <w:tcW w:w="264" w:type="pct"/>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6757B6" w:rsidRPr="00CB6753" w:rsidP="00603051">
            <w:pPr>
              <w:bidi w:val="0"/>
              <w:spacing w:after="0" w:line="240" w:lineRule="auto"/>
              <w:jc w:val="center"/>
              <w:rPr>
                <w:rFonts w:ascii="Times New Roman" w:hAnsi="Times New Roman"/>
                <w:b/>
                <w:bCs/>
                <w:color w:val="FFFFFF"/>
              </w:rPr>
            </w:pPr>
            <w:r w:rsidRPr="00CB6753">
              <w:rPr>
                <w:rFonts w:ascii="Times New Roman" w:hAnsi="Times New Roman"/>
                <w:b/>
                <w:bCs/>
                <w:color w:val="FFFFFF"/>
              </w:rPr>
              <w:t>2016</w:t>
            </w:r>
          </w:p>
        </w:tc>
        <w:tc>
          <w:tcPr>
            <w:tcW w:w="417" w:type="pct"/>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6757B6" w:rsidRPr="00CB6753" w:rsidP="00603051">
            <w:pPr>
              <w:bidi w:val="0"/>
              <w:spacing w:after="0" w:line="240" w:lineRule="auto"/>
              <w:jc w:val="center"/>
              <w:rPr>
                <w:rFonts w:ascii="Times New Roman" w:hAnsi="Times New Roman"/>
                <w:b/>
                <w:bCs/>
                <w:color w:val="FFFFFF"/>
              </w:rPr>
            </w:pPr>
            <w:r w:rsidRPr="00CB6753">
              <w:rPr>
                <w:rFonts w:ascii="Times New Roman" w:hAnsi="Times New Roman"/>
                <w:b/>
                <w:bCs/>
                <w:color w:val="FFFFFF"/>
              </w:rPr>
              <w:t>2017</w:t>
            </w:r>
          </w:p>
        </w:tc>
        <w:tc>
          <w:tcPr>
            <w:tcW w:w="402" w:type="pct"/>
            <w:tcBorders>
              <w:top w:val="none" w:sz="0" w:space="0" w:color="auto"/>
              <w:left w:val="none" w:sz="0" w:space="0" w:color="auto"/>
              <w:bottom w:val="single" w:sz="4" w:space="0" w:color="000000"/>
              <w:right w:val="single" w:sz="4" w:space="0" w:color="auto"/>
            </w:tcBorders>
            <w:textDirection w:val="lrTb"/>
            <w:vAlign w:val="top"/>
          </w:tcPr>
          <w:p w:rsidR="006757B6" w:rsidRPr="00CB6753" w:rsidP="00603051">
            <w:pPr>
              <w:bidi w:val="0"/>
              <w:spacing w:after="0" w:line="240" w:lineRule="auto"/>
              <w:jc w:val="center"/>
              <w:rPr>
                <w:rFonts w:ascii="Times New Roman" w:hAnsi="Times New Roman"/>
              </w:rPr>
            </w:pPr>
            <w:r>
              <w:rPr>
                <w:rFonts w:ascii="Times New Roman" w:hAnsi="Times New Roman"/>
              </w:rPr>
              <w:t>2018</w:t>
            </w:r>
          </w:p>
        </w:tc>
        <w:tc>
          <w:tcPr>
            <w:tcW w:w="434" w:type="pct"/>
            <w:tcBorders>
              <w:top w:val="single" w:sz="4" w:space="0" w:color="000000"/>
              <w:left w:val="single" w:sz="4" w:space="0" w:color="auto"/>
              <w:bottom w:val="single" w:sz="4" w:space="0" w:color="000000"/>
              <w:right w:val="single" w:sz="4" w:space="0" w:color="000000"/>
            </w:tcBorders>
            <w:textDirection w:val="lrTb"/>
            <w:vAlign w:val="center"/>
          </w:tcPr>
          <w:p w:rsidR="006757B6" w:rsidRPr="00CB6753" w:rsidP="00603051">
            <w:pPr>
              <w:bidi w:val="0"/>
              <w:spacing w:after="0" w:line="240" w:lineRule="auto"/>
              <w:rPr>
                <w:rFonts w:ascii="Times New Roman" w:hAnsi="Times New Roman"/>
              </w:rPr>
            </w:pPr>
          </w:p>
        </w:tc>
      </w:tr>
      <w:tr>
        <w:tblPrEx>
          <w:tblW w:w="5000" w:type="pct"/>
          <w:jc w:val="center"/>
          <w:tblCellMar>
            <w:left w:w="0" w:type="dxa"/>
            <w:right w:w="0" w:type="dxa"/>
          </w:tblCellMar>
        </w:tblPrEx>
        <w:trPr>
          <w:trHeight w:val="255"/>
          <w:jc w:val="center"/>
        </w:trPr>
        <w:tc>
          <w:tcPr>
            <w:tcW w:w="2955" w:type="pct"/>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6757B6" w:rsidRPr="00CB6753" w:rsidP="00603051">
            <w:pPr>
              <w:pStyle w:val="NormalWeb"/>
              <w:bidi w:val="0"/>
              <w:spacing w:before="0" w:after="0" w:line="240" w:lineRule="auto"/>
              <w:ind w:left="0"/>
              <w:rPr>
                <w:rFonts w:ascii="Times New Roman" w:hAnsi="Times New Roman"/>
              </w:rPr>
            </w:pPr>
            <w:r w:rsidRPr="00CB6753">
              <w:rPr>
                <w:rFonts w:ascii="Times New Roman" w:hAnsi="Times New Roman"/>
                <w:b/>
                <w:bCs/>
              </w:rPr>
              <w:t>Bežné výdavky (600)</w:t>
            </w:r>
          </w:p>
        </w:tc>
        <w:tc>
          <w:tcPr>
            <w:tcW w:w="264"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6757B6" w:rsidRPr="00CB6753" w:rsidP="00603051">
            <w:pPr>
              <w:bidi w:val="0"/>
              <w:spacing w:after="0" w:line="240" w:lineRule="auto"/>
              <w:jc w:val="right"/>
              <w:rPr>
                <w:rFonts w:ascii="Times New Roman" w:hAnsi="Times New Roman"/>
              </w:rPr>
            </w:pPr>
            <w:r w:rsidRPr="00CB6753">
              <w:rPr>
                <w:rFonts w:ascii="Times New Roman" w:hAnsi="Times New Roman"/>
                <w:b/>
                <w:bCs/>
              </w:rPr>
              <w:t>0</w:t>
            </w:r>
          </w:p>
        </w:tc>
        <w:tc>
          <w:tcPr>
            <w:tcW w:w="264"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6757B6" w:rsidRPr="00CB6753" w:rsidP="00603051">
            <w:pPr>
              <w:bidi w:val="0"/>
              <w:spacing w:after="0" w:line="240" w:lineRule="auto"/>
              <w:jc w:val="right"/>
              <w:rPr>
                <w:rFonts w:ascii="Times New Roman" w:hAnsi="Times New Roman"/>
                <w:b/>
                <w:bCs/>
              </w:rPr>
            </w:pPr>
            <w:r>
              <w:rPr>
                <w:rFonts w:ascii="Times New Roman" w:hAnsi="Times New Roman"/>
                <w:b/>
                <w:bCs/>
              </w:rPr>
              <w:t>0</w:t>
            </w:r>
          </w:p>
        </w:tc>
        <w:tc>
          <w:tcPr>
            <w:tcW w:w="264"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6757B6" w:rsidRPr="00CB6753" w:rsidP="00603051">
            <w:pPr>
              <w:bidi w:val="0"/>
              <w:spacing w:after="0" w:line="240" w:lineRule="auto"/>
              <w:jc w:val="right"/>
              <w:rPr>
                <w:rFonts w:ascii="Times New Roman" w:hAnsi="Times New Roman"/>
                <w:b/>
                <w:bCs/>
              </w:rPr>
            </w:pPr>
            <w:r>
              <w:rPr>
                <w:rFonts w:ascii="Times New Roman" w:hAnsi="Times New Roman"/>
                <w:b/>
                <w:bCs/>
              </w:rPr>
              <w:t>0</w:t>
            </w:r>
          </w:p>
        </w:tc>
        <w:tc>
          <w:tcPr>
            <w:tcW w:w="417"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6757B6" w:rsidRPr="00CB6753" w:rsidP="00603051">
            <w:pPr>
              <w:bidi w:val="0"/>
              <w:spacing w:after="0" w:line="240" w:lineRule="auto"/>
              <w:jc w:val="right"/>
              <w:rPr>
                <w:rFonts w:ascii="Times New Roman" w:hAnsi="Times New Roman"/>
                <w:b/>
                <w:bCs/>
              </w:rPr>
            </w:pPr>
            <w:r w:rsidRPr="00CB6753">
              <w:rPr>
                <w:rFonts w:ascii="Times New Roman" w:hAnsi="Times New Roman"/>
                <w:b/>
                <w:bCs/>
              </w:rPr>
              <w:t>1</w:t>
            </w:r>
            <w:r>
              <w:rPr>
                <w:rFonts w:ascii="Times New Roman" w:hAnsi="Times New Roman"/>
                <w:b/>
                <w:bCs/>
              </w:rPr>
              <w:t>7 001</w:t>
            </w:r>
          </w:p>
        </w:tc>
        <w:tc>
          <w:tcPr>
            <w:tcW w:w="402" w:type="pct"/>
            <w:tcBorders>
              <w:top w:val="none" w:sz="0" w:space="0" w:color="auto"/>
              <w:left w:val="none" w:sz="0" w:space="0" w:color="auto"/>
              <w:bottom w:val="single" w:sz="4" w:space="0" w:color="000000"/>
              <w:right w:val="single" w:sz="4" w:space="0" w:color="auto"/>
            </w:tcBorders>
            <w:textDirection w:val="lrTb"/>
            <w:vAlign w:val="top"/>
          </w:tcPr>
          <w:p w:rsidR="006757B6" w:rsidRPr="00CB6753" w:rsidP="00603051">
            <w:pPr>
              <w:pStyle w:val="NormalWeb"/>
              <w:bidi w:val="0"/>
              <w:spacing w:before="0" w:after="0" w:line="240" w:lineRule="auto"/>
              <w:ind w:left="0"/>
              <w:jc w:val="right"/>
              <w:rPr>
                <w:rFonts w:ascii="Times New Roman" w:hAnsi="Times New Roman"/>
              </w:rPr>
            </w:pPr>
            <w:r>
              <w:rPr>
                <w:rFonts w:ascii="Times New Roman" w:hAnsi="Times New Roman"/>
                <w:b/>
                <w:bCs/>
              </w:rPr>
              <w:t>17 895</w:t>
            </w:r>
          </w:p>
        </w:tc>
        <w:tc>
          <w:tcPr>
            <w:tcW w:w="434" w:type="pct"/>
            <w:tcBorders>
              <w:top w:val="none" w:sz="0" w:space="0" w:color="auto"/>
              <w:left w:val="single" w:sz="4" w:space="0" w:color="auto"/>
              <w:bottom w:val="single" w:sz="4" w:space="0" w:color="000000"/>
              <w:right w:val="single" w:sz="4" w:space="0" w:color="000000"/>
            </w:tcBorders>
            <w:tcMar>
              <w:top w:w="0" w:type="dxa"/>
              <w:left w:w="70" w:type="dxa"/>
              <w:bottom w:w="0" w:type="dxa"/>
              <w:right w:w="70" w:type="dxa"/>
            </w:tcMar>
            <w:textDirection w:val="lrTb"/>
            <w:vAlign w:val="bottom"/>
          </w:tcPr>
          <w:p w:rsidR="006757B6" w:rsidRPr="00CB6753" w:rsidP="00603051">
            <w:pPr>
              <w:pStyle w:val="NormalWeb"/>
              <w:bidi w:val="0"/>
              <w:spacing w:before="0" w:after="0" w:line="240" w:lineRule="auto"/>
              <w:ind w:left="0"/>
              <w:rPr>
                <w:rFonts w:ascii="Times New Roman" w:hAnsi="Times New Roman"/>
              </w:rPr>
            </w:pPr>
            <w:r w:rsidRPr="00CB6753">
              <w:rPr>
                <w:rFonts w:ascii="Times New Roman" w:hAnsi="Times New Roman"/>
              </w:rPr>
              <w:t> </w:t>
            </w:r>
          </w:p>
        </w:tc>
      </w:tr>
      <w:tr>
        <w:tblPrEx>
          <w:tblW w:w="5000" w:type="pct"/>
          <w:jc w:val="center"/>
          <w:tblCellMar>
            <w:left w:w="0" w:type="dxa"/>
            <w:right w:w="0" w:type="dxa"/>
          </w:tblCellMar>
        </w:tblPrEx>
        <w:trPr>
          <w:trHeight w:val="255"/>
          <w:jc w:val="center"/>
        </w:trPr>
        <w:tc>
          <w:tcPr>
            <w:tcW w:w="2955" w:type="pct"/>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6757B6" w:rsidRPr="00CB6753" w:rsidP="00603051">
            <w:pPr>
              <w:pStyle w:val="NormalWeb"/>
              <w:bidi w:val="0"/>
              <w:spacing w:before="0" w:after="0" w:line="240" w:lineRule="auto"/>
              <w:ind w:left="0"/>
              <w:rPr>
                <w:rFonts w:ascii="Times New Roman" w:hAnsi="Times New Roman"/>
              </w:rPr>
            </w:pPr>
            <w:r w:rsidRPr="00CB6753">
              <w:rPr>
                <w:rFonts w:ascii="Times New Roman" w:hAnsi="Times New Roman"/>
              </w:rPr>
              <w:t>  Mzdy, platy, služobné príjmy a ostatné osobné vyrovnania (610)</w:t>
            </w:r>
          </w:p>
        </w:tc>
        <w:tc>
          <w:tcPr>
            <w:tcW w:w="264"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757B6" w:rsidRPr="00CB6753" w:rsidP="00603051">
            <w:pPr>
              <w:pStyle w:val="NormalWeb"/>
              <w:bidi w:val="0"/>
              <w:spacing w:before="0" w:after="0" w:line="240" w:lineRule="auto"/>
              <w:ind w:left="0"/>
              <w:jc w:val="center"/>
              <w:rPr>
                <w:rFonts w:ascii="Times New Roman" w:hAnsi="Times New Roman"/>
              </w:rPr>
            </w:pPr>
            <w:r w:rsidRPr="00CB6753">
              <w:rPr>
                <w:rFonts w:ascii="Times New Roman" w:hAnsi="Times New Roman"/>
              </w:rPr>
              <w:t> </w:t>
            </w:r>
          </w:p>
        </w:tc>
        <w:tc>
          <w:tcPr>
            <w:tcW w:w="264"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757B6" w:rsidRPr="00CB6753" w:rsidP="00603051">
            <w:pPr>
              <w:pStyle w:val="NormalWeb"/>
              <w:bidi w:val="0"/>
              <w:spacing w:before="0" w:after="0" w:line="240" w:lineRule="auto"/>
              <w:ind w:left="0"/>
              <w:jc w:val="center"/>
              <w:rPr>
                <w:rFonts w:ascii="Times New Roman" w:hAnsi="Times New Roman"/>
              </w:rPr>
            </w:pPr>
            <w:r w:rsidRPr="00CB6753">
              <w:rPr>
                <w:rFonts w:ascii="Times New Roman" w:hAnsi="Times New Roman"/>
              </w:rPr>
              <w:t> </w:t>
            </w:r>
          </w:p>
        </w:tc>
        <w:tc>
          <w:tcPr>
            <w:tcW w:w="264"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757B6" w:rsidRPr="00CB6753" w:rsidP="00603051">
            <w:pPr>
              <w:pStyle w:val="NormalWeb"/>
              <w:bidi w:val="0"/>
              <w:spacing w:before="0" w:after="0" w:line="240" w:lineRule="auto"/>
              <w:ind w:left="0"/>
              <w:jc w:val="center"/>
              <w:rPr>
                <w:rFonts w:ascii="Times New Roman" w:hAnsi="Times New Roman"/>
              </w:rPr>
            </w:pPr>
            <w:r w:rsidRPr="00CB6753">
              <w:rPr>
                <w:rFonts w:ascii="Times New Roman" w:hAnsi="Times New Roman"/>
              </w:rPr>
              <w:t> </w:t>
            </w:r>
          </w:p>
        </w:tc>
        <w:tc>
          <w:tcPr>
            <w:tcW w:w="417"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757B6" w:rsidRPr="00CB6753" w:rsidP="00603051">
            <w:pPr>
              <w:pStyle w:val="NormalWeb"/>
              <w:bidi w:val="0"/>
              <w:spacing w:before="0" w:after="0" w:line="240" w:lineRule="auto"/>
              <w:ind w:left="0"/>
              <w:jc w:val="center"/>
              <w:rPr>
                <w:rFonts w:ascii="Times New Roman" w:hAnsi="Times New Roman"/>
              </w:rPr>
            </w:pPr>
            <w:r w:rsidRPr="00CB6753">
              <w:rPr>
                <w:rFonts w:ascii="Times New Roman" w:hAnsi="Times New Roman"/>
              </w:rPr>
              <w:t> </w:t>
            </w:r>
          </w:p>
        </w:tc>
        <w:tc>
          <w:tcPr>
            <w:tcW w:w="402" w:type="pct"/>
            <w:tcBorders>
              <w:top w:val="none" w:sz="0" w:space="0" w:color="auto"/>
              <w:left w:val="none" w:sz="0" w:space="0" w:color="auto"/>
              <w:bottom w:val="single" w:sz="4" w:space="0" w:color="000000"/>
              <w:right w:val="single" w:sz="4" w:space="0" w:color="auto"/>
            </w:tcBorders>
            <w:textDirection w:val="lrTb"/>
            <w:vAlign w:val="top"/>
          </w:tcPr>
          <w:p w:rsidR="006757B6" w:rsidRPr="00CB6753" w:rsidP="00603051">
            <w:pPr>
              <w:pStyle w:val="NormalWeb"/>
              <w:bidi w:val="0"/>
              <w:spacing w:before="0" w:after="0" w:line="240" w:lineRule="auto"/>
              <w:ind w:left="0"/>
              <w:rPr>
                <w:rFonts w:ascii="Times New Roman" w:hAnsi="Times New Roman"/>
              </w:rPr>
            </w:pPr>
          </w:p>
        </w:tc>
        <w:tc>
          <w:tcPr>
            <w:tcW w:w="434" w:type="pct"/>
            <w:tcBorders>
              <w:top w:val="none" w:sz="0" w:space="0" w:color="auto"/>
              <w:left w:val="single" w:sz="4" w:space="0" w:color="auto"/>
              <w:bottom w:val="single" w:sz="4" w:space="0" w:color="000000"/>
              <w:right w:val="single" w:sz="4" w:space="0" w:color="000000"/>
            </w:tcBorders>
            <w:tcMar>
              <w:top w:w="0" w:type="dxa"/>
              <w:left w:w="70" w:type="dxa"/>
              <w:bottom w:w="0" w:type="dxa"/>
              <w:right w:w="70" w:type="dxa"/>
            </w:tcMar>
            <w:textDirection w:val="lrTb"/>
            <w:vAlign w:val="bottom"/>
          </w:tcPr>
          <w:p w:rsidR="006757B6" w:rsidRPr="00CB6753" w:rsidP="00603051">
            <w:pPr>
              <w:pStyle w:val="NormalWeb"/>
              <w:bidi w:val="0"/>
              <w:spacing w:before="0" w:after="0" w:line="240" w:lineRule="auto"/>
              <w:ind w:left="0"/>
              <w:rPr>
                <w:rFonts w:ascii="Times New Roman" w:hAnsi="Times New Roman"/>
              </w:rPr>
            </w:pPr>
            <w:r w:rsidRPr="00CB6753">
              <w:rPr>
                <w:rFonts w:ascii="Times New Roman" w:hAnsi="Times New Roman"/>
              </w:rPr>
              <w:t> </w:t>
            </w:r>
          </w:p>
        </w:tc>
      </w:tr>
      <w:tr>
        <w:tblPrEx>
          <w:tblW w:w="5000" w:type="pct"/>
          <w:jc w:val="center"/>
          <w:tblCellMar>
            <w:left w:w="0" w:type="dxa"/>
            <w:right w:w="0" w:type="dxa"/>
          </w:tblCellMar>
        </w:tblPrEx>
        <w:trPr>
          <w:trHeight w:val="255"/>
          <w:jc w:val="center"/>
        </w:trPr>
        <w:tc>
          <w:tcPr>
            <w:tcW w:w="2955" w:type="pct"/>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6757B6" w:rsidRPr="00CB6753" w:rsidP="00603051">
            <w:pPr>
              <w:pStyle w:val="NormalWeb"/>
              <w:bidi w:val="0"/>
              <w:spacing w:before="0" w:after="0" w:line="240" w:lineRule="auto"/>
              <w:ind w:left="0"/>
              <w:rPr>
                <w:rFonts w:ascii="Times New Roman" w:hAnsi="Times New Roman"/>
              </w:rPr>
            </w:pPr>
            <w:r w:rsidRPr="00CB6753">
              <w:rPr>
                <w:rFonts w:ascii="Times New Roman" w:hAnsi="Times New Roman"/>
              </w:rPr>
              <w:t>  Poistné a príspevok do poisťovní (620)</w:t>
            </w:r>
          </w:p>
        </w:tc>
        <w:tc>
          <w:tcPr>
            <w:tcW w:w="264"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757B6" w:rsidRPr="00CB6753" w:rsidP="00603051">
            <w:pPr>
              <w:pStyle w:val="NormalWeb"/>
              <w:bidi w:val="0"/>
              <w:spacing w:before="0" w:after="0" w:line="240" w:lineRule="auto"/>
              <w:ind w:left="0"/>
              <w:jc w:val="center"/>
              <w:rPr>
                <w:rFonts w:ascii="Times New Roman" w:hAnsi="Times New Roman"/>
              </w:rPr>
            </w:pPr>
            <w:r w:rsidRPr="00CB6753">
              <w:rPr>
                <w:rFonts w:ascii="Times New Roman" w:hAnsi="Times New Roman"/>
              </w:rPr>
              <w:t> </w:t>
            </w:r>
          </w:p>
        </w:tc>
        <w:tc>
          <w:tcPr>
            <w:tcW w:w="264"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757B6" w:rsidRPr="00CB6753" w:rsidP="00603051">
            <w:pPr>
              <w:pStyle w:val="NormalWeb"/>
              <w:bidi w:val="0"/>
              <w:spacing w:before="0" w:after="0" w:line="240" w:lineRule="auto"/>
              <w:ind w:left="0"/>
              <w:jc w:val="center"/>
              <w:rPr>
                <w:rFonts w:ascii="Times New Roman" w:hAnsi="Times New Roman"/>
              </w:rPr>
            </w:pPr>
            <w:r w:rsidRPr="00CB6753">
              <w:rPr>
                <w:rFonts w:ascii="Times New Roman" w:hAnsi="Times New Roman"/>
              </w:rPr>
              <w:t> </w:t>
            </w:r>
          </w:p>
        </w:tc>
        <w:tc>
          <w:tcPr>
            <w:tcW w:w="264"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757B6" w:rsidRPr="00CB6753" w:rsidP="00603051">
            <w:pPr>
              <w:pStyle w:val="NormalWeb"/>
              <w:bidi w:val="0"/>
              <w:spacing w:before="0" w:after="0" w:line="240" w:lineRule="auto"/>
              <w:ind w:left="0"/>
              <w:jc w:val="center"/>
              <w:rPr>
                <w:rFonts w:ascii="Times New Roman" w:hAnsi="Times New Roman"/>
              </w:rPr>
            </w:pPr>
            <w:r w:rsidRPr="00CB6753">
              <w:rPr>
                <w:rFonts w:ascii="Times New Roman" w:hAnsi="Times New Roman"/>
              </w:rPr>
              <w:t> </w:t>
            </w:r>
          </w:p>
        </w:tc>
        <w:tc>
          <w:tcPr>
            <w:tcW w:w="417"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757B6" w:rsidRPr="00CB6753" w:rsidP="00603051">
            <w:pPr>
              <w:pStyle w:val="NormalWeb"/>
              <w:bidi w:val="0"/>
              <w:spacing w:before="0" w:after="0" w:line="240" w:lineRule="auto"/>
              <w:ind w:left="0"/>
              <w:jc w:val="center"/>
              <w:rPr>
                <w:rFonts w:ascii="Times New Roman" w:hAnsi="Times New Roman"/>
              </w:rPr>
            </w:pPr>
            <w:r w:rsidRPr="00CB6753">
              <w:rPr>
                <w:rFonts w:ascii="Times New Roman" w:hAnsi="Times New Roman"/>
              </w:rPr>
              <w:t> </w:t>
            </w:r>
          </w:p>
        </w:tc>
        <w:tc>
          <w:tcPr>
            <w:tcW w:w="402" w:type="pct"/>
            <w:tcBorders>
              <w:top w:val="none" w:sz="0" w:space="0" w:color="auto"/>
              <w:left w:val="none" w:sz="0" w:space="0" w:color="auto"/>
              <w:bottom w:val="single" w:sz="4" w:space="0" w:color="000000"/>
              <w:right w:val="single" w:sz="4" w:space="0" w:color="auto"/>
            </w:tcBorders>
            <w:textDirection w:val="lrTb"/>
            <w:vAlign w:val="top"/>
          </w:tcPr>
          <w:p w:rsidR="006757B6" w:rsidRPr="00CB6753" w:rsidP="00603051">
            <w:pPr>
              <w:pStyle w:val="NormalWeb"/>
              <w:bidi w:val="0"/>
              <w:spacing w:before="0" w:after="0" w:line="240" w:lineRule="auto"/>
              <w:ind w:left="0"/>
              <w:rPr>
                <w:rFonts w:ascii="Times New Roman" w:hAnsi="Times New Roman"/>
              </w:rPr>
            </w:pPr>
          </w:p>
        </w:tc>
        <w:tc>
          <w:tcPr>
            <w:tcW w:w="434" w:type="pct"/>
            <w:tcBorders>
              <w:top w:val="none" w:sz="0" w:space="0" w:color="auto"/>
              <w:left w:val="single" w:sz="4" w:space="0" w:color="auto"/>
              <w:bottom w:val="single" w:sz="4" w:space="0" w:color="000000"/>
              <w:right w:val="single" w:sz="4" w:space="0" w:color="000000"/>
            </w:tcBorders>
            <w:tcMar>
              <w:top w:w="0" w:type="dxa"/>
              <w:left w:w="70" w:type="dxa"/>
              <w:bottom w:w="0" w:type="dxa"/>
              <w:right w:w="70" w:type="dxa"/>
            </w:tcMar>
            <w:textDirection w:val="lrTb"/>
            <w:vAlign w:val="bottom"/>
          </w:tcPr>
          <w:p w:rsidR="006757B6" w:rsidRPr="00CB6753" w:rsidP="00603051">
            <w:pPr>
              <w:pStyle w:val="NormalWeb"/>
              <w:bidi w:val="0"/>
              <w:spacing w:before="0" w:after="0" w:line="240" w:lineRule="auto"/>
              <w:ind w:left="0"/>
              <w:rPr>
                <w:rFonts w:ascii="Times New Roman" w:hAnsi="Times New Roman"/>
              </w:rPr>
            </w:pPr>
            <w:r w:rsidRPr="00CB6753">
              <w:rPr>
                <w:rFonts w:ascii="Times New Roman" w:hAnsi="Times New Roman"/>
              </w:rPr>
              <w:t> </w:t>
            </w:r>
          </w:p>
        </w:tc>
      </w:tr>
      <w:tr>
        <w:tblPrEx>
          <w:tblW w:w="5000" w:type="pct"/>
          <w:jc w:val="center"/>
          <w:tblCellMar>
            <w:left w:w="0" w:type="dxa"/>
            <w:right w:w="0" w:type="dxa"/>
          </w:tblCellMar>
        </w:tblPrEx>
        <w:trPr>
          <w:trHeight w:val="255"/>
          <w:jc w:val="center"/>
        </w:trPr>
        <w:tc>
          <w:tcPr>
            <w:tcW w:w="2955" w:type="pct"/>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6757B6" w:rsidRPr="00CB6753" w:rsidP="00603051">
            <w:pPr>
              <w:pStyle w:val="NormalWeb"/>
              <w:bidi w:val="0"/>
              <w:spacing w:before="0" w:after="0" w:line="240" w:lineRule="auto"/>
              <w:ind w:left="0"/>
              <w:rPr>
                <w:rFonts w:ascii="Times New Roman" w:hAnsi="Times New Roman"/>
              </w:rPr>
            </w:pPr>
            <w:r w:rsidRPr="00CB6753">
              <w:rPr>
                <w:rFonts w:ascii="Times New Roman" w:hAnsi="Times New Roman"/>
              </w:rPr>
              <w:t>  Tovary a služby (630)</w:t>
            </w:r>
            <w:r w:rsidRPr="00CB6753">
              <w:rPr>
                <w:rFonts w:ascii="Times New Roman" w:hAnsi="Times New Roman"/>
                <w:vertAlign w:val="superscript"/>
              </w:rPr>
              <w:t>2</w:t>
            </w:r>
          </w:p>
        </w:tc>
        <w:tc>
          <w:tcPr>
            <w:tcW w:w="264"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757B6" w:rsidRPr="00CB6753" w:rsidP="00603051">
            <w:pPr>
              <w:pStyle w:val="NormalWeb"/>
              <w:bidi w:val="0"/>
              <w:spacing w:before="0" w:after="0" w:line="240" w:lineRule="auto"/>
              <w:ind w:left="0"/>
              <w:jc w:val="center"/>
              <w:rPr>
                <w:rFonts w:ascii="Times New Roman" w:hAnsi="Times New Roman"/>
              </w:rPr>
            </w:pPr>
            <w:r w:rsidRPr="00CB6753">
              <w:rPr>
                <w:rFonts w:ascii="Times New Roman" w:hAnsi="Times New Roman"/>
              </w:rPr>
              <w:t> </w:t>
            </w:r>
          </w:p>
        </w:tc>
        <w:tc>
          <w:tcPr>
            <w:tcW w:w="264"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757B6" w:rsidRPr="00CB6753" w:rsidP="00603051">
            <w:pPr>
              <w:pStyle w:val="NormalWeb"/>
              <w:bidi w:val="0"/>
              <w:spacing w:before="0" w:after="0" w:line="240" w:lineRule="auto"/>
              <w:ind w:left="0"/>
              <w:jc w:val="center"/>
              <w:rPr>
                <w:rFonts w:ascii="Times New Roman" w:hAnsi="Times New Roman"/>
              </w:rPr>
            </w:pPr>
            <w:r w:rsidRPr="00CB6753">
              <w:rPr>
                <w:rFonts w:ascii="Times New Roman" w:hAnsi="Times New Roman"/>
              </w:rPr>
              <w:t> </w:t>
            </w:r>
          </w:p>
        </w:tc>
        <w:tc>
          <w:tcPr>
            <w:tcW w:w="264"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757B6" w:rsidRPr="00CB6753" w:rsidP="00603051">
            <w:pPr>
              <w:pStyle w:val="NormalWeb"/>
              <w:bidi w:val="0"/>
              <w:spacing w:before="0" w:after="0" w:line="240" w:lineRule="auto"/>
              <w:ind w:left="0"/>
              <w:jc w:val="center"/>
              <w:rPr>
                <w:rFonts w:ascii="Times New Roman" w:hAnsi="Times New Roman"/>
              </w:rPr>
            </w:pPr>
            <w:r w:rsidRPr="00CB6753">
              <w:rPr>
                <w:rFonts w:ascii="Times New Roman" w:hAnsi="Times New Roman"/>
              </w:rPr>
              <w:t> </w:t>
            </w:r>
          </w:p>
        </w:tc>
        <w:tc>
          <w:tcPr>
            <w:tcW w:w="417"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757B6" w:rsidRPr="00CB6753" w:rsidP="00603051">
            <w:pPr>
              <w:pStyle w:val="NormalWeb"/>
              <w:bidi w:val="0"/>
              <w:spacing w:before="0" w:after="0" w:line="240" w:lineRule="auto"/>
              <w:ind w:left="0"/>
              <w:jc w:val="center"/>
              <w:rPr>
                <w:rFonts w:ascii="Times New Roman" w:hAnsi="Times New Roman"/>
              </w:rPr>
            </w:pPr>
            <w:r w:rsidRPr="00CB6753">
              <w:rPr>
                <w:rFonts w:ascii="Times New Roman" w:hAnsi="Times New Roman"/>
              </w:rPr>
              <w:t> </w:t>
            </w:r>
          </w:p>
        </w:tc>
        <w:tc>
          <w:tcPr>
            <w:tcW w:w="402" w:type="pct"/>
            <w:tcBorders>
              <w:top w:val="none" w:sz="0" w:space="0" w:color="auto"/>
              <w:left w:val="none" w:sz="0" w:space="0" w:color="auto"/>
              <w:bottom w:val="single" w:sz="4" w:space="0" w:color="000000"/>
              <w:right w:val="single" w:sz="4" w:space="0" w:color="auto"/>
            </w:tcBorders>
            <w:textDirection w:val="lrTb"/>
            <w:vAlign w:val="top"/>
          </w:tcPr>
          <w:p w:rsidR="006757B6" w:rsidRPr="00CB6753" w:rsidP="00603051">
            <w:pPr>
              <w:pStyle w:val="NormalWeb"/>
              <w:bidi w:val="0"/>
              <w:spacing w:before="0" w:after="0" w:line="240" w:lineRule="auto"/>
              <w:ind w:left="0"/>
              <w:rPr>
                <w:rFonts w:ascii="Times New Roman" w:hAnsi="Times New Roman"/>
              </w:rPr>
            </w:pPr>
          </w:p>
        </w:tc>
        <w:tc>
          <w:tcPr>
            <w:tcW w:w="434" w:type="pct"/>
            <w:tcBorders>
              <w:top w:val="none" w:sz="0" w:space="0" w:color="auto"/>
              <w:left w:val="single" w:sz="4" w:space="0" w:color="auto"/>
              <w:bottom w:val="single" w:sz="4" w:space="0" w:color="000000"/>
              <w:right w:val="single" w:sz="4" w:space="0" w:color="000000"/>
            </w:tcBorders>
            <w:tcMar>
              <w:top w:w="0" w:type="dxa"/>
              <w:left w:w="70" w:type="dxa"/>
              <w:bottom w:w="0" w:type="dxa"/>
              <w:right w:w="70" w:type="dxa"/>
            </w:tcMar>
            <w:textDirection w:val="lrTb"/>
            <w:vAlign w:val="bottom"/>
          </w:tcPr>
          <w:p w:rsidR="006757B6" w:rsidRPr="00CB6753" w:rsidP="00603051">
            <w:pPr>
              <w:pStyle w:val="NormalWeb"/>
              <w:bidi w:val="0"/>
              <w:spacing w:before="0" w:after="0" w:line="240" w:lineRule="auto"/>
              <w:ind w:left="0"/>
              <w:rPr>
                <w:rFonts w:ascii="Times New Roman" w:hAnsi="Times New Roman"/>
              </w:rPr>
            </w:pPr>
            <w:r w:rsidRPr="00CB6753">
              <w:rPr>
                <w:rFonts w:ascii="Times New Roman" w:hAnsi="Times New Roman"/>
              </w:rPr>
              <w:t> </w:t>
            </w:r>
          </w:p>
        </w:tc>
      </w:tr>
      <w:tr>
        <w:tblPrEx>
          <w:tblW w:w="5000" w:type="pct"/>
          <w:jc w:val="center"/>
          <w:tblCellMar>
            <w:left w:w="0" w:type="dxa"/>
            <w:right w:w="0" w:type="dxa"/>
          </w:tblCellMar>
        </w:tblPrEx>
        <w:trPr>
          <w:trHeight w:val="255"/>
          <w:jc w:val="center"/>
        </w:trPr>
        <w:tc>
          <w:tcPr>
            <w:tcW w:w="2955" w:type="pct"/>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6757B6" w:rsidRPr="00CB6753" w:rsidP="00603051">
            <w:pPr>
              <w:pStyle w:val="NormalWeb"/>
              <w:bidi w:val="0"/>
              <w:spacing w:before="0" w:after="0" w:line="240" w:lineRule="auto"/>
              <w:ind w:left="0"/>
              <w:rPr>
                <w:rFonts w:ascii="Times New Roman" w:hAnsi="Times New Roman"/>
              </w:rPr>
            </w:pPr>
            <w:r w:rsidRPr="00CB6753">
              <w:rPr>
                <w:rFonts w:ascii="Times New Roman" w:hAnsi="Times New Roman"/>
              </w:rPr>
              <w:t>  Bežné transfery (640)</w:t>
            </w:r>
            <w:r w:rsidRPr="00CB6753">
              <w:rPr>
                <w:rFonts w:ascii="Times New Roman" w:hAnsi="Times New Roman"/>
                <w:vertAlign w:val="superscript"/>
              </w:rPr>
              <w:t>2</w:t>
            </w:r>
          </w:p>
        </w:tc>
        <w:tc>
          <w:tcPr>
            <w:tcW w:w="264"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757B6" w:rsidRPr="00CB6753" w:rsidP="00603051">
            <w:pPr>
              <w:pStyle w:val="NormalWeb"/>
              <w:bidi w:val="0"/>
              <w:spacing w:before="0" w:after="0" w:line="240" w:lineRule="auto"/>
              <w:ind w:left="0"/>
              <w:jc w:val="center"/>
              <w:rPr>
                <w:rFonts w:ascii="Times New Roman" w:hAnsi="Times New Roman"/>
              </w:rPr>
            </w:pPr>
            <w:r w:rsidRPr="00CB6753">
              <w:rPr>
                <w:rFonts w:ascii="Times New Roman" w:hAnsi="Times New Roman"/>
              </w:rPr>
              <w:t> </w:t>
            </w:r>
          </w:p>
        </w:tc>
        <w:tc>
          <w:tcPr>
            <w:tcW w:w="264"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757B6" w:rsidRPr="00CB6753" w:rsidP="00603051">
            <w:pPr>
              <w:pStyle w:val="NormalWeb"/>
              <w:bidi w:val="0"/>
              <w:spacing w:before="0" w:after="0" w:line="240" w:lineRule="auto"/>
              <w:ind w:left="0"/>
              <w:jc w:val="center"/>
              <w:rPr>
                <w:rFonts w:ascii="Times New Roman" w:hAnsi="Times New Roman"/>
              </w:rPr>
            </w:pPr>
            <w:r w:rsidRPr="00CB6753">
              <w:rPr>
                <w:rFonts w:ascii="Times New Roman" w:hAnsi="Times New Roman"/>
              </w:rPr>
              <w:t> </w:t>
            </w:r>
          </w:p>
        </w:tc>
        <w:tc>
          <w:tcPr>
            <w:tcW w:w="264"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757B6" w:rsidRPr="00CB6753" w:rsidP="00603051">
            <w:pPr>
              <w:pStyle w:val="NormalWeb"/>
              <w:bidi w:val="0"/>
              <w:spacing w:before="0" w:after="0" w:line="240" w:lineRule="auto"/>
              <w:ind w:left="0"/>
              <w:jc w:val="center"/>
              <w:rPr>
                <w:rFonts w:ascii="Times New Roman" w:hAnsi="Times New Roman"/>
              </w:rPr>
            </w:pPr>
            <w:r w:rsidRPr="00CB6753">
              <w:rPr>
                <w:rFonts w:ascii="Times New Roman" w:hAnsi="Times New Roman"/>
              </w:rPr>
              <w:t> </w:t>
            </w:r>
          </w:p>
        </w:tc>
        <w:tc>
          <w:tcPr>
            <w:tcW w:w="417"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757B6" w:rsidRPr="00CB6753" w:rsidP="00603051">
            <w:pPr>
              <w:pStyle w:val="NormalWeb"/>
              <w:bidi w:val="0"/>
              <w:spacing w:before="0" w:after="0" w:line="240" w:lineRule="auto"/>
              <w:ind w:left="0"/>
              <w:jc w:val="center"/>
              <w:rPr>
                <w:rFonts w:ascii="Times New Roman" w:hAnsi="Times New Roman"/>
              </w:rPr>
            </w:pPr>
            <w:r w:rsidRPr="00CB6753">
              <w:rPr>
                <w:rFonts w:ascii="Times New Roman" w:hAnsi="Times New Roman"/>
              </w:rPr>
              <w:t> </w:t>
            </w:r>
          </w:p>
        </w:tc>
        <w:tc>
          <w:tcPr>
            <w:tcW w:w="402" w:type="pct"/>
            <w:tcBorders>
              <w:top w:val="none" w:sz="0" w:space="0" w:color="auto"/>
              <w:left w:val="none" w:sz="0" w:space="0" w:color="auto"/>
              <w:bottom w:val="single" w:sz="4" w:space="0" w:color="000000"/>
              <w:right w:val="single" w:sz="4" w:space="0" w:color="auto"/>
            </w:tcBorders>
            <w:textDirection w:val="lrTb"/>
            <w:vAlign w:val="top"/>
          </w:tcPr>
          <w:p w:rsidR="006757B6" w:rsidRPr="00CB6753" w:rsidP="00603051">
            <w:pPr>
              <w:pStyle w:val="NormalWeb"/>
              <w:bidi w:val="0"/>
              <w:spacing w:before="0" w:after="0" w:line="240" w:lineRule="auto"/>
              <w:ind w:left="0"/>
              <w:rPr>
                <w:rFonts w:ascii="Times New Roman" w:hAnsi="Times New Roman"/>
              </w:rPr>
            </w:pPr>
          </w:p>
        </w:tc>
        <w:tc>
          <w:tcPr>
            <w:tcW w:w="434" w:type="pct"/>
            <w:tcBorders>
              <w:top w:val="none" w:sz="0" w:space="0" w:color="auto"/>
              <w:left w:val="single" w:sz="4" w:space="0" w:color="auto"/>
              <w:bottom w:val="single" w:sz="4" w:space="0" w:color="000000"/>
              <w:right w:val="single" w:sz="4" w:space="0" w:color="000000"/>
            </w:tcBorders>
            <w:tcMar>
              <w:top w:w="0" w:type="dxa"/>
              <w:left w:w="70" w:type="dxa"/>
              <w:bottom w:w="0" w:type="dxa"/>
              <w:right w:w="70" w:type="dxa"/>
            </w:tcMar>
            <w:textDirection w:val="lrTb"/>
            <w:vAlign w:val="bottom"/>
          </w:tcPr>
          <w:p w:rsidR="006757B6" w:rsidRPr="00CB6753" w:rsidP="00603051">
            <w:pPr>
              <w:pStyle w:val="NormalWeb"/>
              <w:bidi w:val="0"/>
              <w:spacing w:before="0" w:after="0" w:line="240" w:lineRule="auto"/>
              <w:ind w:left="0"/>
              <w:rPr>
                <w:rFonts w:ascii="Times New Roman" w:hAnsi="Times New Roman"/>
              </w:rPr>
            </w:pPr>
            <w:r w:rsidRPr="00CB6753">
              <w:rPr>
                <w:rFonts w:ascii="Times New Roman" w:hAnsi="Times New Roman"/>
              </w:rPr>
              <w:t> </w:t>
            </w:r>
          </w:p>
        </w:tc>
      </w:tr>
      <w:tr>
        <w:tblPrEx>
          <w:tblW w:w="5000" w:type="pct"/>
          <w:jc w:val="center"/>
          <w:tblCellMar>
            <w:left w:w="0" w:type="dxa"/>
            <w:right w:w="0" w:type="dxa"/>
          </w:tblCellMar>
        </w:tblPrEx>
        <w:trPr>
          <w:trHeight w:val="255"/>
          <w:jc w:val="center"/>
        </w:trPr>
        <w:tc>
          <w:tcPr>
            <w:tcW w:w="2955" w:type="pct"/>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757B6" w:rsidRPr="00CB6753" w:rsidP="00603051">
            <w:pPr>
              <w:pStyle w:val="NormalWeb"/>
              <w:bidi w:val="0"/>
              <w:spacing w:before="0" w:after="0" w:line="240" w:lineRule="auto"/>
              <w:ind w:left="0"/>
              <w:rPr>
                <w:rFonts w:ascii="Times New Roman" w:hAnsi="Times New Roman"/>
              </w:rPr>
            </w:pPr>
            <w:r w:rsidRPr="00CB6753">
              <w:rPr>
                <w:rFonts w:ascii="Times New Roman" w:hAnsi="Times New Roman"/>
              </w:rPr>
              <w:t>  Splácanie úrokov a ostatné platby súvisiace s úvermi, pôžičkami a NFV (650)</w:t>
            </w:r>
            <w:r w:rsidRPr="00CB6753">
              <w:rPr>
                <w:rFonts w:ascii="Times New Roman" w:hAnsi="Times New Roman"/>
                <w:vertAlign w:val="superscript"/>
              </w:rPr>
              <w:t>2</w:t>
            </w:r>
          </w:p>
        </w:tc>
        <w:tc>
          <w:tcPr>
            <w:tcW w:w="264"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6757B6" w:rsidRPr="00CB6753" w:rsidP="00603051">
            <w:pPr>
              <w:bidi w:val="0"/>
              <w:spacing w:after="0" w:line="240" w:lineRule="auto"/>
              <w:jc w:val="right"/>
              <w:rPr>
                <w:rFonts w:ascii="Times New Roman" w:hAnsi="Times New Roman"/>
              </w:rPr>
            </w:pPr>
            <w:r w:rsidRPr="00CB6753">
              <w:rPr>
                <w:rFonts w:ascii="Times New Roman" w:hAnsi="Times New Roman"/>
                <w:bCs/>
              </w:rPr>
              <w:t>0</w:t>
            </w:r>
          </w:p>
        </w:tc>
        <w:tc>
          <w:tcPr>
            <w:tcW w:w="264"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6757B6" w:rsidRPr="00CB6753" w:rsidP="00603051">
            <w:pPr>
              <w:bidi w:val="0"/>
              <w:spacing w:after="0" w:line="240" w:lineRule="auto"/>
              <w:jc w:val="right"/>
              <w:rPr>
                <w:rFonts w:ascii="Times New Roman" w:hAnsi="Times New Roman"/>
                <w:bCs/>
              </w:rPr>
            </w:pPr>
            <w:r>
              <w:rPr>
                <w:rFonts w:ascii="Times New Roman" w:hAnsi="Times New Roman"/>
                <w:bCs/>
              </w:rPr>
              <w:t>0</w:t>
            </w:r>
          </w:p>
        </w:tc>
        <w:tc>
          <w:tcPr>
            <w:tcW w:w="264"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6757B6" w:rsidRPr="00CB6753" w:rsidP="00603051">
            <w:pPr>
              <w:bidi w:val="0"/>
              <w:spacing w:after="0" w:line="240" w:lineRule="auto"/>
              <w:jc w:val="right"/>
              <w:rPr>
                <w:rFonts w:ascii="Times New Roman" w:hAnsi="Times New Roman"/>
                <w:bCs/>
              </w:rPr>
            </w:pPr>
            <w:r>
              <w:rPr>
                <w:rFonts w:ascii="Times New Roman" w:hAnsi="Times New Roman"/>
                <w:bCs/>
              </w:rPr>
              <w:t>0</w:t>
            </w:r>
          </w:p>
        </w:tc>
        <w:tc>
          <w:tcPr>
            <w:tcW w:w="417"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6757B6" w:rsidRPr="00CB6753" w:rsidP="00603051">
            <w:pPr>
              <w:bidi w:val="0"/>
              <w:spacing w:after="0" w:line="240" w:lineRule="auto"/>
              <w:jc w:val="right"/>
              <w:rPr>
                <w:rFonts w:ascii="Times New Roman" w:hAnsi="Times New Roman"/>
                <w:bCs/>
              </w:rPr>
            </w:pPr>
            <w:r w:rsidRPr="00CB6753">
              <w:rPr>
                <w:rFonts w:ascii="Times New Roman" w:hAnsi="Times New Roman"/>
                <w:b/>
                <w:bCs/>
              </w:rPr>
              <w:t>1</w:t>
            </w:r>
            <w:r>
              <w:rPr>
                <w:rFonts w:ascii="Times New Roman" w:hAnsi="Times New Roman"/>
                <w:b/>
                <w:bCs/>
              </w:rPr>
              <w:t>7 001</w:t>
            </w:r>
          </w:p>
        </w:tc>
        <w:tc>
          <w:tcPr>
            <w:tcW w:w="402" w:type="pct"/>
            <w:tcBorders>
              <w:top w:val="none" w:sz="0" w:space="0" w:color="auto"/>
              <w:left w:val="none" w:sz="0" w:space="0" w:color="auto"/>
              <w:bottom w:val="single" w:sz="4" w:space="0" w:color="000000"/>
              <w:right w:val="single" w:sz="4" w:space="0" w:color="auto"/>
            </w:tcBorders>
            <w:textDirection w:val="lrTb"/>
            <w:vAlign w:val="top"/>
          </w:tcPr>
          <w:p w:rsidR="006757B6" w:rsidRPr="00CB6753" w:rsidP="00603051">
            <w:pPr>
              <w:pStyle w:val="NormalWeb"/>
              <w:bidi w:val="0"/>
              <w:spacing w:before="0" w:after="0" w:line="240" w:lineRule="auto"/>
              <w:ind w:left="0"/>
              <w:jc w:val="right"/>
              <w:rPr>
                <w:rFonts w:ascii="Times New Roman" w:hAnsi="Times New Roman"/>
              </w:rPr>
            </w:pPr>
            <w:r>
              <w:rPr>
                <w:rFonts w:ascii="Times New Roman" w:hAnsi="Times New Roman"/>
                <w:b/>
                <w:bCs/>
              </w:rPr>
              <w:t>17 895</w:t>
            </w:r>
          </w:p>
        </w:tc>
        <w:tc>
          <w:tcPr>
            <w:tcW w:w="434" w:type="pct"/>
            <w:tcBorders>
              <w:top w:val="none" w:sz="0" w:space="0" w:color="auto"/>
              <w:left w:val="single" w:sz="4" w:space="0" w:color="auto"/>
              <w:bottom w:val="single" w:sz="4" w:space="0" w:color="000000"/>
              <w:right w:val="single" w:sz="4" w:space="0" w:color="000000"/>
            </w:tcBorders>
            <w:tcMar>
              <w:top w:w="0" w:type="dxa"/>
              <w:left w:w="70" w:type="dxa"/>
              <w:bottom w:w="0" w:type="dxa"/>
              <w:right w:w="70" w:type="dxa"/>
            </w:tcMar>
            <w:textDirection w:val="lrTb"/>
            <w:vAlign w:val="bottom"/>
          </w:tcPr>
          <w:p w:rsidR="006757B6" w:rsidRPr="00CB6753" w:rsidP="00603051">
            <w:pPr>
              <w:pStyle w:val="NormalWeb"/>
              <w:bidi w:val="0"/>
              <w:spacing w:before="0" w:after="0" w:line="240" w:lineRule="auto"/>
              <w:ind w:left="0"/>
              <w:rPr>
                <w:rFonts w:ascii="Times New Roman" w:hAnsi="Times New Roman"/>
              </w:rPr>
            </w:pPr>
            <w:r w:rsidRPr="00CB6753">
              <w:rPr>
                <w:rFonts w:ascii="Times New Roman" w:hAnsi="Times New Roman"/>
              </w:rPr>
              <w:t> </w:t>
            </w:r>
          </w:p>
        </w:tc>
      </w:tr>
      <w:tr>
        <w:tblPrEx>
          <w:tblW w:w="5000" w:type="pct"/>
          <w:jc w:val="center"/>
          <w:tblCellMar>
            <w:left w:w="0" w:type="dxa"/>
            <w:right w:w="0" w:type="dxa"/>
          </w:tblCellMar>
        </w:tblPrEx>
        <w:trPr>
          <w:trHeight w:val="255"/>
          <w:jc w:val="center"/>
        </w:trPr>
        <w:tc>
          <w:tcPr>
            <w:tcW w:w="2955" w:type="pct"/>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6757B6" w:rsidRPr="00CB6753" w:rsidP="00603051">
            <w:pPr>
              <w:pStyle w:val="NormalWeb"/>
              <w:bidi w:val="0"/>
              <w:spacing w:before="0" w:after="0" w:line="240" w:lineRule="auto"/>
              <w:ind w:left="0"/>
              <w:rPr>
                <w:rFonts w:ascii="Times New Roman" w:hAnsi="Times New Roman"/>
              </w:rPr>
            </w:pPr>
            <w:r w:rsidRPr="00CB6753">
              <w:rPr>
                <w:rFonts w:ascii="Times New Roman" w:hAnsi="Times New Roman"/>
                <w:b/>
                <w:bCs/>
              </w:rPr>
              <w:t>Kapitálové výdavky (700)</w:t>
            </w:r>
          </w:p>
        </w:tc>
        <w:tc>
          <w:tcPr>
            <w:tcW w:w="264"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757B6" w:rsidRPr="00CB6753" w:rsidP="00603051">
            <w:pPr>
              <w:pStyle w:val="NormalWeb"/>
              <w:bidi w:val="0"/>
              <w:spacing w:before="0" w:after="0" w:line="240" w:lineRule="auto"/>
              <w:ind w:left="0"/>
              <w:jc w:val="center"/>
              <w:rPr>
                <w:rFonts w:ascii="Times New Roman" w:hAnsi="Times New Roman"/>
              </w:rPr>
            </w:pPr>
            <w:r w:rsidRPr="00CB6753">
              <w:rPr>
                <w:rFonts w:ascii="Times New Roman" w:hAnsi="Times New Roman"/>
                <w:bCs/>
              </w:rPr>
              <w:t> </w:t>
            </w:r>
          </w:p>
        </w:tc>
        <w:tc>
          <w:tcPr>
            <w:tcW w:w="264"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757B6" w:rsidRPr="00CB6753" w:rsidP="00603051">
            <w:pPr>
              <w:pStyle w:val="NormalWeb"/>
              <w:bidi w:val="0"/>
              <w:spacing w:before="0" w:after="0" w:line="240" w:lineRule="auto"/>
              <w:ind w:left="0"/>
              <w:jc w:val="center"/>
              <w:rPr>
                <w:rFonts w:ascii="Times New Roman" w:hAnsi="Times New Roman"/>
              </w:rPr>
            </w:pPr>
            <w:r w:rsidRPr="00CB6753">
              <w:rPr>
                <w:rFonts w:ascii="Times New Roman" w:hAnsi="Times New Roman"/>
                <w:bCs/>
              </w:rPr>
              <w:t> </w:t>
            </w:r>
          </w:p>
        </w:tc>
        <w:tc>
          <w:tcPr>
            <w:tcW w:w="264"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757B6" w:rsidRPr="00CB6753" w:rsidP="00603051">
            <w:pPr>
              <w:pStyle w:val="NormalWeb"/>
              <w:bidi w:val="0"/>
              <w:spacing w:before="0" w:after="0" w:line="240" w:lineRule="auto"/>
              <w:ind w:left="0"/>
              <w:jc w:val="center"/>
              <w:rPr>
                <w:rFonts w:ascii="Times New Roman" w:hAnsi="Times New Roman"/>
              </w:rPr>
            </w:pPr>
            <w:r w:rsidRPr="00CB6753">
              <w:rPr>
                <w:rFonts w:ascii="Times New Roman" w:hAnsi="Times New Roman"/>
                <w:bCs/>
              </w:rPr>
              <w:t> </w:t>
            </w:r>
          </w:p>
        </w:tc>
        <w:tc>
          <w:tcPr>
            <w:tcW w:w="417"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757B6" w:rsidRPr="00CB6753" w:rsidP="00603051">
            <w:pPr>
              <w:pStyle w:val="NormalWeb"/>
              <w:bidi w:val="0"/>
              <w:spacing w:before="0" w:after="0" w:line="240" w:lineRule="auto"/>
              <w:ind w:left="0"/>
              <w:jc w:val="center"/>
              <w:rPr>
                <w:rFonts w:ascii="Times New Roman" w:hAnsi="Times New Roman"/>
              </w:rPr>
            </w:pPr>
            <w:r w:rsidRPr="00CB6753">
              <w:rPr>
                <w:rFonts w:ascii="Times New Roman" w:hAnsi="Times New Roman"/>
                <w:bCs/>
              </w:rPr>
              <w:t> </w:t>
            </w:r>
          </w:p>
        </w:tc>
        <w:tc>
          <w:tcPr>
            <w:tcW w:w="402" w:type="pct"/>
            <w:tcBorders>
              <w:top w:val="none" w:sz="0" w:space="0" w:color="auto"/>
              <w:left w:val="none" w:sz="0" w:space="0" w:color="auto"/>
              <w:bottom w:val="single" w:sz="4" w:space="0" w:color="000000"/>
              <w:right w:val="single" w:sz="4" w:space="0" w:color="auto"/>
            </w:tcBorders>
            <w:textDirection w:val="lrTb"/>
            <w:vAlign w:val="top"/>
          </w:tcPr>
          <w:p w:rsidR="006757B6" w:rsidRPr="00CB6753" w:rsidP="00603051">
            <w:pPr>
              <w:pStyle w:val="NormalWeb"/>
              <w:bidi w:val="0"/>
              <w:spacing w:before="0" w:after="0" w:line="240" w:lineRule="auto"/>
              <w:ind w:left="0"/>
              <w:rPr>
                <w:rFonts w:ascii="Times New Roman" w:hAnsi="Times New Roman"/>
              </w:rPr>
            </w:pPr>
          </w:p>
        </w:tc>
        <w:tc>
          <w:tcPr>
            <w:tcW w:w="434" w:type="pct"/>
            <w:tcBorders>
              <w:top w:val="none" w:sz="0" w:space="0" w:color="auto"/>
              <w:left w:val="single" w:sz="4" w:space="0" w:color="auto"/>
              <w:bottom w:val="single" w:sz="4" w:space="0" w:color="000000"/>
              <w:right w:val="single" w:sz="4" w:space="0" w:color="000000"/>
            </w:tcBorders>
            <w:tcMar>
              <w:top w:w="0" w:type="dxa"/>
              <w:left w:w="70" w:type="dxa"/>
              <w:bottom w:w="0" w:type="dxa"/>
              <w:right w:w="70" w:type="dxa"/>
            </w:tcMar>
            <w:textDirection w:val="lrTb"/>
            <w:vAlign w:val="bottom"/>
          </w:tcPr>
          <w:p w:rsidR="006757B6" w:rsidRPr="00CB6753" w:rsidP="00603051">
            <w:pPr>
              <w:pStyle w:val="NormalWeb"/>
              <w:bidi w:val="0"/>
              <w:spacing w:before="0" w:after="0" w:line="240" w:lineRule="auto"/>
              <w:ind w:left="0"/>
              <w:rPr>
                <w:rFonts w:ascii="Times New Roman" w:hAnsi="Times New Roman"/>
              </w:rPr>
            </w:pPr>
            <w:r w:rsidRPr="00CB6753">
              <w:rPr>
                <w:rFonts w:ascii="Times New Roman" w:hAnsi="Times New Roman"/>
              </w:rPr>
              <w:t> </w:t>
            </w:r>
          </w:p>
        </w:tc>
      </w:tr>
      <w:tr>
        <w:tblPrEx>
          <w:tblW w:w="5000" w:type="pct"/>
          <w:jc w:val="center"/>
          <w:tblCellMar>
            <w:left w:w="0" w:type="dxa"/>
            <w:right w:w="0" w:type="dxa"/>
          </w:tblCellMar>
        </w:tblPrEx>
        <w:trPr>
          <w:trHeight w:val="255"/>
          <w:jc w:val="center"/>
        </w:trPr>
        <w:tc>
          <w:tcPr>
            <w:tcW w:w="2955" w:type="pct"/>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6757B6" w:rsidRPr="00CB6753" w:rsidP="00603051">
            <w:pPr>
              <w:pStyle w:val="NormalWeb"/>
              <w:bidi w:val="0"/>
              <w:spacing w:before="0" w:after="0" w:line="240" w:lineRule="auto"/>
              <w:ind w:left="0"/>
              <w:rPr>
                <w:rFonts w:ascii="Times New Roman" w:hAnsi="Times New Roman"/>
              </w:rPr>
            </w:pPr>
            <w:r w:rsidRPr="00CB6753">
              <w:rPr>
                <w:rFonts w:ascii="Times New Roman" w:hAnsi="Times New Roman"/>
              </w:rPr>
              <w:t>  Obstarávanie kapitálových aktív (710)</w:t>
            </w:r>
            <w:r w:rsidRPr="00CB6753">
              <w:rPr>
                <w:rFonts w:ascii="Times New Roman" w:hAnsi="Times New Roman"/>
                <w:vertAlign w:val="superscript"/>
              </w:rPr>
              <w:t>2</w:t>
            </w:r>
          </w:p>
        </w:tc>
        <w:tc>
          <w:tcPr>
            <w:tcW w:w="264"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757B6" w:rsidRPr="00CB6753" w:rsidP="00603051">
            <w:pPr>
              <w:pStyle w:val="NormalWeb"/>
              <w:bidi w:val="0"/>
              <w:spacing w:before="0" w:after="0" w:line="240" w:lineRule="auto"/>
              <w:ind w:left="0"/>
              <w:jc w:val="center"/>
              <w:rPr>
                <w:rFonts w:ascii="Times New Roman" w:hAnsi="Times New Roman"/>
              </w:rPr>
            </w:pPr>
            <w:r w:rsidRPr="00CB6753">
              <w:rPr>
                <w:rFonts w:ascii="Times New Roman" w:hAnsi="Times New Roman"/>
              </w:rPr>
              <w:t> </w:t>
            </w:r>
          </w:p>
        </w:tc>
        <w:tc>
          <w:tcPr>
            <w:tcW w:w="264"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757B6" w:rsidRPr="00CB6753" w:rsidP="00603051">
            <w:pPr>
              <w:pStyle w:val="NormalWeb"/>
              <w:bidi w:val="0"/>
              <w:spacing w:before="0" w:after="0" w:line="240" w:lineRule="auto"/>
              <w:ind w:left="0"/>
              <w:jc w:val="center"/>
              <w:rPr>
                <w:rFonts w:ascii="Times New Roman" w:hAnsi="Times New Roman"/>
              </w:rPr>
            </w:pPr>
            <w:r w:rsidRPr="00CB6753">
              <w:rPr>
                <w:rFonts w:ascii="Times New Roman" w:hAnsi="Times New Roman"/>
              </w:rPr>
              <w:t> </w:t>
            </w:r>
          </w:p>
        </w:tc>
        <w:tc>
          <w:tcPr>
            <w:tcW w:w="264"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757B6" w:rsidRPr="00CB6753" w:rsidP="00603051">
            <w:pPr>
              <w:pStyle w:val="NormalWeb"/>
              <w:bidi w:val="0"/>
              <w:spacing w:before="0" w:after="0" w:line="240" w:lineRule="auto"/>
              <w:ind w:left="0"/>
              <w:jc w:val="center"/>
              <w:rPr>
                <w:rFonts w:ascii="Times New Roman" w:hAnsi="Times New Roman"/>
              </w:rPr>
            </w:pPr>
            <w:r w:rsidRPr="00CB6753">
              <w:rPr>
                <w:rFonts w:ascii="Times New Roman" w:hAnsi="Times New Roman"/>
              </w:rPr>
              <w:t> </w:t>
            </w:r>
          </w:p>
        </w:tc>
        <w:tc>
          <w:tcPr>
            <w:tcW w:w="417"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757B6" w:rsidRPr="00CB6753" w:rsidP="00603051">
            <w:pPr>
              <w:pStyle w:val="NormalWeb"/>
              <w:bidi w:val="0"/>
              <w:spacing w:before="0" w:after="0" w:line="240" w:lineRule="auto"/>
              <w:ind w:left="0"/>
              <w:jc w:val="center"/>
              <w:rPr>
                <w:rFonts w:ascii="Times New Roman" w:hAnsi="Times New Roman"/>
              </w:rPr>
            </w:pPr>
            <w:r w:rsidRPr="00CB6753">
              <w:rPr>
                <w:rFonts w:ascii="Times New Roman" w:hAnsi="Times New Roman"/>
              </w:rPr>
              <w:t> </w:t>
            </w:r>
          </w:p>
        </w:tc>
        <w:tc>
          <w:tcPr>
            <w:tcW w:w="402" w:type="pct"/>
            <w:tcBorders>
              <w:top w:val="none" w:sz="0" w:space="0" w:color="auto"/>
              <w:left w:val="none" w:sz="0" w:space="0" w:color="auto"/>
              <w:bottom w:val="single" w:sz="4" w:space="0" w:color="000000"/>
              <w:right w:val="single" w:sz="4" w:space="0" w:color="auto"/>
            </w:tcBorders>
            <w:textDirection w:val="lrTb"/>
            <w:vAlign w:val="top"/>
          </w:tcPr>
          <w:p w:rsidR="006757B6" w:rsidRPr="00CB6753" w:rsidP="00603051">
            <w:pPr>
              <w:pStyle w:val="NormalWeb"/>
              <w:bidi w:val="0"/>
              <w:spacing w:before="0" w:after="0" w:line="240" w:lineRule="auto"/>
              <w:ind w:left="0"/>
              <w:rPr>
                <w:rFonts w:ascii="Times New Roman" w:hAnsi="Times New Roman"/>
              </w:rPr>
            </w:pPr>
          </w:p>
        </w:tc>
        <w:tc>
          <w:tcPr>
            <w:tcW w:w="434" w:type="pct"/>
            <w:tcBorders>
              <w:top w:val="none" w:sz="0" w:space="0" w:color="auto"/>
              <w:left w:val="single" w:sz="4" w:space="0" w:color="auto"/>
              <w:bottom w:val="single" w:sz="4" w:space="0" w:color="000000"/>
              <w:right w:val="single" w:sz="4" w:space="0" w:color="000000"/>
            </w:tcBorders>
            <w:tcMar>
              <w:top w:w="0" w:type="dxa"/>
              <w:left w:w="70" w:type="dxa"/>
              <w:bottom w:w="0" w:type="dxa"/>
              <w:right w:w="70" w:type="dxa"/>
            </w:tcMar>
            <w:textDirection w:val="lrTb"/>
            <w:vAlign w:val="bottom"/>
          </w:tcPr>
          <w:p w:rsidR="006757B6" w:rsidRPr="00CB6753" w:rsidP="00603051">
            <w:pPr>
              <w:pStyle w:val="NormalWeb"/>
              <w:bidi w:val="0"/>
              <w:spacing w:before="0" w:after="0" w:line="240" w:lineRule="auto"/>
              <w:ind w:left="0"/>
              <w:rPr>
                <w:rFonts w:ascii="Times New Roman" w:hAnsi="Times New Roman"/>
              </w:rPr>
            </w:pPr>
            <w:r w:rsidRPr="00CB6753">
              <w:rPr>
                <w:rFonts w:ascii="Times New Roman" w:hAnsi="Times New Roman"/>
              </w:rPr>
              <w:t> </w:t>
            </w:r>
          </w:p>
        </w:tc>
      </w:tr>
      <w:tr>
        <w:tblPrEx>
          <w:tblW w:w="5000" w:type="pct"/>
          <w:jc w:val="center"/>
          <w:tblCellMar>
            <w:left w:w="0" w:type="dxa"/>
            <w:right w:w="0" w:type="dxa"/>
          </w:tblCellMar>
        </w:tblPrEx>
        <w:trPr>
          <w:trHeight w:val="255"/>
          <w:jc w:val="center"/>
        </w:trPr>
        <w:tc>
          <w:tcPr>
            <w:tcW w:w="2955" w:type="pct"/>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6757B6" w:rsidRPr="00CB6753" w:rsidP="00603051">
            <w:pPr>
              <w:pStyle w:val="NormalWeb"/>
              <w:bidi w:val="0"/>
              <w:spacing w:before="0" w:after="0" w:line="240" w:lineRule="auto"/>
              <w:ind w:left="0"/>
              <w:rPr>
                <w:rFonts w:ascii="Times New Roman" w:hAnsi="Times New Roman"/>
              </w:rPr>
            </w:pPr>
            <w:r w:rsidRPr="00CB6753">
              <w:rPr>
                <w:rFonts w:ascii="Times New Roman" w:hAnsi="Times New Roman"/>
              </w:rPr>
              <w:t>  Kapitálové transfery (720)</w:t>
            </w:r>
            <w:r w:rsidRPr="00CB6753">
              <w:rPr>
                <w:rFonts w:ascii="Times New Roman" w:hAnsi="Times New Roman"/>
                <w:vertAlign w:val="superscript"/>
              </w:rPr>
              <w:t>2</w:t>
            </w:r>
          </w:p>
        </w:tc>
        <w:tc>
          <w:tcPr>
            <w:tcW w:w="264"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757B6" w:rsidRPr="00CB6753" w:rsidP="00603051">
            <w:pPr>
              <w:pStyle w:val="NormalWeb"/>
              <w:bidi w:val="0"/>
              <w:spacing w:before="0" w:after="0" w:line="240" w:lineRule="auto"/>
              <w:ind w:left="0"/>
              <w:jc w:val="center"/>
              <w:rPr>
                <w:rFonts w:ascii="Times New Roman" w:hAnsi="Times New Roman"/>
              </w:rPr>
            </w:pPr>
            <w:r w:rsidRPr="00CB6753">
              <w:rPr>
                <w:rFonts w:ascii="Times New Roman" w:hAnsi="Times New Roman"/>
              </w:rPr>
              <w:t> </w:t>
            </w:r>
          </w:p>
        </w:tc>
        <w:tc>
          <w:tcPr>
            <w:tcW w:w="264"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757B6" w:rsidRPr="00CB6753" w:rsidP="00603051">
            <w:pPr>
              <w:pStyle w:val="NormalWeb"/>
              <w:bidi w:val="0"/>
              <w:spacing w:before="0" w:after="0" w:line="240" w:lineRule="auto"/>
              <w:ind w:left="0"/>
              <w:jc w:val="center"/>
              <w:rPr>
                <w:rFonts w:ascii="Times New Roman" w:hAnsi="Times New Roman"/>
              </w:rPr>
            </w:pPr>
            <w:r w:rsidRPr="00CB6753">
              <w:rPr>
                <w:rFonts w:ascii="Times New Roman" w:hAnsi="Times New Roman"/>
              </w:rPr>
              <w:t> </w:t>
            </w:r>
          </w:p>
        </w:tc>
        <w:tc>
          <w:tcPr>
            <w:tcW w:w="264"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757B6" w:rsidRPr="00CB6753" w:rsidP="00603051">
            <w:pPr>
              <w:pStyle w:val="NormalWeb"/>
              <w:bidi w:val="0"/>
              <w:spacing w:before="0" w:after="0" w:line="240" w:lineRule="auto"/>
              <w:ind w:left="0"/>
              <w:jc w:val="center"/>
              <w:rPr>
                <w:rFonts w:ascii="Times New Roman" w:hAnsi="Times New Roman"/>
              </w:rPr>
            </w:pPr>
            <w:r w:rsidRPr="00CB6753">
              <w:rPr>
                <w:rFonts w:ascii="Times New Roman" w:hAnsi="Times New Roman"/>
              </w:rPr>
              <w:t> </w:t>
            </w:r>
          </w:p>
        </w:tc>
        <w:tc>
          <w:tcPr>
            <w:tcW w:w="417"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757B6" w:rsidRPr="00CB6753" w:rsidP="00603051">
            <w:pPr>
              <w:pStyle w:val="NormalWeb"/>
              <w:bidi w:val="0"/>
              <w:spacing w:before="0" w:after="0" w:line="240" w:lineRule="auto"/>
              <w:ind w:left="0"/>
              <w:jc w:val="center"/>
              <w:rPr>
                <w:rFonts w:ascii="Times New Roman" w:hAnsi="Times New Roman"/>
              </w:rPr>
            </w:pPr>
            <w:r w:rsidRPr="00CB6753">
              <w:rPr>
                <w:rFonts w:ascii="Times New Roman" w:hAnsi="Times New Roman"/>
              </w:rPr>
              <w:t> </w:t>
            </w:r>
          </w:p>
        </w:tc>
        <w:tc>
          <w:tcPr>
            <w:tcW w:w="402" w:type="pct"/>
            <w:tcBorders>
              <w:top w:val="none" w:sz="0" w:space="0" w:color="auto"/>
              <w:left w:val="none" w:sz="0" w:space="0" w:color="auto"/>
              <w:bottom w:val="single" w:sz="4" w:space="0" w:color="000000"/>
              <w:right w:val="single" w:sz="4" w:space="0" w:color="auto"/>
            </w:tcBorders>
            <w:textDirection w:val="lrTb"/>
            <w:vAlign w:val="top"/>
          </w:tcPr>
          <w:p w:rsidR="006757B6" w:rsidRPr="00CB6753" w:rsidP="00603051">
            <w:pPr>
              <w:pStyle w:val="NormalWeb"/>
              <w:bidi w:val="0"/>
              <w:spacing w:before="0" w:after="0" w:line="240" w:lineRule="auto"/>
              <w:ind w:left="0"/>
              <w:rPr>
                <w:rFonts w:ascii="Times New Roman" w:hAnsi="Times New Roman"/>
              </w:rPr>
            </w:pPr>
          </w:p>
        </w:tc>
        <w:tc>
          <w:tcPr>
            <w:tcW w:w="434" w:type="pct"/>
            <w:tcBorders>
              <w:top w:val="none" w:sz="0" w:space="0" w:color="auto"/>
              <w:left w:val="single" w:sz="4" w:space="0" w:color="auto"/>
              <w:bottom w:val="single" w:sz="4" w:space="0" w:color="000000"/>
              <w:right w:val="single" w:sz="4" w:space="0" w:color="000000"/>
            </w:tcBorders>
            <w:tcMar>
              <w:top w:w="0" w:type="dxa"/>
              <w:left w:w="70" w:type="dxa"/>
              <w:bottom w:w="0" w:type="dxa"/>
              <w:right w:w="70" w:type="dxa"/>
            </w:tcMar>
            <w:textDirection w:val="lrTb"/>
            <w:vAlign w:val="bottom"/>
          </w:tcPr>
          <w:p w:rsidR="006757B6" w:rsidRPr="00CB6753" w:rsidP="00603051">
            <w:pPr>
              <w:pStyle w:val="NormalWeb"/>
              <w:bidi w:val="0"/>
              <w:spacing w:before="0" w:after="0" w:line="240" w:lineRule="auto"/>
              <w:ind w:left="0"/>
              <w:rPr>
                <w:rFonts w:ascii="Times New Roman" w:hAnsi="Times New Roman"/>
              </w:rPr>
            </w:pPr>
            <w:r w:rsidRPr="00CB6753">
              <w:rPr>
                <w:rFonts w:ascii="Times New Roman" w:hAnsi="Times New Roman"/>
              </w:rPr>
              <w:t> </w:t>
            </w:r>
          </w:p>
        </w:tc>
      </w:tr>
      <w:tr>
        <w:tblPrEx>
          <w:tblW w:w="5000" w:type="pct"/>
          <w:jc w:val="center"/>
          <w:tblCellMar>
            <w:left w:w="0" w:type="dxa"/>
            <w:right w:w="0" w:type="dxa"/>
          </w:tblCellMar>
        </w:tblPrEx>
        <w:trPr>
          <w:trHeight w:val="255"/>
          <w:jc w:val="center"/>
        </w:trPr>
        <w:tc>
          <w:tcPr>
            <w:tcW w:w="2955" w:type="pct"/>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6757B6" w:rsidRPr="00CB6753" w:rsidP="00603051">
            <w:pPr>
              <w:pStyle w:val="NormalWeb"/>
              <w:bidi w:val="0"/>
              <w:spacing w:before="0" w:after="0" w:line="240" w:lineRule="auto"/>
              <w:ind w:left="0"/>
              <w:rPr>
                <w:rFonts w:ascii="Times New Roman" w:hAnsi="Times New Roman"/>
              </w:rPr>
            </w:pPr>
            <w:r w:rsidRPr="00CB6753">
              <w:rPr>
                <w:rFonts w:ascii="Times New Roman" w:hAnsi="Times New Roman"/>
                <w:b/>
                <w:bCs/>
              </w:rPr>
              <w:t>Výdavky z transakcií s finančnými aktívami a finančnými pasívami (800)</w:t>
            </w:r>
          </w:p>
        </w:tc>
        <w:tc>
          <w:tcPr>
            <w:tcW w:w="264" w:type="pct"/>
            <w:tcBorders>
              <w:top w:val="none" w:sz="0" w:space="0" w:color="auto"/>
              <w:left w:val="none" w:sz="0" w:space="0" w:color="auto"/>
              <w:bottom w:val="single" w:sz="4" w:space="0" w:color="000000"/>
              <w:right w:val="single" w:sz="4" w:space="0" w:color="000000"/>
            </w:tcBorders>
            <w:shd w:val="clear" w:color="auto" w:fill="FFFF00"/>
            <w:tcMar>
              <w:top w:w="0" w:type="dxa"/>
              <w:left w:w="70" w:type="dxa"/>
              <w:bottom w:w="0" w:type="dxa"/>
              <w:right w:w="70" w:type="dxa"/>
            </w:tcMar>
            <w:textDirection w:val="lrTb"/>
            <w:vAlign w:val="top"/>
          </w:tcPr>
          <w:p w:rsidR="006757B6" w:rsidRPr="00CB6753" w:rsidP="00603051">
            <w:pPr>
              <w:pStyle w:val="NormalWeb"/>
              <w:bidi w:val="0"/>
              <w:spacing w:before="0" w:after="0" w:line="240" w:lineRule="auto"/>
              <w:ind w:left="0"/>
              <w:jc w:val="center"/>
              <w:rPr>
                <w:rFonts w:ascii="Times New Roman" w:hAnsi="Times New Roman"/>
              </w:rPr>
            </w:pPr>
            <w:r w:rsidRPr="00CB6753">
              <w:rPr>
                <w:rFonts w:ascii="Times New Roman" w:hAnsi="Times New Roman"/>
                <w:b/>
                <w:bCs/>
              </w:rPr>
              <w:t> </w:t>
            </w:r>
          </w:p>
        </w:tc>
        <w:tc>
          <w:tcPr>
            <w:tcW w:w="264" w:type="pct"/>
            <w:tcBorders>
              <w:top w:val="none" w:sz="0" w:space="0" w:color="auto"/>
              <w:left w:val="none" w:sz="0" w:space="0" w:color="auto"/>
              <w:bottom w:val="single" w:sz="4" w:space="0" w:color="000000"/>
              <w:right w:val="single" w:sz="4" w:space="0" w:color="000000"/>
            </w:tcBorders>
            <w:shd w:val="clear" w:color="auto" w:fill="FFFF00"/>
            <w:tcMar>
              <w:top w:w="0" w:type="dxa"/>
              <w:left w:w="70" w:type="dxa"/>
              <w:bottom w:w="0" w:type="dxa"/>
              <w:right w:w="70" w:type="dxa"/>
            </w:tcMar>
            <w:textDirection w:val="lrTb"/>
            <w:vAlign w:val="top"/>
          </w:tcPr>
          <w:p w:rsidR="006757B6" w:rsidRPr="00CB6753" w:rsidP="00603051">
            <w:pPr>
              <w:pStyle w:val="NormalWeb"/>
              <w:bidi w:val="0"/>
              <w:spacing w:before="0" w:after="0" w:line="240" w:lineRule="auto"/>
              <w:ind w:left="0"/>
              <w:jc w:val="center"/>
              <w:rPr>
                <w:rFonts w:ascii="Times New Roman" w:hAnsi="Times New Roman"/>
              </w:rPr>
            </w:pPr>
            <w:r w:rsidRPr="00CB6753">
              <w:rPr>
                <w:rFonts w:ascii="Times New Roman" w:hAnsi="Times New Roman"/>
                <w:b/>
                <w:bCs/>
              </w:rPr>
              <w:t> </w:t>
            </w:r>
          </w:p>
        </w:tc>
        <w:tc>
          <w:tcPr>
            <w:tcW w:w="264" w:type="pct"/>
            <w:tcBorders>
              <w:top w:val="none" w:sz="0" w:space="0" w:color="auto"/>
              <w:left w:val="none" w:sz="0" w:space="0" w:color="auto"/>
              <w:bottom w:val="single" w:sz="4" w:space="0" w:color="000000"/>
              <w:right w:val="single" w:sz="4" w:space="0" w:color="000000"/>
            </w:tcBorders>
            <w:shd w:val="clear" w:color="auto" w:fill="FFFF00"/>
            <w:tcMar>
              <w:top w:w="0" w:type="dxa"/>
              <w:left w:w="70" w:type="dxa"/>
              <w:bottom w:w="0" w:type="dxa"/>
              <w:right w:w="70" w:type="dxa"/>
            </w:tcMar>
            <w:textDirection w:val="lrTb"/>
            <w:vAlign w:val="top"/>
          </w:tcPr>
          <w:p w:rsidR="006757B6" w:rsidRPr="00CB6753" w:rsidP="00603051">
            <w:pPr>
              <w:pStyle w:val="NormalWeb"/>
              <w:bidi w:val="0"/>
              <w:spacing w:before="0" w:after="0" w:line="240" w:lineRule="auto"/>
              <w:ind w:left="0"/>
              <w:jc w:val="center"/>
              <w:rPr>
                <w:rFonts w:ascii="Times New Roman" w:hAnsi="Times New Roman"/>
              </w:rPr>
            </w:pPr>
            <w:r w:rsidRPr="00CB6753">
              <w:rPr>
                <w:rFonts w:ascii="Times New Roman" w:hAnsi="Times New Roman"/>
                <w:b/>
                <w:bCs/>
              </w:rPr>
              <w:t> </w:t>
            </w:r>
          </w:p>
        </w:tc>
        <w:tc>
          <w:tcPr>
            <w:tcW w:w="417" w:type="pct"/>
            <w:tcBorders>
              <w:top w:val="none" w:sz="0" w:space="0" w:color="auto"/>
              <w:left w:val="none" w:sz="0" w:space="0" w:color="auto"/>
              <w:bottom w:val="single" w:sz="4" w:space="0" w:color="000000"/>
              <w:right w:val="single" w:sz="4" w:space="0" w:color="000000"/>
            </w:tcBorders>
            <w:shd w:val="clear" w:color="auto" w:fill="FFFF00"/>
            <w:tcMar>
              <w:top w:w="0" w:type="dxa"/>
              <w:left w:w="70" w:type="dxa"/>
              <w:bottom w:w="0" w:type="dxa"/>
              <w:right w:w="70" w:type="dxa"/>
            </w:tcMar>
            <w:textDirection w:val="lrTb"/>
            <w:vAlign w:val="top"/>
          </w:tcPr>
          <w:p w:rsidR="006757B6" w:rsidRPr="00CB6753" w:rsidP="00603051">
            <w:pPr>
              <w:pStyle w:val="NormalWeb"/>
              <w:bidi w:val="0"/>
              <w:spacing w:before="0" w:after="0" w:line="240" w:lineRule="auto"/>
              <w:ind w:left="0"/>
              <w:jc w:val="center"/>
              <w:rPr>
                <w:rFonts w:ascii="Times New Roman" w:hAnsi="Times New Roman"/>
              </w:rPr>
            </w:pPr>
            <w:r w:rsidRPr="00CB6753">
              <w:rPr>
                <w:rFonts w:ascii="Times New Roman" w:hAnsi="Times New Roman"/>
                <w:b/>
                <w:bCs/>
              </w:rPr>
              <w:t> </w:t>
            </w:r>
          </w:p>
        </w:tc>
        <w:tc>
          <w:tcPr>
            <w:tcW w:w="402" w:type="pct"/>
            <w:tcBorders>
              <w:top w:val="single" w:sz="4" w:space="0" w:color="000000"/>
              <w:left w:val="none" w:sz="0" w:space="0" w:color="auto"/>
              <w:bottom w:val="single" w:sz="4" w:space="0" w:color="000000"/>
              <w:right w:val="single" w:sz="4" w:space="0" w:color="auto"/>
            </w:tcBorders>
            <w:shd w:val="clear" w:color="auto" w:fill="FFFF00"/>
            <w:textDirection w:val="lrTb"/>
            <w:vAlign w:val="top"/>
          </w:tcPr>
          <w:p w:rsidR="006757B6" w:rsidRPr="00CB6753" w:rsidP="00603051">
            <w:pPr>
              <w:pStyle w:val="NormalWeb"/>
              <w:bidi w:val="0"/>
              <w:spacing w:before="0" w:after="0" w:line="240" w:lineRule="auto"/>
              <w:ind w:left="0"/>
              <w:rPr>
                <w:rFonts w:ascii="Times New Roman" w:hAnsi="Times New Roman"/>
              </w:rPr>
            </w:pPr>
          </w:p>
        </w:tc>
        <w:tc>
          <w:tcPr>
            <w:tcW w:w="434" w:type="pct"/>
            <w:tcBorders>
              <w:top w:val="none" w:sz="0" w:space="0" w:color="auto"/>
              <w:left w:val="single" w:sz="4" w:space="0" w:color="auto"/>
              <w:bottom w:val="single" w:sz="4" w:space="0" w:color="000000"/>
              <w:right w:val="single" w:sz="4" w:space="0" w:color="000000"/>
            </w:tcBorders>
            <w:shd w:val="clear" w:color="auto" w:fill="FFFF00"/>
            <w:tcMar>
              <w:top w:w="0" w:type="dxa"/>
              <w:left w:w="70" w:type="dxa"/>
              <w:bottom w:w="0" w:type="dxa"/>
              <w:right w:w="70" w:type="dxa"/>
            </w:tcMar>
            <w:textDirection w:val="lrTb"/>
            <w:vAlign w:val="bottom"/>
          </w:tcPr>
          <w:p w:rsidR="006757B6" w:rsidRPr="00CB6753" w:rsidP="00603051">
            <w:pPr>
              <w:pStyle w:val="NormalWeb"/>
              <w:bidi w:val="0"/>
              <w:spacing w:before="0" w:after="0" w:line="240" w:lineRule="auto"/>
              <w:ind w:left="0"/>
              <w:rPr>
                <w:rFonts w:ascii="Times New Roman" w:hAnsi="Times New Roman"/>
              </w:rPr>
            </w:pPr>
            <w:r w:rsidRPr="00CB6753">
              <w:rPr>
                <w:rFonts w:ascii="Times New Roman" w:hAnsi="Times New Roman"/>
              </w:rPr>
              <w:t> </w:t>
            </w:r>
          </w:p>
        </w:tc>
      </w:tr>
      <w:tr>
        <w:tblPrEx>
          <w:tblW w:w="5000" w:type="pct"/>
          <w:jc w:val="center"/>
          <w:tblCellMar>
            <w:left w:w="0" w:type="dxa"/>
            <w:right w:w="0" w:type="dxa"/>
          </w:tblCellMar>
        </w:tblPrEx>
        <w:trPr>
          <w:trHeight w:val="255"/>
          <w:jc w:val="center"/>
        </w:trPr>
        <w:tc>
          <w:tcPr>
            <w:tcW w:w="2955" w:type="pct"/>
            <w:tcBorders>
              <w:top w:val="none" w:sz="0" w:space="0" w:color="auto"/>
              <w:left w:val="single" w:sz="4" w:space="0" w:color="000000"/>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6757B6" w:rsidRPr="00CB6753" w:rsidP="00603051">
            <w:pPr>
              <w:pStyle w:val="NormalWeb"/>
              <w:bidi w:val="0"/>
              <w:spacing w:before="0" w:after="0" w:line="240" w:lineRule="auto"/>
              <w:ind w:left="0"/>
              <w:rPr>
                <w:rFonts w:ascii="Times New Roman" w:hAnsi="Times New Roman"/>
              </w:rPr>
            </w:pPr>
            <w:r w:rsidRPr="00CB6753">
              <w:rPr>
                <w:rFonts w:ascii="Times New Roman" w:hAnsi="Times New Roman"/>
                <w:b/>
                <w:bCs/>
                <w:color w:val="FFFFFF"/>
              </w:rPr>
              <w:t>Dopad na výdavky verejnej správy celkom</w:t>
            </w:r>
          </w:p>
        </w:tc>
        <w:tc>
          <w:tcPr>
            <w:tcW w:w="264" w:type="pct"/>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center"/>
          </w:tcPr>
          <w:p w:rsidR="006757B6" w:rsidRPr="00CB6753" w:rsidP="00603051">
            <w:pPr>
              <w:bidi w:val="0"/>
              <w:spacing w:after="0" w:line="240" w:lineRule="auto"/>
              <w:jc w:val="right"/>
              <w:rPr>
                <w:rFonts w:ascii="Times New Roman" w:hAnsi="Times New Roman"/>
              </w:rPr>
            </w:pPr>
            <w:r w:rsidRPr="00CB6753">
              <w:rPr>
                <w:rFonts w:ascii="Times New Roman" w:hAnsi="Times New Roman"/>
                <w:b/>
                <w:bCs/>
              </w:rPr>
              <w:t>0</w:t>
            </w:r>
          </w:p>
        </w:tc>
        <w:tc>
          <w:tcPr>
            <w:tcW w:w="264" w:type="pct"/>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center"/>
          </w:tcPr>
          <w:p w:rsidR="006757B6" w:rsidRPr="00CB6753" w:rsidP="00603051">
            <w:pPr>
              <w:bidi w:val="0"/>
              <w:spacing w:after="0" w:line="240" w:lineRule="auto"/>
              <w:jc w:val="right"/>
              <w:rPr>
                <w:rFonts w:ascii="Times New Roman" w:hAnsi="Times New Roman"/>
                <w:b/>
                <w:bCs/>
              </w:rPr>
            </w:pPr>
            <w:r>
              <w:rPr>
                <w:rFonts w:ascii="Times New Roman" w:hAnsi="Times New Roman"/>
                <w:b/>
                <w:bCs/>
              </w:rPr>
              <w:t>0</w:t>
            </w:r>
          </w:p>
        </w:tc>
        <w:tc>
          <w:tcPr>
            <w:tcW w:w="264" w:type="pct"/>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center"/>
          </w:tcPr>
          <w:p w:rsidR="006757B6" w:rsidRPr="00CB6753" w:rsidP="00603051">
            <w:pPr>
              <w:bidi w:val="0"/>
              <w:spacing w:after="0" w:line="240" w:lineRule="auto"/>
              <w:jc w:val="right"/>
              <w:rPr>
                <w:rFonts w:ascii="Times New Roman" w:hAnsi="Times New Roman"/>
                <w:b/>
                <w:bCs/>
              </w:rPr>
            </w:pPr>
            <w:r>
              <w:rPr>
                <w:rFonts w:ascii="Times New Roman" w:hAnsi="Times New Roman"/>
                <w:b/>
                <w:bCs/>
              </w:rPr>
              <w:t>0</w:t>
            </w:r>
          </w:p>
        </w:tc>
        <w:tc>
          <w:tcPr>
            <w:tcW w:w="417" w:type="pct"/>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center"/>
          </w:tcPr>
          <w:p w:rsidR="006757B6" w:rsidRPr="00CB6753" w:rsidP="00603051">
            <w:pPr>
              <w:bidi w:val="0"/>
              <w:spacing w:after="0" w:line="240" w:lineRule="auto"/>
              <w:jc w:val="right"/>
              <w:rPr>
                <w:rFonts w:ascii="Times New Roman" w:hAnsi="Times New Roman"/>
                <w:b/>
                <w:bCs/>
              </w:rPr>
            </w:pPr>
            <w:r w:rsidRPr="00CB6753">
              <w:rPr>
                <w:rFonts w:ascii="Times New Roman" w:hAnsi="Times New Roman"/>
                <w:b/>
                <w:bCs/>
              </w:rPr>
              <w:t>1</w:t>
            </w:r>
            <w:r>
              <w:rPr>
                <w:rFonts w:ascii="Times New Roman" w:hAnsi="Times New Roman"/>
                <w:b/>
                <w:bCs/>
              </w:rPr>
              <w:t>7 001</w:t>
            </w:r>
          </w:p>
        </w:tc>
        <w:tc>
          <w:tcPr>
            <w:tcW w:w="402" w:type="pct"/>
            <w:tcBorders>
              <w:top w:val="none" w:sz="0" w:space="0" w:color="auto"/>
              <w:left w:val="none" w:sz="0" w:space="0" w:color="auto"/>
              <w:bottom w:val="none" w:sz="0" w:space="0" w:color="auto"/>
              <w:right w:val="single" w:sz="4" w:space="0" w:color="auto"/>
            </w:tcBorders>
            <w:shd w:val="clear" w:color="auto" w:fill="000000"/>
            <w:textDirection w:val="lrTb"/>
            <w:vAlign w:val="top"/>
          </w:tcPr>
          <w:p w:rsidR="006757B6" w:rsidRPr="006757B6" w:rsidP="00603051">
            <w:pPr>
              <w:pStyle w:val="NormalWeb"/>
              <w:bidi w:val="0"/>
              <w:spacing w:before="0" w:after="0" w:line="240" w:lineRule="auto"/>
              <w:ind w:left="0"/>
              <w:jc w:val="right"/>
              <w:rPr>
                <w:rFonts w:ascii="Times New Roman" w:hAnsi="Times New Roman"/>
                <w:color w:val="FFFFFF"/>
              </w:rPr>
            </w:pPr>
            <w:r w:rsidRPr="006757B6">
              <w:rPr>
                <w:rFonts w:ascii="Times New Roman" w:hAnsi="Times New Roman"/>
                <w:b/>
                <w:bCs/>
                <w:color w:val="FFFFFF"/>
              </w:rPr>
              <w:t>17 895</w:t>
            </w:r>
          </w:p>
        </w:tc>
        <w:tc>
          <w:tcPr>
            <w:tcW w:w="434" w:type="pct"/>
            <w:tcBorders>
              <w:top w:val="none" w:sz="0" w:space="0" w:color="auto"/>
              <w:left w:val="single" w:sz="4"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bottom"/>
          </w:tcPr>
          <w:p w:rsidR="006757B6" w:rsidRPr="00CB6753" w:rsidP="00603051">
            <w:pPr>
              <w:pStyle w:val="NormalWeb"/>
              <w:bidi w:val="0"/>
              <w:spacing w:before="0" w:after="0" w:line="240" w:lineRule="auto"/>
              <w:ind w:left="0"/>
              <w:rPr>
                <w:rFonts w:ascii="Times New Roman" w:hAnsi="Times New Roman"/>
              </w:rPr>
            </w:pPr>
            <w:r w:rsidRPr="00CB6753">
              <w:rPr>
                <w:rFonts w:ascii="Times New Roman" w:hAnsi="Times New Roman"/>
                <w:color w:val="FFFFFF"/>
              </w:rPr>
              <w:t> </w:t>
            </w:r>
          </w:p>
        </w:tc>
      </w:tr>
      <w:tr>
        <w:tblPrEx>
          <w:tblW w:w="5000" w:type="pct"/>
          <w:jc w:val="center"/>
          <w:tblCellMar>
            <w:left w:w="0" w:type="dxa"/>
            <w:right w:w="0" w:type="dxa"/>
          </w:tblCellMar>
        </w:tblPrEx>
        <w:trPr>
          <w:trHeight w:val="255"/>
          <w:jc w:val="center"/>
        </w:trPr>
        <w:tc>
          <w:tcPr>
            <w:tcW w:w="2955" w:type="pct"/>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6757B6" w:rsidRPr="00CB6753" w:rsidP="00603051">
            <w:pPr>
              <w:pStyle w:val="NormalWeb"/>
              <w:bidi w:val="0"/>
              <w:spacing w:before="0" w:after="0" w:line="240" w:lineRule="auto"/>
              <w:ind w:left="0"/>
              <w:rPr>
                <w:rFonts w:ascii="Times New Roman" w:hAnsi="Times New Roman"/>
              </w:rPr>
            </w:pPr>
            <w:r w:rsidRPr="00CB6753">
              <w:rPr>
                <w:rFonts w:ascii="Times New Roman" w:hAnsi="Times New Roman"/>
                <w:b/>
                <w:bCs/>
              </w:rPr>
              <w:t>  z toho výdavky na ŠR</w:t>
            </w:r>
          </w:p>
        </w:tc>
        <w:tc>
          <w:tcPr>
            <w:tcW w:w="264"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6757B6" w:rsidRPr="00CB6753" w:rsidP="00603051">
            <w:pPr>
              <w:bidi w:val="0"/>
              <w:spacing w:after="0" w:line="240" w:lineRule="auto"/>
              <w:jc w:val="right"/>
              <w:rPr>
                <w:rFonts w:ascii="Times New Roman" w:hAnsi="Times New Roman"/>
              </w:rPr>
            </w:pPr>
            <w:r w:rsidRPr="00CB6753">
              <w:rPr>
                <w:rFonts w:ascii="Times New Roman" w:hAnsi="Times New Roman"/>
                <w:b/>
                <w:bCs/>
              </w:rPr>
              <w:t>0</w:t>
            </w:r>
          </w:p>
        </w:tc>
        <w:tc>
          <w:tcPr>
            <w:tcW w:w="264"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6757B6" w:rsidRPr="00CB6753" w:rsidP="00603051">
            <w:pPr>
              <w:bidi w:val="0"/>
              <w:spacing w:after="0" w:line="240" w:lineRule="auto"/>
              <w:jc w:val="right"/>
              <w:rPr>
                <w:rFonts w:ascii="Times New Roman" w:hAnsi="Times New Roman"/>
                <w:b/>
                <w:bCs/>
              </w:rPr>
            </w:pPr>
            <w:r>
              <w:rPr>
                <w:rFonts w:ascii="Times New Roman" w:hAnsi="Times New Roman"/>
                <w:b/>
                <w:bCs/>
              </w:rPr>
              <w:t>0</w:t>
            </w:r>
          </w:p>
        </w:tc>
        <w:tc>
          <w:tcPr>
            <w:tcW w:w="264"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6757B6" w:rsidRPr="00CB6753" w:rsidP="00603051">
            <w:pPr>
              <w:bidi w:val="0"/>
              <w:spacing w:after="0" w:line="240" w:lineRule="auto"/>
              <w:jc w:val="right"/>
              <w:rPr>
                <w:rFonts w:ascii="Times New Roman" w:hAnsi="Times New Roman"/>
                <w:b/>
                <w:bCs/>
              </w:rPr>
            </w:pPr>
            <w:r>
              <w:rPr>
                <w:rFonts w:ascii="Times New Roman" w:hAnsi="Times New Roman"/>
                <w:b/>
                <w:bCs/>
              </w:rPr>
              <w:t>0</w:t>
            </w:r>
          </w:p>
        </w:tc>
        <w:tc>
          <w:tcPr>
            <w:tcW w:w="417"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6757B6" w:rsidRPr="00CB6753" w:rsidP="00603051">
            <w:pPr>
              <w:bidi w:val="0"/>
              <w:spacing w:after="0" w:line="240" w:lineRule="auto"/>
              <w:jc w:val="right"/>
              <w:rPr>
                <w:rFonts w:ascii="Times New Roman" w:hAnsi="Times New Roman"/>
                <w:b/>
                <w:bCs/>
              </w:rPr>
            </w:pPr>
            <w:r w:rsidRPr="00CB6753">
              <w:rPr>
                <w:rFonts w:ascii="Times New Roman" w:hAnsi="Times New Roman"/>
                <w:b/>
                <w:bCs/>
              </w:rPr>
              <w:t>1</w:t>
            </w:r>
            <w:r>
              <w:rPr>
                <w:rFonts w:ascii="Times New Roman" w:hAnsi="Times New Roman"/>
                <w:b/>
                <w:bCs/>
              </w:rPr>
              <w:t>7 001</w:t>
            </w:r>
          </w:p>
        </w:tc>
        <w:tc>
          <w:tcPr>
            <w:tcW w:w="402" w:type="pct"/>
            <w:tcBorders>
              <w:top w:val="none" w:sz="0" w:space="0" w:color="auto"/>
              <w:left w:val="none" w:sz="0" w:space="0" w:color="auto"/>
              <w:bottom w:val="single" w:sz="4" w:space="0" w:color="000000"/>
              <w:right w:val="single" w:sz="4" w:space="0" w:color="auto"/>
            </w:tcBorders>
            <w:textDirection w:val="lrTb"/>
            <w:vAlign w:val="top"/>
          </w:tcPr>
          <w:p w:rsidR="006757B6" w:rsidRPr="00CB6753" w:rsidP="00603051">
            <w:pPr>
              <w:pStyle w:val="NormalWeb"/>
              <w:bidi w:val="0"/>
              <w:spacing w:before="0" w:after="0" w:line="240" w:lineRule="auto"/>
              <w:ind w:left="0"/>
              <w:jc w:val="right"/>
              <w:rPr>
                <w:rFonts w:ascii="Times New Roman" w:hAnsi="Times New Roman"/>
              </w:rPr>
            </w:pPr>
            <w:r>
              <w:rPr>
                <w:rFonts w:ascii="Times New Roman" w:hAnsi="Times New Roman"/>
                <w:b/>
                <w:bCs/>
              </w:rPr>
              <w:t>17 895</w:t>
            </w:r>
          </w:p>
        </w:tc>
        <w:tc>
          <w:tcPr>
            <w:tcW w:w="434" w:type="pct"/>
            <w:tcBorders>
              <w:top w:val="none" w:sz="0" w:space="0" w:color="auto"/>
              <w:left w:val="single" w:sz="4" w:space="0" w:color="auto"/>
              <w:bottom w:val="single" w:sz="4" w:space="0" w:color="000000"/>
              <w:right w:val="single" w:sz="4" w:space="0" w:color="000000"/>
            </w:tcBorders>
            <w:tcMar>
              <w:top w:w="0" w:type="dxa"/>
              <w:left w:w="70" w:type="dxa"/>
              <w:bottom w:w="0" w:type="dxa"/>
              <w:right w:w="70" w:type="dxa"/>
            </w:tcMar>
            <w:textDirection w:val="lrTb"/>
            <w:vAlign w:val="bottom"/>
          </w:tcPr>
          <w:p w:rsidR="006757B6" w:rsidRPr="00CB6753" w:rsidP="00603051">
            <w:pPr>
              <w:pStyle w:val="NormalWeb"/>
              <w:bidi w:val="0"/>
              <w:spacing w:before="0" w:after="0" w:line="240" w:lineRule="auto"/>
              <w:ind w:left="0"/>
              <w:rPr>
                <w:rFonts w:ascii="Times New Roman" w:hAnsi="Times New Roman"/>
              </w:rPr>
            </w:pPr>
            <w:r w:rsidRPr="00CB6753">
              <w:rPr>
                <w:rFonts w:ascii="Times New Roman" w:hAnsi="Times New Roman"/>
              </w:rPr>
              <w:t> </w:t>
            </w:r>
          </w:p>
        </w:tc>
      </w:tr>
      <w:tr>
        <w:tblPrEx>
          <w:tblW w:w="5000" w:type="pct"/>
          <w:jc w:val="center"/>
          <w:tblCellMar>
            <w:left w:w="0" w:type="dxa"/>
            <w:right w:w="0" w:type="dxa"/>
          </w:tblCellMar>
        </w:tblPrEx>
        <w:trPr>
          <w:trHeight w:val="255"/>
          <w:jc w:val="center"/>
        </w:trPr>
        <w:tc>
          <w:tcPr>
            <w:tcW w:w="295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6757B6" w:rsidRPr="00CB6753" w:rsidP="00603051">
            <w:pPr>
              <w:pStyle w:val="NormalWeb"/>
              <w:bidi w:val="0"/>
              <w:spacing w:before="0" w:after="0" w:line="240" w:lineRule="auto"/>
              <w:ind w:left="0"/>
              <w:rPr>
                <w:rFonts w:ascii="Times New Roman" w:hAnsi="Times New Roman"/>
              </w:rPr>
            </w:pPr>
            <w:r w:rsidRPr="00CB6753">
              <w:rPr>
                <w:rFonts w:ascii="Times New Roman" w:hAnsi="Times New Roman"/>
              </w:rPr>
              <w:t>   Bežné výdavky</w:t>
            </w:r>
            <w:r w:rsidRPr="00CB6753">
              <w:rPr>
                <w:rFonts w:ascii="Times New Roman" w:hAnsi="Times New Roman"/>
                <w:b/>
                <w:bCs/>
              </w:rPr>
              <w:t xml:space="preserve"> </w:t>
            </w:r>
            <w:r w:rsidRPr="00CB6753">
              <w:rPr>
                <w:rFonts w:ascii="Times New Roman" w:hAnsi="Times New Roman"/>
              </w:rPr>
              <w:t>(600)</w:t>
            </w:r>
            <w:r w:rsidRPr="00CB6753">
              <w:rPr>
                <w:rFonts w:ascii="Times New Roman" w:hAnsi="Times New Roman"/>
                <w:b/>
                <w:bCs/>
              </w:rPr>
              <w:t xml:space="preserve"> </w:t>
            </w:r>
          </w:p>
        </w:tc>
        <w:tc>
          <w:tcPr>
            <w:tcW w:w="264" w:type="pct"/>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757B6" w:rsidRPr="00CB6753" w:rsidP="00603051">
            <w:pPr>
              <w:pStyle w:val="NormalWeb"/>
              <w:bidi w:val="0"/>
              <w:spacing w:before="0" w:after="0" w:line="240" w:lineRule="auto"/>
              <w:ind w:left="0"/>
              <w:jc w:val="center"/>
              <w:rPr>
                <w:rFonts w:ascii="Times New Roman" w:hAnsi="Times New Roman"/>
              </w:rPr>
            </w:pPr>
            <w:r w:rsidRPr="00CB6753">
              <w:rPr>
                <w:rFonts w:ascii="Times New Roman" w:hAnsi="Times New Roman"/>
                <w:b/>
                <w:bCs/>
              </w:rPr>
              <w:t> </w:t>
            </w:r>
          </w:p>
        </w:tc>
        <w:tc>
          <w:tcPr>
            <w:tcW w:w="264" w:type="pct"/>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757B6" w:rsidRPr="00CB6753" w:rsidP="00603051">
            <w:pPr>
              <w:pStyle w:val="NormalWeb"/>
              <w:bidi w:val="0"/>
              <w:spacing w:before="0" w:after="0" w:line="240" w:lineRule="auto"/>
              <w:ind w:left="0"/>
              <w:jc w:val="center"/>
              <w:rPr>
                <w:rFonts w:ascii="Times New Roman" w:hAnsi="Times New Roman"/>
              </w:rPr>
            </w:pPr>
            <w:r w:rsidRPr="00CB6753">
              <w:rPr>
                <w:rFonts w:ascii="Times New Roman" w:hAnsi="Times New Roman"/>
                <w:b/>
                <w:bCs/>
              </w:rPr>
              <w:t> </w:t>
            </w:r>
          </w:p>
        </w:tc>
        <w:tc>
          <w:tcPr>
            <w:tcW w:w="264" w:type="pct"/>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757B6" w:rsidRPr="00CB6753" w:rsidP="00603051">
            <w:pPr>
              <w:pStyle w:val="NormalWeb"/>
              <w:bidi w:val="0"/>
              <w:spacing w:before="0" w:after="0" w:line="240" w:lineRule="auto"/>
              <w:ind w:left="0"/>
              <w:jc w:val="center"/>
              <w:rPr>
                <w:rFonts w:ascii="Times New Roman" w:hAnsi="Times New Roman"/>
              </w:rPr>
            </w:pPr>
            <w:r w:rsidRPr="00CB6753">
              <w:rPr>
                <w:rFonts w:ascii="Times New Roman" w:hAnsi="Times New Roman"/>
                <w:b/>
                <w:bCs/>
              </w:rPr>
              <w:t> </w:t>
            </w:r>
          </w:p>
        </w:tc>
        <w:tc>
          <w:tcPr>
            <w:tcW w:w="417" w:type="pct"/>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757B6" w:rsidRPr="00CB6753" w:rsidP="00603051">
            <w:pPr>
              <w:pStyle w:val="NormalWeb"/>
              <w:bidi w:val="0"/>
              <w:spacing w:before="0" w:after="0" w:line="240" w:lineRule="auto"/>
              <w:ind w:left="0"/>
              <w:jc w:val="center"/>
              <w:rPr>
                <w:rFonts w:ascii="Times New Roman" w:hAnsi="Times New Roman"/>
              </w:rPr>
            </w:pPr>
            <w:r w:rsidRPr="00CB6753">
              <w:rPr>
                <w:rFonts w:ascii="Times New Roman" w:hAnsi="Times New Roman"/>
                <w:b/>
                <w:bCs/>
              </w:rPr>
              <w:t> </w:t>
            </w:r>
          </w:p>
        </w:tc>
        <w:tc>
          <w:tcPr>
            <w:tcW w:w="402" w:type="pct"/>
            <w:tcBorders>
              <w:top w:val="single" w:sz="4" w:space="0" w:color="000000"/>
              <w:left w:val="none" w:sz="0" w:space="0" w:color="auto"/>
              <w:bottom w:val="single" w:sz="4" w:space="0" w:color="000000"/>
              <w:right w:val="single" w:sz="4" w:space="0" w:color="auto"/>
            </w:tcBorders>
            <w:textDirection w:val="lrTb"/>
            <w:vAlign w:val="top"/>
          </w:tcPr>
          <w:p w:rsidR="006757B6" w:rsidRPr="00CB6753" w:rsidP="00603051">
            <w:pPr>
              <w:pStyle w:val="NormalWeb"/>
              <w:bidi w:val="0"/>
              <w:spacing w:before="0" w:after="0" w:line="240" w:lineRule="auto"/>
              <w:ind w:left="0"/>
              <w:rPr>
                <w:rFonts w:ascii="Times New Roman" w:hAnsi="Times New Roman"/>
              </w:rPr>
            </w:pPr>
          </w:p>
        </w:tc>
        <w:tc>
          <w:tcPr>
            <w:tcW w:w="434" w:type="pct"/>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extDirection w:val="lrTb"/>
            <w:vAlign w:val="bottom"/>
          </w:tcPr>
          <w:p w:rsidR="006757B6" w:rsidRPr="00CB6753" w:rsidP="00603051">
            <w:pPr>
              <w:pStyle w:val="NormalWeb"/>
              <w:bidi w:val="0"/>
              <w:spacing w:before="0" w:after="0" w:line="240" w:lineRule="auto"/>
              <w:ind w:left="0"/>
              <w:rPr>
                <w:rFonts w:ascii="Times New Roman" w:hAnsi="Times New Roman"/>
              </w:rPr>
            </w:pPr>
            <w:r w:rsidRPr="00CB6753">
              <w:rPr>
                <w:rFonts w:ascii="Times New Roman" w:hAnsi="Times New Roman"/>
              </w:rPr>
              <w:t> </w:t>
            </w:r>
          </w:p>
        </w:tc>
      </w:tr>
      <w:tr>
        <w:tblPrEx>
          <w:tblW w:w="5000" w:type="pct"/>
          <w:jc w:val="center"/>
          <w:tblCellMar>
            <w:left w:w="0" w:type="dxa"/>
            <w:right w:w="0" w:type="dxa"/>
          </w:tblCellMar>
        </w:tblPrEx>
        <w:trPr>
          <w:trHeight w:val="255"/>
          <w:jc w:val="center"/>
        </w:trPr>
        <w:tc>
          <w:tcPr>
            <w:tcW w:w="295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6757B6" w:rsidRPr="00CB6753" w:rsidP="00603051">
            <w:pPr>
              <w:pStyle w:val="NormalWeb"/>
              <w:bidi w:val="0"/>
              <w:spacing w:before="0" w:after="0" w:line="240" w:lineRule="auto"/>
              <w:ind w:left="0"/>
              <w:rPr>
                <w:rFonts w:ascii="Times New Roman" w:hAnsi="Times New Roman"/>
              </w:rPr>
            </w:pPr>
            <w:r w:rsidRPr="00CB6753">
              <w:rPr>
                <w:rFonts w:ascii="Times New Roman" w:hAnsi="Times New Roman"/>
                <w:b/>
                <w:bCs/>
              </w:rPr>
              <w:t>   </w:t>
            </w:r>
            <w:r w:rsidRPr="00CB6753">
              <w:rPr>
                <w:rFonts w:ascii="Times New Roman" w:hAnsi="Times New Roman"/>
              </w:rPr>
              <w:t>Mzdy, platy, služobné príjmy a ostatné osobné vyrovnania (610)</w:t>
            </w:r>
          </w:p>
        </w:tc>
        <w:tc>
          <w:tcPr>
            <w:tcW w:w="264" w:type="pct"/>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757B6" w:rsidRPr="00CB6753" w:rsidP="00603051">
            <w:pPr>
              <w:pStyle w:val="NormalWeb"/>
              <w:bidi w:val="0"/>
              <w:spacing w:before="0" w:after="0" w:line="240" w:lineRule="auto"/>
              <w:ind w:left="0"/>
              <w:jc w:val="center"/>
              <w:rPr>
                <w:rFonts w:ascii="Times New Roman" w:hAnsi="Times New Roman"/>
              </w:rPr>
            </w:pPr>
            <w:r w:rsidRPr="00CB6753">
              <w:rPr>
                <w:rFonts w:ascii="Times New Roman" w:hAnsi="Times New Roman"/>
                <w:b/>
                <w:bCs/>
              </w:rPr>
              <w:t> </w:t>
            </w:r>
          </w:p>
        </w:tc>
        <w:tc>
          <w:tcPr>
            <w:tcW w:w="264" w:type="pct"/>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757B6" w:rsidRPr="00CB6753" w:rsidP="00603051">
            <w:pPr>
              <w:pStyle w:val="NormalWeb"/>
              <w:bidi w:val="0"/>
              <w:spacing w:before="0" w:after="0" w:line="240" w:lineRule="auto"/>
              <w:ind w:left="0"/>
              <w:jc w:val="center"/>
              <w:rPr>
                <w:rFonts w:ascii="Times New Roman" w:hAnsi="Times New Roman"/>
              </w:rPr>
            </w:pPr>
            <w:r w:rsidRPr="00CB6753">
              <w:rPr>
                <w:rFonts w:ascii="Times New Roman" w:hAnsi="Times New Roman"/>
                <w:b/>
                <w:bCs/>
              </w:rPr>
              <w:t> </w:t>
            </w:r>
          </w:p>
        </w:tc>
        <w:tc>
          <w:tcPr>
            <w:tcW w:w="264" w:type="pct"/>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757B6" w:rsidRPr="00CB6753" w:rsidP="00603051">
            <w:pPr>
              <w:pStyle w:val="NormalWeb"/>
              <w:bidi w:val="0"/>
              <w:spacing w:before="0" w:after="0" w:line="240" w:lineRule="auto"/>
              <w:ind w:left="0"/>
              <w:jc w:val="center"/>
              <w:rPr>
                <w:rFonts w:ascii="Times New Roman" w:hAnsi="Times New Roman"/>
              </w:rPr>
            </w:pPr>
            <w:r w:rsidRPr="00CB6753">
              <w:rPr>
                <w:rFonts w:ascii="Times New Roman" w:hAnsi="Times New Roman"/>
                <w:b/>
                <w:bCs/>
              </w:rPr>
              <w:t> </w:t>
            </w:r>
          </w:p>
        </w:tc>
        <w:tc>
          <w:tcPr>
            <w:tcW w:w="417" w:type="pct"/>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757B6" w:rsidRPr="00CB6753" w:rsidP="00603051">
            <w:pPr>
              <w:pStyle w:val="NormalWeb"/>
              <w:bidi w:val="0"/>
              <w:spacing w:before="0" w:after="0" w:line="240" w:lineRule="auto"/>
              <w:ind w:left="0"/>
              <w:jc w:val="center"/>
              <w:rPr>
                <w:rFonts w:ascii="Times New Roman" w:hAnsi="Times New Roman"/>
              </w:rPr>
            </w:pPr>
            <w:r w:rsidRPr="00CB6753">
              <w:rPr>
                <w:rFonts w:ascii="Times New Roman" w:hAnsi="Times New Roman"/>
                <w:b/>
                <w:bCs/>
              </w:rPr>
              <w:t> </w:t>
            </w:r>
          </w:p>
        </w:tc>
        <w:tc>
          <w:tcPr>
            <w:tcW w:w="402" w:type="pct"/>
            <w:tcBorders>
              <w:top w:val="single" w:sz="4" w:space="0" w:color="000000"/>
              <w:left w:val="none" w:sz="0" w:space="0" w:color="auto"/>
              <w:bottom w:val="single" w:sz="4" w:space="0" w:color="000000"/>
              <w:right w:val="single" w:sz="4" w:space="0" w:color="auto"/>
            </w:tcBorders>
            <w:textDirection w:val="lrTb"/>
            <w:vAlign w:val="top"/>
          </w:tcPr>
          <w:p w:rsidR="006757B6" w:rsidRPr="00CB6753" w:rsidP="00603051">
            <w:pPr>
              <w:pStyle w:val="NormalWeb"/>
              <w:bidi w:val="0"/>
              <w:spacing w:before="0" w:after="0" w:line="240" w:lineRule="auto"/>
              <w:ind w:left="0"/>
              <w:rPr>
                <w:rFonts w:ascii="Times New Roman" w:hAnsi="Times New Roman"/>
              </w:rPr>
            </w:pPr>
          </w:p>
        </w:tc>
        <w:tc>
          <w:tcPr>
            <w:tcW w:w="434" w:type="pct"/>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extDirection w:val="lrTb"/>
            <w:vAlign w:val="bottom"/>
          </w:tcPr>
          <w:p w:rsidR="006757B6" w:rsidRPr="00CB6753" w:rsidP="00603051">
            <w:pPr>
              <w:pStyle w:val="NormalWeb"/>
              <w:bidi w:val="0"/>
              <w:spacing w:before="0" w:after="0" w:line="240" w:lineRule="auto"/>
              <w:ind w:left="0"/>
              <w:rPr>
                <w:rFonts w:ascii="Times New Roman" w:hAnsi="Times New Roman"/>
              </w:rPr>
            </w:pPr>
            <w:r w:rsidRPr="00CB6753">
              <w:rPr>
                <w:rFonts w:ascii="Times New Roman" w:hAnsi="Times New Roman"/>
              </w:rPr>
              <w:t> </w:t>
            </w:r>
          </w:p>
        </w:tc>
      </w:tr>
      <w:tr>
        <w:tblPrEx>
          <w:tblW w:w="5000" w:type="pct"/>
          <w:jc w:val="center"/>
          <w:tblCellMar>
            <w:left w:w="0" w:type="dxa"/>
            <w:right w:w="0" w:type="dxa"/>
          </w:tblCellMar>
        </w:tblPrEx>
        <w:trPr>
          <w:trHeight w:val="255"/>
          <w:jc w:val="center"/>
        </w:trPr>
        <w:tc>
          <w:tcPr>
            <w:tcW w:w="295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6757B6" w:rsidRPr="00CB6753" w:rsidP="00603051">
            <w:pPr>
              <w:pStyle w:val="NormalWeb"/>
              <w:bidi w:val="0"/>
              <w:spacing w:before="0" w:after="0" w:line="240" w:lineRule="auto"/>
              <w:rPr>
                <w:rFonts w:ascii="Times New Roman" w:hAnsi="Times New Roman"/>
              </w:rPr>
            </w:pPr>
            <w:r w:rsidRPr="00CB6753">
              <w:rPr>
                <w:rFonts w:ascii="Times New Roman" w:hAnsi="Times New Roman"/>
              </w:rPr>
              <w:t xml:space="preserve">   Kapitálové výdavky (700)</w:t>
            </w:r>
          </w:p>
        </w:tc>
        <w:tc>
          <w:tcPr>
            <w:tcW w:w="264" w:type="pct"/>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757B6" w:rsidRPr="00CB6753" w:rsidP="00603051">
            <w:pPr>
              <w:pStyle w:val="NormalWeb"/>
              <w:bidi w:val="0"/>
              <w:spacing w:before="0" w:after="0" w:line="240" w:lineRule="auto"/>
              <w:jc w:val="center"/>
              <w:rPr>
                <w:rFonts w:ascii="Times New Roman" w:hAnsi="Times New Roman"/>
              </w:rPr>
            </w:pPr>
            <w:r w:rsidRPr="00CB6753">
              <w:rPr>
                <w:rFonts w:ascii="Times New Roman" w:hAnsi="Times New Roman"/>
                <w:b/>
                <w:bCs/>
              </w:rPr>
              <w:t> </w:t>
            </w:r>
          </w:p>
        </w:tc>
        <w:tc>
          <w:tcPr>
            <w:tcW w:w="264" w:type="pct"/>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757B6" w:rsidRPr="00CB6753" w:rsidP="00603051">
            <w:pPr>
              <w:pStyle w:val="NormalWeb"/>
              <w:bidi w:val="0"/>
              <w:spacing w:before="0" w:after="0" w:line="240" w:lineRule="auto"/>
              <w:jc w:val="center"/>
              <w:rPr>
                <w:rFonts w:ascii="Times New Roman" w:hAnsi="Times New Roman"/>
              </w:rPr>
            </w:pPr>
            <w:r w:rsidRPr="00CB6753">
              <w:rPr>
                <w:rFonts w:ascii="Times New Roman" w:hAnsi="Times New Roman"/>
                <w:b/>
                <w:bCs/>
              </w:rPr>
              <w:t> </w:t>
            </w:r>
          </w:p>
        </w:tc>
        <w:tc>
          <w:tcPr>
            <w:tcW w:w="264" w:type="pct"/>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757B6" w:rsidRPr="00CB6753" w:rsidP="00603051">
            <w:pPr>
              <w:pStyle w:val="NormalWeb"/>
              <w:bidi w:val="0"/>
              <w:spacing w:before="0" w:after="0" w:line="240" w:lineRule="auto"/>
              <w:jc w:val="center"/>
              <w:rPr>
                <w:rFonts w:ascii="Times New Roman" w:hAnsi="Times New Roman"/>
              </w:rPr>
            </w:pPr>
            <w:r w:rsidRPr="00CB6753">
              <w:rPr>
                <w:rFonts w:ascii="Times New Roman" w:hAnsi="Times New Roman"/>
                <w:b/>
                <w:bCs/>
              </w:rPr>
              <w:t> </w:t>
            </w:r>
          </w:p>
        </w:tc>
        <w:tc>
          <w:tcPr>
            <w:tcW w:w="417" w:type="pct"/>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757B6" w:rsidRPr="00CB6753" w:rsidP="00603051">
            <w:pPr>
              <w:pStyle w:val="NormalWeb"/>
              <w:bidi w:val="0"/>
              <w:spacing w:before="0" w:after="0" w:line="240" w:lineRule="auto"/>
              <w:jc w:val="center"/>
              <w:rPr>
                <w:rFonts w:ascii="Times New Roman" w:hAnsi="Times New Roman"/>
              </w:rPr>
            </w:pPr>
            <w:r w:rsidRPr="00CB6753">
              <w:rPr>
                <w:rFonts w:ascii="Times New Roman" w:hAnsi="Times New Roman"/>
                <w:b/>
                <w:bCs/>
              </w:rPr>
              <w:t> </w:t>
            </w:r>
          </w:p>
        </w:tc>
        <w:tc>
          <w:tcPr>
            <w:tcW w:w="402" w:type="pct"/>
            <w:tcBorders>
              <w:top w:val="single" w:sz="4" w:space="0" w:color="000000"/>
              <w:left w:val="none" w:sz="0" w:space="0" w:color="auto"/>
              <w:bottom w:val="single" w:sz="4" w:space="0" w:color="000000"/>
              <w:right w:val="single" w:sz="4" w:space="0" w:color="auto"/>
            </w:tcBorders>
            <w:textDirection w:val="lrTb"/>
            <w:vAlign w:val="top"/>
          </w:tcPr>
          <w:p w:rsidR="006757B6" w:rsidRPr="00CB6753" w:rsidP="00603051">
            <w:pPr>
              <w:pStyle w:val="NormalWeb"/>
              <w:bidi w:val="0"/>
              <w:spacing w:before="0" w:after="0" w:line="240" w:lineRule="auto"/>
              <w:rPr>
                <w:rFonts w:ascii="Times New Roman" w:hAnsi="Times New Roman"/>
              </w:rPr>
            </w:pPr>
          </w:p>
        </w:tc>
        <w:tc>
          <w:tcPr>
            <w:tcW w:w="434" w:type="pct"/>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extDirection w:val="lrTb"/>
            <w:vAlign w:val="bottom"/>
          </w:tcPr>
          <w:p w:rsidR="006757B6" w:rsidRPr="00CB6753" w:rsidP="00603051">
            <w:pPr>
              <w:pStyle w:val="NormalWeb"/>
              <w:bidi w:val="0"/>
              <w:spacing w:before="0" w:after="0" w:line="240" w:lineRule="auto"/>
              <w:rPr>
                <w:rFonts w:ascii="Times New Roman" w:hAnsi="Times New Roman"/>
              </w:rPr>
            </w:pPr>
            <w:r w:rsidRPr="00CB6753">
              <w:rPr>
                <w:rFonts w:ascii="Times New Roman" w:hAnsi="Times New Roman"/>
              </w:rPr>
              <w:t> </w:t>
            </w:r>
          </w:p>
        </w:tc>
      </w:tr>
      <w:tr>
        <w:tblPrEx>
          <w:tblW w:w="5000" w:type="pct"/>
          <w:jc w:val="center"/>
          <w:tblCellMar>
            <w:left w:w="0" w:type="dxa"/>
            <w:right w:w="0" w:type="dxa"/>
          </w:tblCellMar>
        </w:tblPrEx>
        <w:trPr>
          <w:trHeight w:val="255"/>
          <w:jc w:val="center"/>
        </w:trPr>
        <w:tc>
          <w:tcPr>
            <w:tcW w:w="295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6757B6" w:rsidRPr="00CB6753" w:rsidP="00603051">
            <w:pPr>
              <w:pStyle w:val="NormalWeb"/>
              <w:bidi w:val="0"/>
              <w:spacing w:before="0" w:after="0" w:line="240" w:lineRule="auto"/>
              <w:rPr>
                <w:rFonts w:ascii="Times New Roman" w:hAnsi="Times New Roman"/>
              </w:rPr>
            </w:pPr>
            <w:r w:rsidRPr="00CB6753">
              <w:rPr>
                <w:rFonts w:ascii="Times New Roman" w:hAnsi="Times New Roman"/>
              </w:rPr>
              <w:t>   Výdavky z transakcií s finančnými aktívami a finančnými pasívami (800)</w:t>
            </w:r>
          </w:p>
        </w:tc>
        <w:tc>
          <w:tcPr>
            <w:tcW w:w="264" w:type="pct"/>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757B6" w:rsidRPr="00CB6753" w:rsidP="00603051">
            <w:pPr>
              <w:pStyle w:val="NormalWeb"/>
              <w:bidi w:val="0"/>
              <w:spacing w:before="0" w:after="0" w:line="240" w:lineRule="auto"/>
              <w:jc w:val="center"/>
              <w:rPr>
                <w:rFonts w:ascii="Times New Roman" w:hAnsi="Times New Roman"/>
              </w:rPr>
            </w:pPr>
            <w:r w:rsidRPr="00CB6753">
              <w:rPr>
                <w:rFonts w:ascii="Times New Roman" w:hAnsi="Times New Roman"/>
                <w:b/>
                <w:bCs/>
              </w:rPr>
              <w:t> </w:t>
            </w:r>
          </w:p>
        </w:tc>
        <w:tc>
          <w:tcPr>
            <w:tcW w:w="264" w:type="pct"/>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757B6" w:rsidRPr="00CB6753" w:rsidP="00603051">
            <w:pPr>
              <w:pStyle w:val="NormalWeb"/>
              <w:bidi w:val="0"/>
              <w:spacing w:before="0" w:after="0" w:line="240" w:lineRule="auto"/>
              <w:jc w:val="center"/>
              <w:rPr>
                <w:rFonts w:ascii="Times New Roman" w:hAnsi="Times New Roman"/>
              </w:rPr>
            </w:pPr>
            <w:r w:rsidRPr="00CB6753">
              <w:rPr>
                <w:rFonts w:ascii="Times New Roman" w:hAnsi="Times New Roman"/>
                <w:b/>
                <w:bCs/>
              </w:rPr>
              <w:t> </w:t>
            </w:r>
          </w:p>
        </w:tc>
        <w:tc>
          <w:tcPr>
            <w:tcW w:w="264" w:type="pct"/>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757B6" w:rsidRPr="00CB6753" w:rsidP="00603051">
            <w:pPr>
              <w:pStyle w:val="NormalWeb"/>
              <w:bidi w:val="0"/>
              <w:spacing w:before="0" w:after="0" w:line="240" w:lineRule="auto"/>
              <w:jc w:val="center"/>
              <w:rPr>
                <w:rFonts w:ascii="Times New Roman" w:hAnsi="Times New Roman"/>
              </w:rPr>
            </w:pPr>
            <w:r w:rsidRPr="00CB6753">
              <w:rPr>
                <w:rFonts w:ascii="Times New Roman" w:hAnsi="Times New Roman"/>
                <w:b/>
                <w:bCs/>
              </w:rPr>
              <w:t> </w:t>
            </w:r>
          </w:p>
        </w:tc>
        <w:tc>
          <w:tcPr>
            <w:tcW w:w="417" w:type="pct"/>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757B6" w:rsidRPr="00CB6753" w:rsidP="00603051">
            <w:pPr>
              <w:pStyle w:val="NormalWeb"/>
              <w:bidi w:val="0"/>
              <w:spacing w:before="0" w:after="0" w:line="240" w:lineRule="auto"/>
              <w:jc w:val="center"/>
              <w:rPr>
                <w:rFonts w:ascii="Times New Roman" w:hAnsi="Times New Roman"/>
              </w:rPr>
            </w:pPr>
            <w:r w:rsidRPr="00CB6753">
              <w:rPr>
                <w:rFonts w:ascii="Times New Roman" w:hAnsi="Times New Roman"/>
                <w:b/>
                <w:bCs/>
              </w:rPr>
              <w:t> </w:t>
            </w:r>
          </w:p>
        </w:tc>
        <w:tc>
          <w:tcPr>
            <w:tcW w:w="402" w:type="pct"/>
            <w:tcBorders>
              <w:top w:val="single" w:sz="4" w:space="0" w:color="000000"/>
              <w:left w:val="none" w:sz="0" w:space="0" w:color="auto"/>
              <w:bottom w:val="single" w:sz="4" w:space="0" w:color="000000"/>
              <w:right w:val="single" w:sz="4" w:space="0" w:color="auto"/>
            </w:tcBorders>
            <w:textDirection w:val="lrTb"/>
            <w:vAlign w:val="top"/>
          </w:tcPr>
          <w:p w:rsidR="006757B6" w:rsidRPr="00CB6753" w:rsidP="00603051">
            <w:pPr>
              <w:pStyle w:val="NormalWeb"/>
              <w:bidi w:val="0"/>
              <w:spacing w:before="0" w:after="0" w:line="240" w:lineRule="auto"/>
              <w:rPr>
                <w:rFonts w:ascii="Times New Roman" w:hAnsi="Times New Roman"/>
              </w:rPr>
            </w:pPr>
          </w:p>
        </w:tc>
        <w:tc>
          <w:tcPr>
            <w:tcW w:w="434" w:type="pct"/>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extDirection w:val="lrTb"/>
            <w:vAlign w:val="bottom"/>
          </w:tcPr>
          <w:p w:rsidR="006757B6" w:rsidRPr="00CB6753" w:rsidP="00603051">
            <w:pPr>
              <w:pStyle w:val="NormalWeb"/>
              <w:bidi w:val="0"/>
              <w:spacing w:before="0" w:after="0" w:line="240" w:lineRule="auto"/>
              <w:rPr>
                <w:rFonts w:ascii="Times New Roman" w:hAnsi="Times New Roman"/>
              </w:rPr>
            </w:pPr>
            <w:r w:rsidRPr="00CB6753">
              <w:rPr>
                <w:rFonts w:ascii="Times New Roman" w:hAnsi="Times New Roman"/>
              </w:rPr>
              <w:t> </w:t>
            </w:r>
          </w:p>
        </w:tc>
      </w:tr>
      <w:tr>
        <w:tblPrEx>
          <w:tblW w:w="5000" w:type="pct"/>
          <w:jc w:val="center"/>
          <w:tblCellMar>
            <w:left w:w="0" w:type="dxa"/>
            <w:right w:w="0" w:type="dxa"/>
          </w:tblCellMar>
        </w:tblPrEx>
        <w:trPr>
          <w:jc w:val="center"/>
        </w:trPr>
        <w:tc>
          <w:tcPr>
            <w:tcW w:w="2955" w:type="pct"/>
            <w:tcBorders>
              <w:top w:val="nil"/>
              <w:left w:val="nil"/>
              <w:bottom w:val="nil"/>
              <w:right w:val="nil"/>
            </w:tcBorders>
            <w:textDirection w:val="lrTb"/>
            <w:vAlign w:val="center"/>
          </w:tcPr>
          <w:p w:rsidR="006757B6" w:rsidRPr="00CB6753" w:rsidP="00603051">
            <w:pPr>
              <w:bidi w:val="0"/>
              <w:spacing w:after="0" w:line="240" w:lineRule="auto"/>
              <w:rPr>
                <w:rFonts w:ascii="Times New Roman" w:hAnsi="Times New Roman"/>
              </w:rPr>
            </w:pPr>
          </w:p>
        </w:tc>
        <w:tc>
          <w:tcPr>
            <w:tcW w:w="264" w:type="pct"/>
            <w:tcBorders>
              <w:top w:val="nil"/>
              <w:left w:val="nil"/>
              <w:bottom w:val="nil"/>
              <w:right w:val="nil"/>
            </w:tcBorders>
            <w:textDirection w:val="lrTb"/>
            <w:vAlign w:val="center"/>
          </w:tcPr>
          <w:p w:rsidR="006757B6" w:rsidRPr="00CB6753" w:rsidP="00603051">
            <w:pPr>
              <w:bidi w:val="0"/>
              <w:spacing w:after="0" w:line="240" w:lineRule="auto"/>
              <w:jc w:val="both"/>
              <w:rPr>
                <w:rFonts w:ascii="Times New Roman" w:hAnsi="Times New Roman"/>
              </w:rPr>
            </w:pPr>
          </w:p>
        </w:tc>
        <w:tc>
          <w:tcPr>
            <w:tcW w:w="264" w:type="pct"/>
            <w:tcBorders>
              <w:top w:val="nil"/>
              <w:left w:val="nil"/>
              <w:bottom w:val="nil"/>
              <w:right w:val="nil"/>
            </w:tcBorders>
            <w:textDirection w:val="lrTb"/>
            <w:vAlign w:val="center"/>
          </w:tcPr>
          <w:p w:rsidR="006757B6" w:rsidRPr="00CB6753" w:rsidP="00603051">
            <w:pPr>
              <w:bidi w:val="0"/>
              <w:spacing w:after="0" w:line="240" w:lineRule="auto"/>
              <w:rPr>
                <w:rFonts w:ascii="Times New Roman" w:hAnsi="Times New Roman"/>
              </w:rPr>
            </w:pPr>
          </w:p>
        </w:tc>
        <w:tc>
          <w:tcPr>
            <w:tcW w:w="264" w:type="pct"/>
            <w:tcBorders>
              <w:top w:val="nil"/>
              <w:left w:val="nil"/>
              <w:bottom w:val="nil"/>
              <w:right w:val="nil"/>
            </w:tcBorders>
            <w:textDirection w:val="lrTb"/>
            <w:vAlign w:val="center"/>
          </w:tcPr>
          <w:p w:rsidR="006757B6" w:rsidRPr="00CB6753" w:rsidP="00603051">
            <w:pPr>
              <w:bidi w:val="0"/>
              <w:spacing w:after="0" w:line="240" w:lineRule="auto"/>
              <w:rPr>
                <w:rFonts w:ascii="Times New Roman" w:hAnsi="Times New Roman"/>
              </w:rPr>
            </w:pPr>
          </w:p>
        </w:tc>
        <w:tc>
          <w:tcPr>
            <w:tcW w:w="417" w:type="pct"/>
            <w:tcBorders>
              <w:top w:val="nil"/>
              <w:left w:val="nil"/>
              <w:bottom w:val="nil"/>
              <w:right w:val="nil"/>
            </w:tcBorders>
            <w:textDirection w:val="lrTb"/>
            <w:vAlign w:val="center"/>
          </w:tcPr>
          <w:p w:rsidR="006757B6" w:rsidRPr="00CB6753" w:rsidP="00603051">
            <w:pPr>
              <w:bidi w:val="0"/>
              <w:spacing w:after="0" w:line="240" w:lineRule="auto"/>
              <w:rPr>
                <w:rFonts w:ascii="Times New Roman" w:hAnsi="Times New Roman"/>
              </w:rPr>
            </w:pPr>
          </w:p>
        </w:tc>
        <w:tc>
          <w:tcPr>
            <w:tcW w:w="402" w:type="pct"/>
            <w:tcBorders>
              <w:top w:val="nil"/>
              <w:left w:val="nil"/>
              <w:bottom w:val="nil"/>
              <w:right w:val="nil"/>
            </w:tcBorders>
            <w:textDirection w:val="lrTb"/>
            <w:vAlign w:val="top"/>
          </w:tcPr>
          <w:p w:rsidR="006757B6" w:rsidRPr="00CB6753" w:rsidP="00603051">
            <w:pPr>
              <w:bidi w:val="0"/>
              <w:spacing w:after="0" w:line="240" w:lineRule="auto"/>
              <w:rPr>
                <w:rFonts w:ascii="Times New Roman" w:hAnsi="Times New Roman"/>
              </w:rPr>
            </w:pPr>
          </w:p>
        </w:tc>
        <w:tc>
          <w:tcPr>
            <w:tcW w:w="434" w:type="pct"/>
            <w:tcBorders>
              <w:top w:val="nil"/>
              <w:left w:val="nil"/>
              <w:bottom w:val="nil"/>
              <w:right w:val="nil"/>
            </w:tcBorders>
            <w:textDirection w:val="lrTb"/>
            <w:vAlign w:val="center"/>
          </w:tcPr>
          <w:p w:rsidR="006757B6" w:rsidRPr="00CB6753" w:rsidP="00603051">
            <w:pPr>
              <w:bidi w:val="0"/>
              <w:spacing w:after="0" w:line="240" w:lineRule="auto"/>
              <w:rPr>
                <w:rFonts w:ascii="Times New Roman" w:hAnsi="Times New Roman"/>
              </w:rPr>
            </w:pPr>
          </w:p>
        </w:tc>
      </w:tr>
    </w:tbl>
    <w:p w:rsidR="006757B6" w:rsidRPr="00CB6753" w:rsidP="006757B6">
      <w:pPr>
        <w:pStyle w:val="NormalWeb"/>
        <w:bidi w:val="0"/>
        <w:spacing w:before="0" w:after="0"/>
        <w:ind w:left="0"/>
        <w:jc w:val="both"/>
        <w:rPr>
          <w:rFonts w:ascii="Times New Roman" w:hAnsi="Times New Roman"/>
        </w:rPr>
      </w:pPr>
      <w:r w:rsidRPr="00CB6753">
        <w:rPr>
          <w:rFonts w:ascii="Times New Roman" w:hAnsi="Times New Roman"/>
        </w:rPr>
        <w:t>2 –  výdavky rozpísať až do položiek platnej ekonomickej klasifikácie</w:t>
      </w:r>
    </w:p>
    <w:p w:rsidR="006757B6" w:rsidRPr="00CB6753" w:rsidP="006757B6">
      <w:pPr>
        <w:tabs>
          <w:tab w:val="num" w:pos="1080"/>
        </w:tabs>
        <w:bidi w:val="0"/>
        <w:rPr>
          <w:rFonts w:ascii="Times New Roman" w:hAnsi="Times New Roman"/>
        </w:rPr>
      </w:pPr>
      <w:r w:rsidRPr="00CB6753">
        <w:rPr>
          <w:rFonts w:ascii="Times New Roman" w:hAnsi="Times New Roman"/>
          <w:bCs/>
        </w:rPr>
        <w:t xml:space="preserve">Návrh zákona nemá vplyv na zamestnanosť vo verejnej správe, z toho dôvodu sa tabuľka č. 6 Vplyvy na zamestnanosť nepredkladá. </w:t>
      </w:r>
    </w:p>
    <w:p w:rsidR="006757B6" w:rsidRPr="00CB6753" w:rsidP="006757B6">
      <w:pPr>
        <w:bidi w:val="0"/>
        <w:rPr>
          <w:rFonts w:ascii="Times New Roman" w:hAnsi="Times New Roman"/>
        </w:rPr>
      </w:pPr>
    </w:p>
    <w:p w:rsidR="006757B6" w:rsidRPr="00CB6753" w:rsidP="006757B6">
      <w:pPr>
        <w:bidi w:val="0"/>
        <w:rPr>
          <w:rFonts w:ascii="Times New Roman" w:hAnsi="Times New Roman"/>
        </w:rPr>
      </w:pPr>
    </w:p>
    <w:p w:rsidR="006757B6" w:rsidRPr="00CB6753" w:rsidP="006757B6">
      <w:pPr>
        <w:bidi w:val="0"/>
        <w:rPr>
          <w:rFonts w:ascii="Times New Roman" w:hAnsi="Times New Roman"/>
        </w:rPr>
      </w:pPr>
    </w:p>
    <w:p w:rsidR="006757B6" w:rsidRPr="00CB6753" w:rsidP="006757B6">
      <w:pPr>
        <w:bidi w:val="0"/>
        <w:rPr>
          <w:rFonts w:ascii="Times New Roman" w:hAnsi="Times New Roman"/>
        </w:rPr>
        <w:sectPr w:rsidSect="00334BC4">
          <w:pgSz w:w="16838" w:h="11906" w:orient="landscape"/>
          <w:pgMar w:top="1418" w:right="1418" w:bottom="1418" w:left="1418" w:header="709" w:footer="709" w:gutter="0"/>
          <w:lnNumType w:distance="0"/>
          <w:cols w:space="708"/>
          <w:noEndnote w:val="0"/>
          <w:bidi w:val="0"/>
          <w:docGrid w:linePitch="360"/>
        </w:sectPr>
      </w:pPr>
    </w:p>
    <w:p w:rsidR="006757B6" w:rsidRPr="00CB6753" w:rsidP="006757B6">
      <w:pPr>
        <w:bidi w:val="0"/>
        <w:jc w:val="center"/>
        <w:rPr>
          <w:rFonts w:ascii="Times New Roman" w:hAnsi="Times New Roman"/>
          <w:b/>
          <w:bCs/>
        </w:rPr>
      </w:pPr>
      <w:r w:rsidRPr="00CB6753">
        <w:rPr>
          <w:rFonts w:ascii="Times New Roman" w:hAnsi="Times New Roman"/>
          <w:b/>
          <w:bCs/>
        </w:rPr>
        <w:t>Vplyvy na podnikateľské prostredie</w:t>
      </w:r>
    </w:p>
    <w:p w:rsidR="006757B6" w:rsidRPr="00CB6753" w:rsidP="006757B6">
      <w:pPr>
        <w:bidi w:val="0"/>
        <w:jc w:val="center"/>
        <w:rPr>
          <w:rFonts w:ascii="Times New Roman" w:hAnsi="Times New Roman"/>
          <w:b/>
          <w:bCs/>
        </w:rPr>
      </w:pPr>
    </w:p>
    <w:tbl>
      <w:tblPr>
        <w:tblStyle w:val="TableNormal"/>
        <w:tblW w:w="9195" w:type="dxa"/>
        <w:tblInd w:w="55" w:type="dxa"/>
        <w:tblCellMar>
          <w:left w:w="70" w:type="dxa"/>
          <w:right w:w="70" w:type="dxa"/>
        </w:tblCellMar>
      </w:tblPr>
      <w:tblGrid>
        <w:gridCol w:w="4155"/>
        <w:gridCol w:w="5040"/>
      </w:tblGrid>
      <w:tr>
        <w:tblPrEx>
          <w:tblW w:w="9195" w:type="dxa"/>
          <w:tblInd w:w="55" w:type="dxa"/>
          <w:tblCellMar>
            <w:left w:w="70" w:type="dxa"/>
            <w:right w:w="70" w:type="dxa"/>
          </w:tblCellMar>
        </w:tblPrEx>
        <w:trPr>
          <w:trHeight w:val="600"/>
        </w:trPr>
        <w:tc>
          <w:tcPr>
            <w:tcW w:w="9195" w:type="dxa"/>
            <w:gridSpan w:val="2"/>
            <w:tcBorders>
              <w:top w:val="single" w:sz="8" w:space="0" w:color="auto"/>
              <w:left w:val="single" w:sz="8" w:space="0" w:color="auto"/>
              <w:bottom w:val="single" w:sz="8" w:space="0" w:color="auto"/>
              <w:right w:val="single" w:sz="8" w:space="0" w:color="000000"/>
            </w:tcBorders>
            <w:shd w:val="clear" w:color="auto" w:fill="000000"/>
            <w:noWrap/>
            <w:textDirection w:val="lrTb"/>
            <w:vAlign w:val="center"/>
          </w:tcPr>
          <w:p w:rsidR="006757B6" w:rsidRPr="00CB6753" w:rsidP="00603051">
            <w:pPr>
              <w:bidi w:val="0"/>
              <w:spacing w:after="0" w:line="240" w:lineRule="auto"/>
              <w:jc w:val="center"/>
              <w:rPr>
                <w:rFonts w:ascii="Times New Roman" w:hAnsi="Times New Roman"/>
                <w:b/>
                <w:bCs/>
                <w:color w:val="FFFFFF"/>
              </w:rPr>
            </w:pPr>
            <w:r w:rsidRPr="00CB6753">
              <w:rPr>
                <w:rFonts w:ascii="Times New Roman" w:hAnsi="Times New Roman"/>
                <w:b/>
                <w:bCs/>
                <w:color w:val="FFFFFF"/>
              </w:rPr>
              <w:t>Vplyvy na podnikateľské prostredie</w:t>
            </w:r>
          </w:p>
        </w:tc>
      </w:tr>
      <w:tr>
        <w:tblPrEx>
          <w:tblW w:w="9195" w:type="dxa"/>
          <w:tblInd w:w="55" w:type="dxa"/>
          <w:tblCellMar>
            <w:left w:w="70" w:type="dxa"/>
            <w:right w:w="70" w:type="dxa"/>
          </w:tblCellMar>
        </w:tblPrEx>
        <w:trPr>
          <w:trHeight w:val="4245"/>
        </w:trPr>
        <w:tc>
          <w:tcPr>
            <w:tcW w:w="4155" w:type="dxa"/>
            <w:tcBorders>
              <w:top w:val="single" w:sz="4" w:space="0" w:color="auto"/>
              <w:left w:val="single" w:sz="8" w:space="0" w:color="auto"/>
              <w:bottom w:val="single" w:sz="4" w:space="0" w:color="auto"/>
              <w:right w:val="single" w:sz="4" w:space="0" w:color="auto"/>
            </w:tcBorders>
            <w:noWrap/>
            <w:textDirection w:val="lrTb"/>
            <w:vAlign w:val="center"/>
          </w:tcPr>
          <w:p w:rsidR="006757B6" w:rsidRPr="00CB6753" w:rsidP="00603051">
            <w:pPr>
              <w:bidi w:val="0"/>
              <w:spacing w:after="0" w:line="240" w:lineRule="auto"/>
              <w:jc w:val="both"/>
              <w:rPr>
                <w:rFonts w:ascii="Times New Roman" w:hAnsi="Times New Roman"/>
              </w:rPr>
            </w:pPr>
          </w:p>
          <w:p w:rsidR="006757B6" w:rsidRPr="00CB6753" w:rsidP="00603051">
            <w:pPr>
              <w:bidi w:val="0"/>
              <w:spacing w:after="0" w:line="240" w:lineRule="auto"/>
              <w:rPr>
                <w:rFonts w:ascii="Times New Roman" w:hAnsi="Times New Roman"/>
              </w:rPr>
            </w:pPr>
            <w:r w:rsidRPr="00CB6753">
              <w:rPr>
                <w:rFonts w:ascii="Times New Roman" w:hAnsi="Times New Roman"/>
                <w:b/>
              </w:rPr>
              <w:t>3.1</w:t>
            </w:r>
            <w:r w:rsidRPr="00CB6753">
              <w:rPr>
                <w:rFonts w:ascii="Times New Roman" w:hAnsi="Times New Roman"/>
              </w:rPr>
              <w:t>. Ktoré podnikateľské subjekty budú predkladaným návrhom ovplyvnené a aký je ich počet?</w:t>
            </w:r>
          </w:p>
          <w:p w:rsidR="006757B6" w:rsidRPr="00CB6753" w:rsidP="00603051">
            <w:pPr>
              <w:bidi w:val="0"/>
              <w:spacing w:after="0" w:line="240" w:lineRule="auto"/>
              <w:jc w:val="both"/>
              <w:rPr>
                <w:rFonts w:ascii="Times New Roman" w:hAnsi="Times New Roman"/>
              </w:rPr>
            </w:pPr>
          </w:p>
        </w:tc>
        <w:tc>
          <w:tcPr>
            <w:tcW w:w="5040" w:type="dxa"/>
            <w:tcBorders>
              <w:top w:val="single" w:sz="4" w:space="0" w:color="auto"/>
              <w:left w:val="nil"/>
              <w:bottom w:val="single" w:sz="4" w:space="0" w:color="auto"/>
              <w:right w:val="single" w:sz="8" w:space="0" w:color="auto"/>
            </w:tcBorders>
            <w:noWrap/>
            <w:textDirection w:val="lrTb"/>
            <w:vAlign w:val="center"/>
          </w:tcPr>
          <w:p w:rsidR="006757B6" w:rsidRPr="00CB6753" w:rsidP="00603051">
            <w:pPr>
              <w:bidi w:val="0"/>
              <w:spacing w:after="0" w:line="240" w:lineRule="auto"/>
              <w:rPr>
                <w:rFonts w:ascii="Times New Roman" w:hAnsi="Times New Roman"/>
              </w:rPr>
            </w:pPr>
            <w:r w:rsidRPr="00CB6753">
              <w:rPr>
                <w:rFonts w:ascii="Times New Roman" w:hAnsi="Times New Roman"/>
              </w:rPr>
              <w:t>Predpokladá sa, že zmeny navrhované v novele zákona o DPH budú mať pozitívny aj negatívny vplyv na podnikateľské prostredie. Väčšina opatrení zameraná na boj proti daňovým podvodom a únikom je navrhnutá tak, aby predchádzala podvodným aktivitám, to znamená, že pre legálne podnikajúce subjekty nebude predstavovať administratívnu záťaž. Priamo dotknuté týmito opatreniami však budú tie subjekty, ktoré cielene využívajú legislatívne medzery v zákone o DPH, prípade zákon o DPH účelovo interpretujú. Takýchto osôb sa dotkne napríklad povinnosť zložiť zábezpeku na daň, ak sa stanú platiteľmi dane zo zákona, prípadne si zmenia typ registrácie pre daň a zároveň sa považujú za daňovo nespoľahlivých, keďže v minulosti pôsobili v postavení spoločníkov alebo konateľov obchodných spoločností s nedoplatkami na dani z pridanej hodnoty. Podobnú personálnu pôsobnosť má aj opatrenie týkajúce sa úmyselného zamieňania bežného režimu dane a osobitnej úpravy uplatnenia dane pri kúpe ojazdených motorových vozidiel z iných členských štátov, kedy osobitnú úpravu bude možné uplatniť len v prípade jej vysloveného označenia na faktúre, a takisto povinnosť pokračovať v úprave dane odpočítanej pri investičnom majetku u právnych nástupcov pôvodného vlastníka.</w:t>
            </w:r>
          </w:p>
          <w:p w:rsidR="006757B6" w:rsidRPr="00CB6753" w:rsidP="00603051">
            <w:pPr>
              <w:bidi w:val="0"/>
              <w:spacing w:after="0" w:line="240" w:lineRule="auto"/>
              <w:jc w:val="both"/>
              <w:rPr>
                <w:rFonts w:ascii="Times New Roman" w:hAnsi="Times New Roman"/>
              </w:rPr>
            </w:pPr>
          </w:p>
          <w:p w:rsidR="006757B6" w:rsidRPr="00CB6753" w:rsidP="00603051">
            <w:pPr>
              <w:bidi w:val="0"/>
              <w:spacing w:after="0" w:line="240" w:lineRule="auto"/>
              <w:rPr>
                <w:rFonts w:ascii="Times New Roman" w:hAnsi="Times New Roman"/>
              </w:rPr>
            </w:pPr>
            <w:r w:rsidRPr="00CB6753">
              <w:rPr>
                <w:rFonts w:ascii="Times New Roman" w:hAnsi="Times New Roman"/>
              </w:rPr>
              <w:t xml:space="preserve">Určitú administratívnu záťaž pre platiteľov dane (k 30.09.2012 bolo registrovaných 209 032 platiteľov dane) bude predstavovať kontrolný výkaz, ktorý sa bude ako zoznam údajov z prijatých a vydaných faktúr pri určitých transakciách predkladať v lehote na podávanie daňového priznania. Zásadným predpokladom jeho zavedenia je však elektronická komunikácia platiteľov dane s finančnými úradmi. S využitím už zabehnutých aplikácií v používaných účtovných softvéroch, ktoré bez väčších problémov dokážu exportovať údaje od platiteľa dane k finančnej správe, by predkladanie kontrolného výkazu pre platiteľov dane, ktorí uskutočnia určené dodania, nemalo byť neprimerane administratívne náročné.   </w:t>
            </w:r>
          </w:p>
          <w:p w:rsidR="006757B6" w:rsidRPr="00CB6753" w:rsidP="00603051">
            <w:pPr>
              <w:bidi w:val="0"/>
              <w:spacing w:after="0" w:line="240" w:lineRule="auto"/>
              <w:rPr>
                <w:rFonts w:ascii="Times New Roman" w:hAnsi="Times New Roman"/>
                <w:lang w:val="pt-BR"/>
              </w:rPr>
            </w:pPr>
            <w:r w:rsidRPr="00CB6753">
              <w:rPr>
                <w:rFonts w:ascii="Times New Roman" w:hAnsi="Times New Roman"/>
                <w:lang w:val="pt-BR"/>
              </w:rPr>
              <w:t>Pozitívny efekt zo zavedenia kontrolného výkazu je zrejmý: krížovou kontrolou údajov obchodujúcich platiteľov dane sa zlepší aj plnenie daňových povinností, eliminuje sa možnosť uskutočňovania rôznych dodatočných zásahov v účtovníctve, ako sú napr. nezaradené faktúry na výstupe, zmenený základ dane a daň u dodávateľa a odberateľa, dvakrát  uplatnené odpočítanie dane z rovnakej faktúry a podobne. Zlepšenie plnenia daňových povinností ovplyvní následne aj výber dane z pridanej hodnoty, čo rozhodne zlepší podnikateľské prostredie pre všetkých platiteľov dane.</w:t>
            </w:r>
          </w:p>
          <w:p w:rsidR="006757B6" w:rsidRPr="00CB6753" w:rsidP="00603051">
            <w:pPr>
              <w:bidi w:val="0"/>
              <w:spacing w:after="0" w:line="240" w:lineRule="auto"/>
              <w:jc w:val="both"/>
              <w:rPr>
                <w:rFonts w:ascii="Times New Roman" w:hAnsi="Times New Roman"/>
              </w:rPr>
            </w:pPr>
          </w:p>
        </w:tc>
      </w:tr>
      <w:tr>
        <w:tblPrEx>
          <w:tblW w:w="9195" w:type="dxa"/>
          <w:tblInd w:w="55" w:type="dxa"/>
          <w:tblCellMar>
            <w:left w:w="70" w:type="dxa"/>
            <w:right w:w="70" w:type="dxa"/>
          </w:tblCellMar>
        </w:tblPrEx>
        <w:trPr>
          <w:trHeight w:val="600"/>
        </w:trPr>
        <w:tc>
          <w:tcPr>
            <w:tcW w:w="4155" w:type="dxa"/>
            <w:tcBorders>
              <w:top w:val="single" w:sz="4" w:space="0" w:color="auto"/>
              <w:left w:val="single" w:sz="8" w:space="0" w:color="auto"/>
              <w:bottom w:val="single" w:sz="4" w:space="0" w:color="auto"/>
              <w:right w:val="single" w:sz="4" w:space="0" w:color="auto"/>
            </w:tcBorders>
            <w:noWrap/>
            <w:textDirection w:val="lrTb"/>
            <w:vAlign w:val="center"/>
          </w:tcPr>
          <w:p w:rsidR="006757B6" w:rsidRPr="00CB6753" w:rsidP="00603051">
            <w:pPr>
              <w:bidi w:val="0"/>
              <w:spacing w:after="0" w:line="240" w:lineRule="auto"/>
              <w:jc w:val="both"/>
              <w:rPr>
                <w:rFonts w:ascii="Times New Roman" w:hAnsi="Times New Roman"/>
              </w:rPr>
            </w:pPr>
          </w:p>
          <w:p w:rsidR="006757B6" w:rsidRPr="00CB6753" w:rsidP="00603051">
            <w:pPr>
              <w:bidi w:val="0"/>
              <w:spacing w:after="0" w:line="240" w:lineRule="auto"/>
              <w:jc w:val="both"/>
              <w:rPr>
                <w:rFonts w:ascii="Times New Roman" w:hAnsi="Times New Roman"/>
              </w:rPr>
            </w:pPr>
          </w:p>
          <w:p w:rsidR="006757B6" w:rsidRPr="00CB6753" w:rsidP="00603051">
            <w:pPr>
              <w:bidi w:val="0"/>
              <w:spacing w:after="0" w:line="240" w:lineRule="auto"/>
              <w:jc w:val="both"/>
              <w:rPr>
                <w:rFonts w:ascii="Times New Roman" w:hAnsi="Times New Roman"/>
              </w:rPr>
            </w:pPr>
          </w:p>
          <w:p w:rsidR="006757B6" w:rsidRPr="00CB6753" w:rsidP="00603051">
            <w:pPr>
              <w:bidi w:val="0"/>
              <w:spacing w:after="0" w:line="240" w:lineRule="auto"/>
              <w:jc w:val="both"/>
              <w:rPr>
                <w:rFonts w:ascii="Times New Roman" w:hAnsi="Times New Roman"/>
              </w:rPr>
            </w:pPr>
          </w:p>
          <w:p w:rsidR="006757B6" w:rsidRPr="00CB6753" w:rsidP="00603051">
            <w:pPr>
              <w:bidi w:val="0"/>
              <w:spacing w:after="0" w:line="240" w:lineRule="auto"/>
              <w:jc w:val="both"/>
              <w:rPr>
                <w:rFonts w:ascii="Times New Roman" w:hAnsi="Times New Roman"/>
              </w:rPr>
            </w:pPr>
          </w:p>
          <w:p w:rsidR="006757B6" w:rsidRPr="00CB6753" w:rsidP="00603051">
            <w:pPr>
              <w:bidi w:val="0"/>
              <w:spacing w:after="0" w:line="240" w:lineRule="auto"/>
              <w:jc w:val="both"/>
              <w:rPr>
                <w:rFonts w:ascii="Times New Roman" w:hAnsi="Times New Roman"/>
              </w:rPr>
            </w:pPr>
          </w:p>
          <w:p w:rsidR="006757B6" w:rsidRPr="00CB6753" w:rsidP="00603051">
            <w:pPr>
              <w:bidi w:val="0"/>
              <w:spacing w:after="0" w:line="240" w:lineRule="auto"/>
              <w:jc w:val="both"/>
              <w:rPr>
                <w:rFonts w:ascii="Times New Roman" w:hAnsi="Times New Roman"/>
              </w:rPr>
            </w:pPr>
          </w:p>
          <w:p w:rsidR="006757B6" w:rsidRPr="00CB6753" w:rsidP="00603051">
            <w:pPr>
              <w:bidi w:val="0"/>
              <w:spacing w:after="0" w:line="240" w:lineRule="auto"/>
              <w:jc w:val="both"/>
              <w:rPr>
                <w:rFonts w:ascii="Times New Roman" w:hAnsi="Times New Roman"/>
              </w:rPr>
            </w:pPr>
          </w:p>
          <w:p w:rsidR="006757B6" w:rsidRPr="00CB6753" w:rsidP="00603051">
            <w:pPr>
              <w:bidi w:val="0"/>
              <w:spacing w:after="0" w:line="240" w:lineRule="auto"/>
              <w:rPr>
                <w:rFonts w:ascii="Times New Roman" w:hAnsi="Times New Roman"/>
              </w:rPr>
            </w:pPr>
            <w:r w:rsidRPr="00CB6753">
              <w:rPr>
                <w:rFonts w:ascii="Times New Roman" w:hAnsi="Times New Roman"/>
                <w:b/>
              </w:rPr>
              <w:t>3.2</w:t>
            </w:r>
            <w:r w:rsidRPr="00CB6753">
              <w:rPr>
                <w:rFonts w:ascii="Times New Roman" w:hAnsi="Times New Roman"/>
              </w:rPr>
              <w:t>. Aký je predpokladaný charakter a rozsah nákladov a prínosov?</w:t>
            </w:r>
          </w:p>
          <w:p w:rsidR="006757B6" w:rsidRPr="00CB6753" w:rsidP="00603051">
            <w:pPr>
              <w:bidi w:val="0"/>
              <w:spacing w:after="0" w:line="240" w:lineRule="auto"/>
              <w:jc w:val="both"/>
              <w:rPr>
                <w:rFonts w:ascii="Times New Roman" w:hAnsi="Times New Roman"/>
              </w:rPr>
            </w:pPr>
          </w:p>
        </w:tc>
        <w:tc>
          <w:tcPr>
            <w:tcW w:w="5040" w:type="dxa"/>
            <w:tcBorders>
              <w:top w:val="single" w:sz="4" w:space="0" w:color="auto"/>
              <w:left w:val="nil"/>
              <w:bottom w:val="single" w:sz="4" w:space="0" w:color="auto"/>
              <w:right w:val="single" w:sz="8" w:space="0" w:color="auto"/>
            </w:tcBorders>
            <w:noWrap/>
            <w:textDirection w:val="lrTb"/>
            <w:vAlign w:val="center"/>
          </w:tcPr>
          <w:p w:rsidR="006757B6" w:rsidRPr="00CB6753" w:rsidP="00603051">
            <w:pPr>
              <w:bidi w:val="0"/>
              <w:spacing w:after="0" w:line="240" w:lineRule="auto"/>
              <w:rPr>
                <w:rFonts w:ascii="Times New Roman" w:hAnsi="Times New Roman"/>
                <w:lang w:val="pt-BR"/>
              </w:rPr>
            </w:pPr>
            <w:r w:rsidRPr="00CB6753">
              <w:rPr>
                <w:rFonts w:ascii="Times New Roman" w:hAnsi="Times New Roman"/>
                <w:lang w:val="pt-BR"/>
              </w:rPr>
              <w:t xml:space="preserve">Je možné predpokladať, že zavedenie povinnosti predkladať kontrolný výkaz elektronickou formou môže byť pre niektorých platiteľov dane jednorázovým priamym finančným výdavkom, keďže bude potrebné používaný účtovný softvér doplniť aj o novú funkcionalitu. Keďže podmienkou zavedenia kontrolného výkazu je elektronická komunikácia platiteľa dane s finančnou správou, ktorej účinnosť je plánovaná k 1.1.2014, je obstaranie takejto funkcionality v rámci širšej prípravy na plnú elektronickú komunikáciu s finančnou správou nevyhnutnosťou každého platiteľa dane. Takisto je potrebné uviesť, že k minimalizácii nákladov môže pozitívne prispieť aj dostatočne dlhá legisvakančná doba a úzka spolupráca finančnej správy so spoločnosťami vyvíjajúcimi účtovné softvéry, ktoré zabezpečia priamo v účtovných programoch vytvorenie takejto aplikácie. </w:t>
            </w:r>
          </w:p>
          <w:p w:rsidR="006757B6" w:rsidRPr="00CB6753" w:rsidP="00603051">
            <w:pPr>
              <w:bidi w:val="0"/>
              <w:spacing w:after="0" w:line="240" w:lineRule="auto"/>
              <w:rPr>
                <w:rFonts w:ascii="Times New Roman" w:hAnsi="Times New Roman"/>
                <w:lang w:val="pt-BR"/>
              </w:rPr>
            </w:pPr>
            <w:r w:rsidRPr="00CB6753">
              <w:rPr>
                <w:rFonts w:ascii="Times New Roman" w:hAnsi="Times New Roman"/>
                <w:lang w:val="pt-BR"/>
              </w:rPr>
              <w:t xml:space="preserve">Očakávaný prínosom navrhovaných opatrení, ktoré sa vo veľkej miere zameriavajú na boj proti daňovým podvodom a únikom, je najmä zlepšenie výberu dane z pridanej hodnoty, ktorý sa pretaví do vyšších príjmov štátneho rozpočtu. Keďže daň z pridanej hodnoty tvorí najväčší daňový príjem do štátneho rozpočtu, je spoločenský prínos novely zákona o DPH veľký. Opatreniami, zameranými na registráciu (rozšírenie povinnosti skladať zábezpeku pre daň pri zmene typu registrácie, prípadne pri registráciach zo zákona), zrušenie registrácie (úprava postupu pri zrušení registrácie podľa § 7 a 7a zákona o DPH), a opatreniami počas platnosti IČ DPH zameranými na transakcie smerujúce k vyhýbaniu sa daňovej povinnosti, sa zabezpečí dohľad nad platiteľmi dane. Znížený počet registrovaných platiteľov dane, kontrola ich obchodnej činnosti prostredníctvom kontroly údajov v kontrolných výkazov a eliminácia možnosti vyhnúť sa daňovej povinnosti v konečnom dôsledku zlepšia  podnikateľské prostredie. </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6757B6" w:rsidRPr="00CB6753" w:rsidP="00603051">
            <w:pPr>
              <w:bidi w:val="0"/>
              <w:spacing w:after="0" w:line="240" w:lineRule="auto"/>
              <w:rPr>
                <w:rFonts w:ascii="Times New Roman" w:hAnsi="Times New Roman"/>
              </w:rPr>
            </w:pPr>
            <w:r w:rsidRPr="00CB6753">
              <w:rPr>
                <w:rFonts w:ascii="Times New Roman" w:hAnsi="Times New Roman"/>
                <w:b/>
              </w:rPr>
              <w:t>3.3</w:t>
            </w:r>
            <w:r w:rsidRPr="00CB6753">
              <w:rPr>
                <w:rFonts w:ascii="Times New Roman" w:hAnsi="Times New Roman"/>
              </w:rPr>
              <w:t>. Aká je predpokladaná výška administratívnych nákladov, ktoré podniky vynaložia v súvislosti s implementáciou návrhu?</w:t>
            </w:r>
          </w:p>
        </w:tc>
        <w:tc>
          <w:tcPr>
            <w:tcW w:w="5040" w:type="dxa"/>
            <w:tcBorders>
              <w:top w:val="nil"/>
              <w:left w:val="nil"/>
              <w:bottom w:val="single" w:sz="4" w:space="0" w:color="auto"/>
              <w:right w:val="single" w:sz="8" w:space="0" w:color="auto"/>
            </w:tcBorders>
            <w:noWrap/>
            <w:textDirection w:val="lrTb"/>
            <w:vAlign w:val="center"/>
          </w:tcPr>
          <w:p w:rsidR="006757B6" w:rsidRPr="00CB6753" w:rsidP="00603051">
            <w:pPr>
              <w:bidi w:val="0"/>
              <w:spacing w:after="0" w:line="240" w:lineRule="auto"/>
              <w:rPr>
                <w:rFonts w:ascii="Times New Roman" w:hAnsi="Times New Roman"/>
              </w:rPr>
            </w:pPr>
            <w:r w:rsidRPr="00CB6753">
              <w:rPr>
                <w:rFonts w:ascii="Times New Roman" w:hAnsi="Times New Roman"/>
              </w:rPr>
              <w:t>Je možné predpokladať určité zvýšenie administratívnych nákladov, ktoré však nie je možné kvantifikovať.</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textDirection w:val="lrTb"/>
            <w:vAlign w:val="center"/>
          </w:tcPr>
          <w:p w:rsidR="006757B6" w:rsidRPr="00CB6753" w:rsidP="00603051">
            <w:pPr>
              <w:bidi w:val="0"/>
              <w:spacing w:after="0" w:line="240" w:lineRule="auto"/>
              <w:jc w:val="both"/>
              <w:rPr>
                <w:rFonts w:ascii="Times New Roman" w:hAnsi="Times New Roman"/>
                <w:b/>
              </w:rPr>
            </w:pPr>
          </w:p>
          <w:p w:rsidR="006757B6" w:rsidRPr="00CB6753" w:rsidP="00603051">
            <w:pPr>
              <w:bidi w:val="0"/>
              <w:spacing w:after="0" w:line="240" w:lineRule="auto"/>
              <w:rPr>
                <w:rFonts w:ascii="Times New Roman" w:hAnsi="Times New Roman"/>
              </w:rPr>
            </w:pPr>
            <w:r w:rsidRPr="00CB6753">
              <w:rPr>
                <w:rFonts w:ascii="Times New Roman" w:hAnsi="Times New Roman"/>
                <w:b/>
              </w:rPr>
              <w:t>3.4</w:t>
            </w:r>
            <w:r w:rsidRPr="00CB6753">
              <w:rPr>
                <w:rFonts w:ascii="Times New Roman" w:hAnsi="Times New Roman"/>
              </w:rPr>
              <w:t>. Aké sú dôsledky pripravovaného návrhu pre fungovanie podnikateľských subjektov na slovenskom trhu (ako sa zmenia operácie na trhu?)</w:t>
            </w:r>
          </w:p>
          <w:p w:rsidR="006757B6" w:rsidRPr="00CB6753" w:rsidP="00603051">
            <w:pPr>
              <w:bidi w:val="0"/>
              <w:spacing w:after="0" w:line="240" w:lineRule="auto"/>
              <w:jc w:val="both"/>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tcPr>
          <w:p w:rsidR="006757B6" w:rsidRPr="00CB6753" w:rsidP="00603051">
            <w:pPr>
              <w:bidi w:val="0"/>
              <w:spacing w:after="0" w:line="240" w:lineRule="auto"/>
              <w:rPr>
                <w:rFonts w:ascii="Times New Roman" w:hAnsi="Times New Roman"/>
              </w:rPr>
            </w:pPr>
            <w:r w:rsidRPr="00CB6753">
              <w:rPr>
                <w:rFonts w:ascii="Times New Roman" w:hAnsi="Times New Roman"/>
              </w:rPr>
              <w:t>Cieľom navrhovaných opatrení je sťažiť možnosti obchádzania zákona o DPH pre neserióznych platiteľov dane, ktorí páchaním daňových podvodov a únikov získavajú neoprávnenú hospodársku výhodu oproti poctivým podnikateľom obchodujúcim v tom istom segmente trhu. Dôsledným uplatnením týchto opatrení by sa mali eliminovať podvodné aktivity a podporiť zdravé podnikateľské prostredie s riadnou hospodárskou súťažou.</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6757B6" w:rsidRPr="00CB6753" w:rsidP="00603051">
            <w:pPr>
              <w:bidi w:val="0"/>
              <w:spacing w:after="0" w:line="240" w:lineRule="auto"/>
              <w:jc w:val="both"/>
              <w:rPr>
                <w:rFonts w:ascii="Times New Roman" w:hAnsi="Times New Roman"/>
                <w:b/>
              </w:rPr>
            </w:pPr>
          </w:p>
          <w:p w:rsidR="006757B6" w:rsidRPr="00CB6753" w:rsidP="00603051">
            <w:pPr>
              <w:bidi w:val="0"/>
              <w:spacing w:after="0" w:line="240" w:lineRule="auto"/>
              <w:rPr>
                <w:rFonts w:ascii="Times New Roman" w:hAnsi="Times New Roman"/>
              </w:rPr>
            </w:pPr>
            <w:r w:rsidRPr="00CB6753">
              <w:rPr>
                <w:rFonts w:ascii="Times New Roman" w:hAnsi="Times New Roman"/>
                <w:b/>
              </w:rPr>
              <w:t>3.5</w:t>
            </w:r>
            <w:r w:rsidRPr="00CB6753">
              <w:rPr>
                <w:rFonts w:ascii="Times New Roman" w:hAnsi="Times New Roman"/>
              </w:rPr>
              <w:t>. Aké sú predpokladané spoločensko–ekonomické dôsledky pripravovaných regulácií?</w:t>
            </w:r>
          </w:p>
          <w:p w:rsidR="006757B6" w:rsidRPr="00CB6753" w:rsidP="00603051">
            <w:pPr>
              <w:bidi w:val="0"/>
              <w:spacing w:after="0" w:line="240" w:lineRule="auto"/>
              <w:jc w:val="both"/>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tcPr>
          <w:p w:rsidR="006757B6" w:rsidRPr="00CB6753" w:rsidP="00603051">
            <w:pPr>
              <w:bidi w:val="0"/>
              <w:spacing w:after="0" w:line="240" w:lineRule="auto"/>
              <w:rPr>
                <w:rFonts w:ascii="Times New Roman" w:hAnsi="Times New Roman"/>
              </w:rPr>
            </w:pPr>
            <w:r w:rsidRPr="00CB6753">
              <w:rPr>
                <w:rFonts w:ascii="Times New Roman" w:hAnsi="Times New Roman"/>
              </w:rPr>
              <w:t xml:space="preserve">Vplyvom zavedenia opatrení v novele zákona o DPH sa očakáva zlepšenie plnenia daňových povinností platiteľov dane, zvýšenie príjmov štátneho rozpočtu a celkové ozdravenie podnikateľského prostredia. </w:t>
            </w:r>
          </w:p>
        </w:tc>
      </w:tr>
    </w:tbl>
    <w:p w:rsidR="006757B6" w:rsidRPr="00CB6753" w:rsidP="006757B6">
      <w:pPr>
        <w:bidi w:val="0"/>
        <w:rPr>
          <w:rFonts w:ascii="Times New Roman" w:hAnsi="Times New Roman"/>
        </w:rPr>
      </w:pPr>
    </w:p>
    <w:p w:rsidR="006757B6" w:rsidRPr="00CB6753" w:rsidP="006757B6">
      <w:pPr>
        <w:bidi w:val="0"/>
        <w:rPr>
          <w:rFonts w:ascii="Times New Roman" w:hAnsi="Times New Roman"/>
        </w:rPr>
      </w:pPr>
    </w:p>
    <w:p w:rsidR="006757B6" w:rsidRPr="00CB6753" w:rsidP="006757B6">
      <w:pPr>
        <w:pStyle w:val="NormalWeb"/>
        <w:bidi w:val="0"/>
        <w:spacing w:before="0" w:after="0"/>
        <w:ind w:left="0"/>
        <w:jc w:val="center"/>
        <w:rPr>
          <w:rFonts w:ascii="Times New Roman" w:hAnsi="Times New Roman"/>
          <w:b/>
          <w:bCs/>
        </w:rPr>
      </w:pPr>
      <w:r w:rsidRPr="00CB6753">
        <w:rPr>
          <w:rFonts w:ascii="Times New Roman" w:hAnsi="Times New Roman"/>
          <w:b/>
          <w:bCs/>
        </w:rPr>
        <w:t>Vplyvy na informatizáciu spoločnosti</w:t>
      </w:r>
    </w:p>
    <w:p w:rsidR="006757B6" w:rsidRPr="00CB6753" w:rsidP="006757B6">
      <w:pPr>
        <w:pStyle w:val="NormalWeb"/>
        <w:bidi w:val="0"/>
        <w:spacing w:before="0" w:after="0"/>
        <w:ind w:left="0"/>
        <w:jc w:val="both"/>
        <w:rPr>
          <w:rFonts w:ascii="Times New Roman" w:hAnsi="Times New Roman"/>
          <w:bCs/>
        </w:rPr>
      </w:pPr>
    </w:p>
    <w:tbl>
      <w:tblPr>
        <w:tblStyle w:val="TableNormal"/>
        <w:tblW w:w="922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Pr>
      <w:tblGrid>
        <w:gridCol w:w="5235"/>
        <w:gridCol w:w="3994"/>
      </w:tblGrid>
      <w:tr>
        <w:tblPrEx>
          <w:tblW w:w="922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6757B6" w:rsidRPr="00CB6753" w:rsidP="00603051">
            <w:pPr>
              <w:bidi w:val="0"/>
              <w:spacing w:after="0" w:line="240" w:lineRule="auto"/>
              <w:jc w:val="both"/>
              <w:rPr>
                <w:rFonts w:ascii="Times New Roman" w:hAnsi="Times New Roman"/>
                <w:b/>
              </w:rPr>
            </w:pPr>
            <w:r w:rsidRPr="00CB6753">
              <w:rPr>
                <w:rFonts w:ascii="Times New Roman" w:hAnsi="Times New Roman"/>
                <w:b/>
              </w:rPr>
              <w:t>Budovanie základných pilierov informatizácie</w:t>
            </w:r>
          </w:p>
        </w:tc>
        <w:tc>
          <w:tcPr>
            <w:tcW w:w="3994"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6757B6" w:rsidRPr="00CB6753" w:rsidP="00603051">
            <w:pPr>
              <w:bidi w:val="0"/>
              <w:spacing w:after="0" w:line="240" w:lineRule="auto"/>
              <w:rPr>
                <w:rFonts w:ascii="Times New Roman" w:hAnsi="Times New Roman"/>
                <w:b/>
                <w:i/>
                <w:iCs/>
              </w:rPr>
            </w:pPr>
          </w:p>
        </w:tc>
      </w:tr>
      <w:tr>
        <w:tblPrEx>
          <w:tblW w:w="9229"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6757B6" w:rsidRPr="00CB6753" w:rsidP="00603051">
            <w:pPr>
              <w:bidi w:val="0"/>
              <w:spacing w:after="0" w:line="240" w:lineRule="auto"/>
              <w:jc w:val="both"/>
              <w:rPr>
                <w:rFonts w:ascii="Times New Roman" w:hAnsi="Times New Roman"/>
                <w:b/>
              </w:rPr>
            </w:pPr>
            <w:r w:rsidRPr="00CB6753">
              <w:rPr>
                <w:rFonts w:ascii="Times New Roman" w:hAnsi="Times New Roman"/>
                <w:b/>
              </w:rPr>
              <w:t>Obsah</w:t>
            </w:r>
          </w:p>
        </w:tc>
        <w:tc>
          <w:tcPr>
            <w:tcW w:w="3994"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6757B6" w:rsidRPr="00CB6753" w:rsidP="00603051">
            <w:pPr>
              <w:bidi w:val="0"/>
              <w:spacing w:after="0" w:line="240" w:lineRule="auto"/>
              <w:rPr>
                <w:rFonts w:ascii="Times New Roman" w:hAnsi="Times New Roman"/>
                <w:i/>
                <w:iCs/>
              </w:rPr>
            </w:pPr>
          </w:p>
        </w:tc>
      </w:tr>
      <w:tr>
        <w:tblPrEx>
          <w:tblW w:w="9229"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6757B6" w:rsidRPr="00CB6753" w:rsidP="00603051">
            <w:pPr>
              <w:bidi w:val="0"/>
              <w:spacing w:after="0" w:line="240" w:lineRule="auto"/>
              <w:rPr>
                <w:rFonts w:ascii="Times New Roman" w:hAnsi="Times New Roman"/>
              </w:rPr>
            </w:pPr>
            <w:r w:rsidRPr="00CB6753">
              <w:rPr>
                <w:rFonts w:ascii="Times New Roman" w:hAnsi="Times New Roman"/>
                <w:b/>
              </w:rPr>
              <w:t>6.1.</w:t>
            </w:r>
            <w:r w:rsidRPr="00CB6753">
              <w:rPr>
                <w:rFonts w:ascii="Times New Roman" w:hAnsi="Times New Roman"/>
              </w:rPr>
              <w:t xml:space="preserve"> Rozširujú alebo inovujú  sa existujúce alebo vytvárajú sa či zavádzajú  sa nové elektronické služby?</w:t>
            </w:r>
          </w:p>
          <w:p w:rsidR="006757B6" w:rsidRPr="00CB6753" w:rsidP="00603051">
            <w:pPr>
              <w:bidi w:val="0"/>
              <w:spacing w:after="0" w:line="240" w:lineRule="auto"/>
              <w:jc w:val="both"/>
              <w:rPr>
                <w:rFonts w:ascii="Times New Roman" w:hAnsi="Times New Roman"/>
              </w:rPr>
            </w:pPr>
            <w:r w:rsidRPr="00CB6753">
              <w:rPr>
                <w:rFonts w:ascii="Times New Roman" w:hAnsi="Times New Roman"/>
                <w:i/>
                <w:iCs/>
              </w:rPr>
              <w:t>(Popíšte ich funkciu a úroveň poskytovania.)</w:t>
            </w:r>
          </w:p>
        </w:tc>
        <w:tc>
          <w:tcPr>
            <w:tcW w:w="3994" w:type="dxa"/>
            <w:tcBorders>
              <w:top w:val="single" w:sz="4" w:space="0" w:color="auto"/>
              <w:left w:val="single" w:sz="4" w:space="0" w:color="auto"/>
              <w:bottom w:val="single" w:sz="4" w:space="0" w:color="auto"/>
              <w:right w:val="single" w:sz="4" w:space="0" w:color="auto"/>
            </w:tcBorders>
            <w:textDirection w:val="lrTb"/>
            <w:vAlign w:val="top"/>
          </w:tcPr>
          <w:p w:rsidR="006757B6" w:rsidRPr="00CB6753" w:rsidP="00603051">
            <w:pPr>
              <w:bidi w:val="0"/>
              <w:spacing w:after="0" w:line="240" w:lineRule="auto"/>
              <w:jc w:val="both"/>
              <w:rPr>
                <w:rFonts w:ascii="Times New Roman" w:hAnsi="Times New Roman"/>
                <w:iCs/>
              </w:rPr>
            </w:pPr>
          </w:p>
        </w:tc>
      </w:tr>
      <w:tr>
        <w:tblPrEx>
          <w:tblW w:w="9229"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6757B6" w:rsidRPr="00CB6753" w:rsidP="00603051">
            <w:pPr>
              <w:bidi w:val="0"/>
              <w:spacing w:after="0" w:line="240" w:lineRule="auto"/>
              <w:rPr>
                <w:rFonts w:ascii="Times New Roman" w:hAnsi="Times New Roman"/>
              </w:rPr>
            </w:pPr>
            <w:r w:rsidRPr="00CB6753">
              <w:rPr>
                <w:rFonts w:ascii="Times New Roman" w:hAnsi="Times New Roman"/>
                <w:b/>
              </w:rPr>
              <w:t>6.2.</w:t>
            </w:r>
            <w:r w:rsidRPr="00CB6753">
              <w:rPr>
                <w:rFonts w:ascii="Times New Roman" w:hAnsi="Times New Roman"/>
              </w:rPr>
              <w:t xml:space="preserve"> Vytvárajú sa podmienky pre sémantickú interoperabilitu?</w:t>
            </w:r>
          </w:p>
          <w:p w:rsidR="006757B6" w:rsidRPr="00CB6753" w:rsidP="00603051">
            <w:pPr>
              <w:bidi w:val="0"/>
              <w:spacing w:after="0" w:line="240" w:lineRule="auto"/>
              <w:jc w:val="both"/>
              <w:rPr>
                <w:rFonts w:ascii="Times New Roman" w:hAnsi="Times New Roman"/>
              </w:rPr>
            </w:pPr>
            <w:r w:rsidRPr="00CB6753">
              <w:rPr>
                <w:rFonts w:ascii="Times New Roman" w:hAnsi="Times New Roman"/>
                <w:i/>
                <w:iCs/>
              </w:rPr>
              <w:t>(Popíšte spôsob jej zabezpečenia.)</w:t>
            </w:r>
          </w:p>
        </w:tc>
        <w:tc>
          <w:tcPr>
            <w:tcW w:w="3994" w:type="dxa"/>
            <w:tcBorders>
              <w:top w:val="single" w:sz="4" w:space="0" w:color="auto"/>
              <w:left w:val="single" w:sz="4" w:space="0" w:color="auto"/>
              <w:bottom w:val="single" w:sz="4" w:space="0" w:color="auto"/>
              <w:right w:val="single" w:sz="4" w:space="0" w:color="auto"/>
            </w:tcBorders>
            <w:textDirection w:val="lrTb"/>
            <w:vAlign w:val="top"/>
          </w:tcPr>
          <w:p w:rsidR="006757B6" w:rsidRPr="00CB6753" w:rsidP="00603051">
            <w:pPr>
              <w:bidi w:val="0"/>
              <w:spacing w:after="0" w:line="240" w:lineRule="auto"/>
              <w:jc w:val="center"/>
              <w:rPr>
                <w:rFonts w:ascii="Times New Roman" w:hAnsi="Times New Roman"/>
                <w:i/>
                <w:iCs/>
              </w:rPr>
            </w:pPr>
          </w:p>
        </w:tc>
      </w:tr>
      <w:tr>
        <w:tblPrEx>
          <w:tblW w:w="9229"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6757B6" w:rsidRPr="00CB6753" w:rsidP="00603051">
            <w:pPr>
              <w:bidi w:val="0"/>
              <w:spacing w:after="0" w:line="240" w:lineRule="auto"/>
              <w:jc w:val="both"/>
              <w:rPr>
                <w:rFonts w:ascii="Times New Roman" w:hAnsi="Times New Roman"/>
                <w:b/>
                <w:color w:val="FFFFFF"/>
              </w:rPr>
            </w:pPr>
            <w:r w:rsidRPr="00CB6753">
              <w:rPr>
                <w:rFonts w:ascii="Times New Roman" w:hAnsi="Times New Roman"/>
                <w:b/>
              </w:rPr>
              <w:t>Ľudia</w:t>
            </w:r>
          </w:p>
        </w:tc>
        <w:tc>
          <w:tcPr>
            <w:tcW w:w="3994"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6757B6" w:rsidRPr="00CB6753" w:rsidP="00603051">
            <w:pPr>
              <w:bidi w:val="0"/>
              <w:spacing w:after="0" w:line="240" w:lineRule="auto"/>
              <w:rPr>
                <w:rFonts w:ascii="Times New Roman" w:hAnsi="Times New Roman"/>
                <w:b/>
                <w:i/>
                <w:iCs/>
              </w:rPr>
            </w:pPr>
          </w:p>
        </w:tc>
      </w:tr>
      <w:tr>
        <w:tblPrEx>
          <w:tblW w:w="9229"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6757B6" w:rsidRPr="00CB6753" w:rsidP="00603051">
            <w:pPr>
              <w:bidi w:val="0"/>
              <w:spacing w:after="0" w:line="240" w:lineRule="auto"/>
              <w:rPr>
                <w:rFonts w:ascii="Times New Roman" w:hAnsi="Times New Roman"/>
              </w:rPr>
            </w:pPr>
            <w:r w:rsidRPr="00CB6753">
              <w:rPr>
                <w:rFonts w:ascii="Times New Roman" w:hAnsi="Times New Roman"/>
                <w:b/>
              </w:rPr>
              <w:t>6.3.</w:t>
            </w:r>
            <w:r w:rsidRPr="00CB6753">
              <w:rPr>
                <w:rFonts w:ascii="Times New Roman" w:hAnsi="Times New Roman"/>
              </w:rPr>
              <w:t xml:space="preserve"> Zabezpečuje sa vzdelávanie v oblasti počítačovej gramotnosti a rozširovanie vedomostí o IKT?</w:t>
            </w:r>
          </w:p>
          <w:p w:rsidR="006757B6" w:rsidRPr="00CB6753" w:rsidP="00603051">
            <w:pPr>
              <w:bidi w:val="0"/>
              <w:spacing w:after="0" w:line="240" w:lineRule="auto"/>
              <w:jc w:val="both"/>
              <w:rPr>
                <w:rFonts w:ascii="Times New Roman" w:hAnsi="Times New Roman"/>
              </w:rPr>
            </w:pPr>
            <w:r w:rsidRPr="00CB6753">
              <w:rPr>
                <w:rFonts w:ascii="Times New Roman" w:hAnsi="Times New Roman"/>
                <w:i/>
                <w:iCs/>
              </w:rPr>
              <w:t>(Uveďte spôsob, napr. projekty, školenia.)</w:t>
            </w:r>
          </w:p>
        </w:tc>
        <w:tc>
          <w:tcPr>
            <w:tcW w:w="3994" w:type="dxa"/>
            <w:tcBorders>
              <w:top w:val="single" w:sz="4" w:space="0" w:color="auto"/>
              <w:left w:val="single" w:sz="4" w:space="0" w:color="auto"/>
              <w:bottom w:val="single" w:sz="4" w:space="0" w:color="auto"/>
              <w:right w:val="single" w:sz="4" w:space="0" w:color="auto"/>
            </w:tcBorders>
            <w:textDirection w:val="lrTb"/>
            <w:vAlign w:val="center"/>
          </w:tcPr>
          <w:p w:rsidR="006757B6" w:rsidRPr="00CB6753" w:rsidP="00603051">
            <w:pPr>
              <w:bidi w:val="0"/>
              <w:spacing w:after="0" w:line="240" w:lineRule="auto"/>
              <w:rPr>
                <w:rFonts w:ascii="Times New Roman" w:hAnsi="Times New Roman"/>
                <w:i/>
                <w:iCs/>
              </w:rPr>
            </w:pPr>
          </w:p>
        </w:tc>
      </w:tr>
      <w:tr>
        <w:tblPrEx>
          <w:tblW w:w="9229"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6757B6" w:rsidRPr="00CB6753" w:rsidP="00603051">
            <w:pPr>
              <w:bidi w:val="0"/>
              <w:spacing w:after="0" w:line="240" w:lineRule="auto"/>
              <w:rPr>
                <w:rFonts w:ascii="Times New Roman" w:hAnsi="Times New Roman"/>
              </w:rPr>
            </w:pPr>
            <w:r w:rsidRPr="00CB6753">
              <w:rPr>
                <w:rFonts w:ascii="Times New Roman" w:hAnsi="Times New Roman"/>
                <w:b/>
              </w:rPr>
              <w:t>6.4.</w:t>
            </w:r>
            <w:r w:rsidRPr="00CB6753">
              <w:rPr>
                <w:rFonts w:ascii="Times New Roman" w:hAnsi="Times New Roman"/>
              </w:rPr>
              <w:t xml:space="preserve"> Zabezpečuje sa rozvoj elektronického vzdelávania?</w:t>
            </w:r>
          </w:p>
          <w:p w:rsidR="006757B6" w:rsidRPr="00CB6753" w:rsidP="00603051">
            <w:pPr>
              <w:bidi w:val="0"/>
              <w:spacing w:after="0" w:line="240" w:lineRule="auto"/>
              <w:jc w:val="both"/>
              <w:rPr>
                <w:rFonts w:ascii="Times New Roman" w:hAnsi="Times New Roman"/>
                <w:color w:val="FFFFFF"/>
              </w:rPr>
            </w:pPr>
            <w:r w:rsidRPr="00CB6753">
              <w:rPr>
                <w:rFonts w:ascii="Times New Roman" w:hAnsi="Times New Roman"/>
                <w:i/>
                <w:iCs/>
              </w:rPr>
              <w:t>(Uveďte typ a spôsob zabezpečenia vzdelávacích aktivít.)</w:t>
            </w:r>
          </w:p>
        </w:tc>
        <w:tc>
          <w:tcPr>
            <w:tcW w:w="3994" w:type="dxa"/>
            <w:tcBorders>
              <w:top w:val="single" w:sz="4" w:space="0" w:color="auto"/>
              <w:left w:val="single" w:sz="4" w:space="0" w:color="auto"/>
              <w:bottom w:val="single" w:sz="4" w:space="0" w:color="auto"/>
              <w:right w:val="single" w:sz="4" w:space="0" w:color="auto"/>
            </w:tcBorders>
            <w:textDirection w:val="lrTb"/>
            <w:vAlign w:val="top"/>
          </w:tcPr>
          <w:p w:rsidR="006757B6" w:rsidRPr="00CB6753" w:rsidP="00603051">
            <w:pPr>
              <w:bidi w:val="0"/>
              <w:spacing w:after="0" w:line="240" w:lineRule="auto"/>
              <w:rPr>
                <w:rFonts w:ascii="Times New Roman" w:hAnsi="Times New Roman"/>
                <w:i/>
                <w:iCs/>
              </w:rPr>
            </w:pPr>
          </w:p>
        </w:tc>
      </w:tr>
      <w:tr>
        <w:tblPrEx>
          <w:tblW w:w="9229"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6757B6" w:rsidRPr="00CB6753" w:rsidP="00603051">
            <w:pPr>
              <w:bidi w:val="0"/>
              <w:spacing w:after="0" w:line="240" w:lineRule="auto"/>
              <w:rPr>
                <w:rFonts w:ascii="Times New Roman" w:hAnsi="Times New Roman"/>
              </w:rPr>
            </w:pPr>
            <w:r w:rsidRPr="00CB6753">
              <w:rPr>
                <w:rFonts w:ascii="Times New Roman" w:hAnsi="Times New Roman"/>
                <w:b/>
              </w:rPr>
              <w:t>6.5.</w:t>
            </w:r>
            <w:r w:rsidRPr="00CB6753">
              <w:rPr>
                <w:rFonts w:ascii="Times New Roman" w:hAnsi="Times New Roman"/>
              </w:rPr>
              <w:t xml:space="preserve"> Zabezpečuje sa podporná a propagačná aktivita zameraná na zvyšovanie povedomia o informatizácii a IKT?</w:t>
            </w:r>
          </w:p>
          <w:p w:rsidR="006757B6" w:rsidRPr="00CB6753" w:rsidP="00603051">
            <w:pPr>
              <w:bidi w:val="0"/>
              <w:spacing w:after="0" w:line="240" w:lineRule="auto"/>
              <w:jc w:val="both"/>
              <w:rPr>
                <w:rFonts w:ascii="Times New Roman" w:hAnsi="Times New Roman"/>
                <w:color w:val="FFFFFF"/>
              </w:rPr>
            </w:pPr>
            <w:r w:rsidRPr="00CB6753">
              <w:rPr>
                <w:rFonts w:ascii="Times New Roman" w:hAnsi="Times New Roman"/>
                <w:i/>
                <w:iCs/>
              </w:rPr>
              <w:t>(Uveďte typ a spôsob zabezpečenia propagačných aktivít.)</w:t>
            </w:r>
          </w:p>
        </w:tc>
        <w:tc>
          <w:tcPr>
            <w:tcW w:w="3994" w:type="dxa"/>
            <w:tcBorders>
              <w:top w:val="single" w:sz="4" w:space="0" w:color="auto"/>
              <w:left w:val="single" w:sz="4" w:space="0" w:color="auto"/>
              <w:bottom w:val="single" w:sz="4" w:space="0" w:color="auto"/>
              <w:right w:val="single" w:sz="4" w:space="0" w:color="auto"/>
            </w:tcBorders>
            <w:textDirection w:val="lrTb"/>
            <w:vAlign w:val="top"/>
          </w:tcPr>
          <w:p w:rsidR="006757B6" w:rsidRPr="00CB6753" w:rsidP="00603051">
            <w:pPr>
              <w:bidi w:val="0"/>
              <w:spacing w:after="0" w:line="240" w:lineRule="auto"/>
              <w:rPr>
                <w:rFonts w:ascii="Times New Roman" w:hAnsi="Times New Roman"/>
                <w:i/>
                <w:iCs/>
              </w:rPr>
            </w:pPr>
          </w:p>
        </w:tc>
      </w:tr>
      <w:tr>
        <w:tblPrEx>
          <w:tblW w:w="9229"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6757B6" w:rsidRPr="00CB6753" w:rsidP="00603051">
            <w:pPr>
              <w:bidi w:val="0"/>
              <w:spacing w:after="0" w:line="240" w:lineRule="auto"/>
              <w:rPr>
                <w:rFonts w:ascii="Times New Roman" w:hAnsi="Times New Roman"/>
              </w:rPr>
            </w:pPr>
            <w:r w:rsidRPr="00CB6753">
              <w:rPr>
                <w:rFonts w:ascii="Times New Roman" w:hAnsi="Times New Roman"/>
                <w:b/>
              </w:rPr>
              <w:t>6.6.</w:t>
            </w:r>
            <w:r w:rsidRPr="00CB6753">
              <w:rPr>
                <w:rFonts w:ascii="Times New Roman" w:hAnsi="Times New Roman"/>
              </w:rPr>
              <w:t xml:space="preserve"> Zabezpečuje/zohľadňuje/zlepšuje sa prístup znevýhodnených osôb k službám informačnej spoločnosti?</w:t>
            </w:r>
          </w:p>
          <w:p w:rsidR="006757B6" w:rsidRPr="00CB6753" w:rsidP="00603051">
            <w:pPr>
              <w:bidi w:val="0"/>
              <w:spacing w:after="0" w:line="240" w:lineRule="auto"/>
              <w:jc w:val="both"/>
              <w:rPr>
                <w:rFonts w:ascii="Times New Roman" w:hAnsi="Times New Roman"/>
              </w:rPr>
            </w:pPr>
            <w:r w:rsidRPr="00CB6753">
              <w:rPr>
                <w:rFonts w:ascii="Times New Roman" w:hAnsi="Times New Roman"/>
                <w:i/>
                <w:iCs/>
              </w:rPr>
              <w:t>(Uveďte spôsob sprístupnenia digitálneho prostredia.)</w:t>
            </w:r>
          </w:p>
        </w:tc>
        <w:tc>
          <w:tcPr>
            <w:tcW w:w="3994" w:type="dxa"/>
            <w:tcBorders>
              <w:top w:val="single" w:sz="4" w:space="0" w:color="auto"/>
              <w:left w:val="single" w:sz="4" w:space="0" w:color="auto"/>
              <w:bottom w:val="single" w:sz="4" w:space="0" w:color="auto"/>
              <w:right w:val="single" w:sz="4" w:space="0" w:color="auto"/>
            </w:tcBorders>
            <w:textDirection w:val="lrTb"/>
            <w:vAlign w:val="top"/>
          </w:tcPr>
          <w:p w:rsidR="006757B6" w:rsidRPr="00CB6753" w:rsidP="00603051">
            <w:pPr>
              <w:bidi w:val="0"/>
              <w:spacing w:after="0" w:line="240" w:lineRule="auto"/>
              <w:rPr>
                <w:rFonts w:ascii="Times New Roman" w:hAnsi="Times New Roman"/>
                <w:i/>
                <w:iCs/>
              </w:rPr>
            </w:pPr>
          </w:p>
        </w:tc>
      </w:tr>
      <w:tr>
        <w:tblPrEx>
          <w:tblW w:w="9229"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6757B6" w:rsidRPr="00CB6753" w:rsidP="00603051">
            <w:pPr>
              <w:bidi w:val="0"/>
              <w:spacing w:after="0" w:line="240" w:lineRule="auto"/>
              <w:jc w:val="both"/>
              <w:rPr>
                <w:rFonts w:ascii="Times New Roman" w:hAnsi="Times New Roman"/>
                <w:b/>
              </w:rPr>
            </w:pPr>
            <w:r w:rsidRPr="00CB6753">
              <w:rPr>
                <w:rFonts w:ascii="Times New Roman" w:hAnsi="Times New Roman"/>
                <w:b/>
              </w:rPr>
              <w:t>Infraštruktúra</w:t>
            </w:r>
          </w:p>
        </w:tc>
        <w:tc>
          <w:tcPr>
            <w:tcW w:w="3994"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6757B6" w:rsidRPr="00CB6753" w:rsidP="00603051">
            <w:pPr>
              <w:bidi w:val="0"/>
              <w:spacing w:after="0" w:line="240" w:lineRule="auto"/>
              <w:rPr>
                <w:rFonts w:ascii="Times New Roman" w:hAnsi="Times New Roman"/>
                <w:b/>
                <w:i/>
                <w:iCs/>
              </w:rPr>
            </w:pPr>
          </w:p>
        </w:tc>
      </w:tr>
      <w:tr>
        <w:tblPrEx>
          <w:tblW w:w="9229"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6757B6" w:rsidRPr="00CB6753" w:rsidP="00603051">
            <w:pPr>
              <w:bidi w:val="0"/>
              <w:spacing w:after="0" w:line="240" w:lineRule="auto"/>
              <w:rPr>
                <w:rFonts w:ascii="Times New Roman" w:hAnsi="Times New Roman"/>
              </w:rPr>
            </w:pPr>
            <w:r w:rsidRPr="00CB6753">
              <w:rPr>
                <w:rFonts w:ascii="Times New Roman" w:hAnsi="Times New Roman"/>
                <w:b/>
              </w:rPr>
              <w:t>6.7.</w:t>
            </w:r>
            <w:r w:rsidRPr="00CB6753">
              <w:rPr>
                <w:rFonts w:ascii="Times New Roman" w:hAnsi="Times New Roman"/>
              </w:rPr>
              <w:t xml:space="preserve"> Rozširuje, inovuje, vytvára alebo zavádza sa nový informačný systém?</w:t>
            </w:r>
          </w:p>
          <w:p w:rsidR="006757B6" w:rsidRPr="00CB6753" w:rsidP="00603051">
            <w:pPr>
              <w:bidi w:val="0"/>
              <w:spacing w:after="0" w:line="240" w:lineRule="auto"/>
              <w:jc w:val="both"/>
              <w:rPr>
                <w:rFonts w:ascii="Times New Roman" w:hAnsi="Times New Roman"/>
              </w:rPr>
            </w:pPr>
            <w:r w:rsidRPr="00CB6753">
              <w:rPr>
                <w:rFonts w:ascii="Times New Roman" w:hAnsi="Times New Roman"/>
                <w:i/>
                <w:iCs/>
              </w:rPr>
              <w:t>(Uveďte jeho funkciu.)</w:t>
            </w:r>
          </w:p>
        </w:tc>
        <w:tc>
          <w:tcPr>
            <w:tcW w:w="3994" w:type="dxa"/>
            <w:tcBorders>
              <w:top w:val="single" w:sz="4" w:space="0" w:color="auto"/>
              <w:left w:val="single" w:sz="4" w:space="0" w:color="auto"/>
              <w:bottom w:val="single" w:sz="4" w:space="0" w:color="auto"/>
              <w:right w:val="single" w:sz="4" w:space="0" w:color="auto"/>
            </w:tcBorders>
            <w:textDirection w:val="lrTb"/>
            <w:vAlign w:val="top"/>
          </w:tcPr>
          <w:p w:rsidR="006757B6" w:rsidRPr="00CB6753" w:rsidP="00603051">
            <w:pPr>
              <w:bidi w:val="0"/>
              <w:spacing w:after="0" w:line="240" w:lineRule="auto"/>
              <w:rPr>
                <w:rFonts w:ascii="Times New Roman" w:hAnsi="Times New Roman"/>
                <w:iCs/>
              </w:rPr>
            </w:pPr>
            <w:r w:rsidRPr="00CB6753">
              <w:rPr>
                <w:rFonts w:ascii="Times New Roman" w:hAnsi="Times New Roman"/>
                <w:iCs/>
              </w:rPr>
              <w:t>Novelou zákona o DPH sa zavádza kontrolný výkaz ako zoznam údajov z prijatých a vydaných faktúr pri určitých dodaniach tovarov a služieb. Kontrolný výkaz bude mať jednotnú elektronickú formu, ktorej vzor ustanoví Ministerstvo financií SR vydaním opatrenia. U platiteľov dane sa predpokladá využitie už zabehnutých aplikácií v používaných účtovných softvéroch platiteľov dane, ktoré by bez väčších problémov dokázali exportovať údaje od platiteľa dane k finančnej správe.</w:t>
            </w:r>
          </w:p>
          <w:p w:rsidR="006757B6" w:rsidRPr="00CB6753" w:rsidP="00603051">
            <w:pPr>
              <w:bidi w:val="0"/>
              <w:spacing w:after="0" w:line="240" w:lineRule="auto"/>
              <w:rPr>
                <w:rFonts w:ascii="Times New Roman" w:hAnsi="Times New Roman"/>
                <w:iCs/>
              </w:rPr>
            </w:pPr>
            <w:r w:rsidRPr="00CB6753">
              <w:rPr>
                <w:rFonts w:ascii="Times New Roman" w:hAnsi="Times New Roman"/>
                <w:iCs/>
              </w:rPr>
              <w:t>Nevyhnutným predpokladom na to, aby finančná správa krížovou kontrolou dát vedela určiť v elektronicky podaných kontrolných výkazoch nezhody,  je zavedenie aplikačného softvéru na takej technickej úrovni, aby vedel nielen prijať a spracovať zasielané dáta. Nemenej dôležité je aj zavedenie elektronickej komunikácie medzi finančnou správou a platiteľmi dane.</w:t>
            </w:r>
          </w:p>
        </w:tc>
      </w:tr>
      <w:tr>
        <w:tblPrEx>
          <w:tblW w:w="9229"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6757B6" w:rsidRPr="00CB6753" w:rsidP="00603051">
            <w:pPr>
              <w:bidi w:val="0"/>
              <w:spacing w:after="0" w:line="240" w:lineRule="auto"/>
              <w:jc w:val="both"/>
              <w:rPr>
                <w:rFonts w:ascii="Times New Roman" w:hAnsi="Times New Roman"/>
              </w:rPr>
            </w:pPr>
            <w:r w:rsidRPr="00CB6753">
              <w:rPr>
                <w:rFonts w:ascii="Times New Roman" w:hAnsi="Times New Roman"/>
                <w:b/>
              </w:rPr>
              <w:t>6.8.</w:t>
            </w:r>
            <w:r w:rsidRPr="00CB6753">
              <w:rPr>
                <w:rFonts w:ascii="Times New Roman" w:hAnsi="Times New Roman"/>
              </w:rPr>
              <w:t xml:space="preserve"> Rozširuje sa prístupnosť k internetu?</w:t>
            </w:r>
          </w:p>
          <w:p w:rsidR="006757B6" w:rsidRPr="00CB6753" w:rsidP="00603051">
            <w:pPr>
              <w:bidi w:val="0"/>
              <w:spacing w:after="0" w:line="240" w:lineRule="auto"/>
              <w:jc w:val="both"/>
              <w:rPr>
                <w:rFonts w:ascii="Times New Roman" w:hAnsi="Times New Roman"/>
              </w:rPr>
            </w:pPr>
            <w:r w:rsidRPr="00CB6753">
              <w:rPr>
                <w:rFonts w:ascii="Times New Roman" w:hAnsi="Times New Roman"/>
                <w:i/>
                <w:iCs/>
              </w:rPr>
              <w:t>(Uveďte spôsob rozširovania prístupnosti.)</w:t>
            </w:r>
          </w:p>
        </w:tc>
        <w:tc>
          <w:tcPr>
            <w:tcW w:w="3994" w:type="dxa"/>
            <w:tcBorders>
              <w:top w:val="single" w:sz="4" w:space="0" w:color="auto"/>
              <w:left w:val="single" w:sz="4" w:space="0" w:color="auto"/>
              <w:bottom w:val="single" w:sz="4" w:space="0" w:color="auto"/>
              <w:right w:val="single" w:sz="4" w:space="0" w:color="auto"/>
            </w:tcBorders>
            <w:textDirection w:val="lrTb"/>
            <w:vAlign w:val="top"/>
          </w:tcPr>
          <w:p w:rsidR="006757B6" w:rsidRPr="00CB6753" w:rsidP="00603051">
            <w:pPr>
              <w:bidi w:val="0"/>
              <w:spacing w:after="0" w:line="240" w:lineRule="auto"/>
              <w:rPr>
                <w:rFonts w:ascii="Times New Roman" w:hAnsi="Times New Roman"/>
                <w:i/>
                <w:iCs/>
              </w:rPr>
            </w:pPr>
          </w:p>
        </w:tc>
      </w:tr>
      <w:tr>
        <w:tblPrEx>
          <w:tblW w:w="9229"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6757B6" w:rsidRPr="00CB6753" w:rsidP="00603051">
            <w:pPr>
              <w:bidi w:val="0"/>
              <w:spacing w:after="0" w:line="240" w:lineRule="auto"/>
              <w:rPr>
                <w:rFonts w:ascii="Times New Roman" w:hAnsi="Times New Roman"/>
              </w:rPr>
            </w:pPr>
            <w:r w:rsidRPr="00CB6753">
              <w:rPr>
                <w:rFonts w:ascii="Times New Roman" w:hAnsi="Times New Roman"/>
                <w:b/>
              </w:rPr>
              <w:t>6.9.</w:t>
            </w:r>
            <w:r w:rsidRPr="00CB6753">
              <w:rPr>
                <w:rFonts w:ascii="Times New Roman" w:hAnsi="Times New Roman"/>
              </w:rPr>
              <w:t xml:space="preserve"> Rozširuje sa prístupnosť k elektronickým službám?</w:t>
            </w:r>
          </w:p>
          <w:p w:rsidR="006757B6" w:rsidRPr="00CB6753" w:rsidP="00603051">
            <w:pPr>
              <w:bidi w:val="0"/>
              <w:spacing w:after="0" w:line="240" w:lineRule="auto"/>
              <w:rPr>
                <w:rFonts w:ascii="Times New Roman" w:hAnsi="Times New Roman"/>
              </w:rPr>
            </w:pPr>
            <w:r w:rsidRPr="00CB6753">
              <w:rPr>
                <w:rFonts w:ascii="Times New Roman" w:hAnsi="Times New Roman"/>
                <w:i/>
                <w:iCs/>
              </w:rPr>
              <w:t>(Uveďte spôsob rozširovania prístupnosti.)</w:t>
            </w:r>
          </w:p>
        </w:tc>
        <w:tc>
          <w:tcPr>
            <w:tcW w:w="3994" w:type="dxa"/>
            <w:tcBorders>
              <w:top w:val="single" w:sz="4" w:space="0" w:color="auto"/>
              <w:left w:val="single" w:sz="4" w:space="0" w:color="auto"/>
              <w:bottom w:val="single" w:sz="4" w:space="0" w:color="auto"/>
              <w:right w:val="single" w:sz="4" w:space="0" w:color="auto"/>
            </w:tcBorders>
            <w:textDirection w:val="lrTb"/>
            <w:vAlign w:val="top"/>
          </w:tcPr>
          <w:p w:rsidR="006757B6" w:rsidRPr="00CB6753" w:rsidP="00603051">
            <w:pPr>
              <w:bidi w:val="0"/>
              <w:spacing w:after="0" w:line="240" w:lineRule="auto"/>
              <w:rPr>
                <w:rFonts w:ascii="Times New Roman" w:hAnsi="Times New Roman"/>
                <w:i/>
                <w:iCs/>
              </w:rPr>
            </w:pPr>
          </w:p>
        </w:tc>
      </w:tr>
      <w:tr>
        <w:tblPrEx>
          <w:tblW w:w="9229"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6757B6" w:rsidRPr="00CB6753" w:rsidP="00603051">
            <w:pPr>
              <w:bidi w:val="0"/>
              <w:spacing w:after="0" w:line="240" w:lineRule="auto"/>
              <w:jc w:val="both"/>
              <w:rPr>
                <w:rFonts w:ascii="Times New Roman" w:hAnsi="Times New Roman"/>
              </w:rPr>
            </w:pPr>
            <w:r w:rsidRPr="00CB6753">
              <w:rPr>
                <w:rFonts w:ascii="Times New Roman" w:hAnsi="Times New Roman"/>
                <w:b/>
              </w:rPr>
              <w:t>6.10.</w:t>
            </w:r>
            <w:r w:rsidRPr="00CB6753">
              <w:rPr>
                <w:rFonts w:ascii="Times New Roman" w:hAnsi="Times New Roman"/>
              </w:rPr>
              <w:t xml:space="preserve"> Zabezpečuje sa technická interoperabilita?</w:t>
            </w:r>
          </w:p>
          <w:p w:rsidR="006757B6" w:rsidRPr="00CB6753" w:rsidP="00603051">
            <w:pPr>
              <w:bidi w:val="0"/>
              <w:spacing w:after="0" w:line="240" w:lineRule="auto"/>
              <w:jc w:val="both"/>
              <w:rPr>
                <w:rFonts w:ascii="Times New Roman" w:hAnsi="Times New Roman"/>
              </w:rPr>
            </w:pPr>
            <w:r w:rsidRPr="00CB6753">
              <w:rPr>
                <w:rFonts w:ascii="Times New Roman" w:hAnsi="Times New Roman"/>
                <w:i/>
                <w:iCs/>
              </w:rPr>
              <w:t>(Uveďte spôsob jej zabezpečenia.)</w:t>
            </w:r>
          </w:p>
        </w:tc>
        <w:tc>
          <w:tcPr>
            <w:tcW w:w="3994" w:type="dxa"/>
            <w:tcBorders>
              <w:top w:val="single" w:sz="4" w:space="0" w:color="auto"/>
              <w:left w:val="single" w:sz="4" w:space="0" w:color="auto"/>
              <w:bottom w:val="single" w:sz="4" w:space="0" w:color="auto"/>
              <w:right w:val="single" w:sz="4" w:space="0" w:color="auto"/>
            </w:tcBorders>
            <w:textDirection w:val="lrTb"/>
            <w:vAlign w:val="top"/>
          </w:tcPr>
          <w:p w:rsidR="006757B6" w:rsidRPr="00CB6753" w:rsidP="00603051">
            <w:pPr>
              <w:bidi w:val="0"/>
              <w:spacing w:after="0" w:line="240" w:lineRule="auto"/>
              <w:rPr>
                <w:rFonts w:ascii="Times New Roman" w:hAnsi="Times New Roman"/>
                <w:i/>
                <w:iCs/>
              </w:rPr>
            </w:pPr>
          </w:p>
        </w:tc>
      </w:tr>
      <w:tr>
        <w:tblPrEx>
          <w:tblW w:w="9229"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6757B6" w:rsidRPr="00CB6753" w:rsidP="00603051">
            <w:pPr>
              <w:bidi w:val="0"/>
              <w:spacing w:after="0" w:line="240" w:lineRule="auto"/>
              <w:jc w:val="both"/>
              <w:rPr>
                <w:rFonts w:ascii="Times New Roman" w:hAnsi="Times New Roman"/>
              </w:rPr>
            </w:pPr>
            <w:r w:rsidRPr="00CB6753">
              <w:rPr>
                <w:rFonts w:ascii="Times New Roman" w:hAnsi="Times New Roman"/>
                <w:b/>
              </w:rPr>
              <w:t>6.11.</w:t>
            </w:r>
            <w:r w:rsidRPr="00CB6753">
              <w:rPr>
                <w:rFonts w:ascii="Times New Roman" w:hAnsi="Times New Roman"/>
              </w:rPr>
              <w:t xml:space="preserve"> Zvyšuje sa bezpečnosť IT?</w:t>
            </w:r>
          </w:p>
          <w:p w:rsidR="006757B6" w:rsidRPr="00CB6753" w:rsidP="00603051">
            <w:pPr>
              <w:bidi w:val="0"/>
              <w:spacing w:after="0" w:line="240" w:lineRule="auto"/>
              <w:jc w:val="both"/>
              <w:rPr>
                <w:rFonts w:ascii="Times New Roman" w:hAnsi="Times New Roman"/>
              </w:rPr>
            </w:pPr>
            <w:r w:rsidRPr="00CB6753">
              <w:rPr>
                <w:rFonts w:ascii="Times New Roman" w:hAnsi="Times New Roman"/>
              </w:rPr>
              <w:t>(</w:t>
            </w:r>
            <w:r w:rsidRPr="00CB6753">
              <w:rPr>
                <w:rFonts w:ascii="Times New Roman" w:hAnsi="Times New Roman"/>
                <w:i/>
                <w:iCs/>
              </w:rPr>
              <w:t>Uveďte spôsob zvýšenia bezpečnosti a ochrany IT.)</w:t>
            </w:r>
          </w:p>
        </w:tc>
        <w:tc>
          <w:tcPr>
            <w:tcW w:w="3994" w:type="dxa"/>
            <w:tcBorders>
              <w:top w:val="single" w:sz="4" w:space="0" w:color="auto"/>
              <w:left w:val="single" w:sz="4" w:space="0" w:color="auto"/>
              <w:bottom w:val="single" w:sz="4" w:space="0" w:color="auto"/>
              <w:right w:val="single" w:sz="4" w:space="0" w:color="auto"/>
            </w:tcBorders>
            <w:textDirection w:val="lrTb"/>
            <w:vAlign w:val="top"/>
          </w:tcPr>
          <w:p w:rsidR="006757B6" w:rsidRPr="00CB6753" w:rsidP="00603051">
            <w:pPr>
              <w:bidi w:val="0"/>
              <w:spacing w:after="0" w:line="240" w:lineRule="auto"/>
              <w:rPr>
                <w:rFonts w:ascii="Times New Roman" w:hAnsi="Times New Roman"/>
                <w:i/>
                <w:iCs/>
              </w:rPr>
            </w:pPr>
          </w:p>
        </w:tc>
      </w:tr>
      <w:tr>
        <w:tblPrEx>
          <w:tblW w:w="9229"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6757B6" w:rsidRPr="00CB6753" w:rsidP="00603051">
            <w:pPr>
              <w:bidi w:val="0"/>
              <w:spacing w:after="0" w:line="240" w:lineRule="auto"/>
              <w:jc w:val="both"/>
              <w:rPr>
                <w:rFonts w:ascii="Times New Roman" w:hAnsi="Times New Roman"/>
              </w:rPr>
            </w:pPr>
            <w:r w:rsidRPr="00CB6753">
              <w:rPr>
                <w:rFonts w:ascii="Times New Roman" w:hAnsi="Times New Roman"/>
                <w:b/>
              </w:rPr>
              <w:t>6.12.</w:t>
            </w:r>
            <w:r w:rsidRPr="00CB6753">
              <w:rPr>
                <w:rFonts w:ascii="Times New Roman" w:hAnsi="Times New Roman"/>
              </w:rPr>
              <w:t xml:space="preserve"> Rozširuje sa technická infraštruktúra?</w:t>
            </w:r>
          </w:p>
          <w:p w:rsidR="006757B6" w:rsidRPr="00CB6753" w:rsidP="00603051">
            <w:pPr>
              <w:bidi w:val="0"/>
              <w:spacing w:after="0" w:line="240" w:lineRule="auto"/>
              <w:jc w:val="both"/>
              <w:rPr>
                <w:rFonts w:ascii="Times New Roman" w:hAnsi="Times New Roman"/>
                <w:i/>
                <w:iCs/>
              </w:rPr>
            </w:pPr>
            <w:r w:rsidRPr="00CB6753">
              <w:rPr>
                <w:rFonts w:ascii="Times New Roman" w:hAnsi="Times New Roman"/>
              </w:rPr>
              <w:t>(</w:t>
            </w:r>
            <w:r w:rsidRPr="00CB6753">
              <w:rPr>
                <w:rFonts w:ascii="Times New Roman" w:hAnsi="Times New Roman"/>
                <w:i/>
                <w:iCs/>
              </w:rPr>
              <w:t>Uveďte stručný popis zavádzanej infraštruktúry.)</w:t>
            </w:r>
          </w:p>
          <w:p w:rsidR="006757B6" w:rsidRPr="00CB6753" w:rsidP="00603051">
            <w:pPr>
              <w:bidi w:val="0"/>
              <w:spacing w:after="0" w:line="240" w:lineRule="auto"/>
              <w:jc w:val="both"/>
              <w:rPr>
                <w:rFonts w:ascii="Times New Roman" w:hAnsi="Times New Roman"/>
              </w:rPr>
            </w:pPr>
          </w:p>
        </w:tc>
        <w:tc>
          <w:tcPr>
            <w:tcW w:w="3994" w:type="dxa"/>
            <w:tcBorders>
              <w:top w:val="single" w:sz="4" w:space="0" w:color="auto"/>
              <w:left w:val="single" w:sz="4" w:space="0" w:color="auto"/>
              <w:bottom w:val="single" w:sz="4" w:space="0" w:color="auto"/>
              <w:right w:val="single" w:sz="4" w:space="0" w:color="auto"/>
            </w:tcBorders>
            <w:textDirection w:val="lrTb"/>
            <w:vAlign w:val="top"/>
          </w:tcPr>
          <w:p w:rsidR="006757B6" w:rsidRPr="00CB6753" w:rsidP="00603051">
            <w:pPr>
              <w:bidi w:val="0"/>
              <w:spacing w:after="0" w:line="240" w:lineRule="auto"/>
              <w:rPr>
                <w:rFonts w:ascii="Times New Roman" w:hAnsi="Times New Roman"/>
                <w:i/>
                <w:iCs/>
              </w:rPr>
            </w:pPr>
          </w:p>
        </w:tc>
      </w:tr>
      <w:tr>
        <w:tblPrEx>
          <w:tblW w:w="9229"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6757B6" w:rsidRPr="00CB6753" w:rsidP="00603051">
            <w:pPr>
              <w:bidi w:val="0"/>
              <w:spacing w:after="0" w:line="240" w:lineRule="auto"/>
              <w:rPr>
                <w:rFonts w:ascii="Times New Roman" w:hAnsi="Times New Roman"/>
                <w:b/>
              </w:rPr>
            </w:pPr>
            <w:r w:rsidRPr="00CB6753">
              <w:rPr>
                <w:rFonts w:ascii="Times New Roman" w:hAnsi="Times New Roman"/>
                <w:b/>
              </w:rPr>
              <w:t>Riadenie procesu informatizácie</w:t>
            </w:r>
          </w:p>
        </w:tc>
        <w:tc>
          <w:tcPr>
            <w:tcW w:w="3994"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6757B6" w:rsidRPr="00CB6753" w:rsidP="00603051">
            <w:pPr>
              <w:bidi w:val="0"/>
              <w:spacing w:after="0" w:line="240" w:lineRule="auto"/>
              <w:jc w:val="center"/>
              <w:rPr>
                <w:rFonts w:ascii="Times New Roman" w:hAnsi="Times New Roman"/>
                <w:b/>
              </w:rPr>
            </w:pPr>
          </w:p>
        </w:tc>
      </w:tr>
      <w:tr>
        <w:tblPrEx>
          <w:tblW w:w="9229"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6757B6" w:rsidRPr="00CB6753" w:rsidP="00603051">
            <w:pPr>
              <w:bidi w:val="0"/>
              <w:spacing w:after="0" w:line="240" w:lineRule="auto"/>
              <w:rPr>
                <w:rFonts w:ascii="Times New Roman" w:hAnsi="Times New Roman"/>
              </w:rPr>
            </w:pPr>
            <w:r w:rsidRPr="00CB6753">
              <w:rPr>
                <w:rFonts w:ascii="Times New Roman" w:hAnsi="Times New Roman"/>
                <w:b/>
              </w:rPr>
              <w:t>6.13.</w:t>
            </w:r>
            <w:r w:rsidRPr="00CB6753">
              <w:rPr>
                <w:rFonts w:ascii="Times New Roman" w:hAnsi="Times New Roman"/>
              </w:rPr>
              <w:t xml:space="preserve"> Predpokladajú sa zmeny v riadení procesu informatizácie?</w:t>
            </w:r>
          </w:p>
          <w:p w:rsidR="006757B6" w:rsidRPr="00CB6753" w:rsidP="00603051">
            <w:pPr>
              <w:bidi w:val="0"/>
              <w:spacing w:after="0" w:line="240" w:lineRule="auto"/>
              <w:jc w:val="both"/>
              <w:rPr>
                <w:rFonts w:ascii="Times New Roman" w:hAnsi="Times New Roman"/>
              </w:rPr>
            </w:pPr>
            <w:r w:rsidRPr="00CB6753">
              <w:rPr>
                <w:rFonts w:ascii="Times New Roman" w:hAnsi="Times New Roman"/>
                <w:i/>
                <w:iCs/>
              </w:rPr>
              <w:t>(Uveďte popis zmien.)</w:t>
            </w:r>
          </w:p>
        </w:tc>
        <w:tc>
          <w:tcPr>
            <w:tcW w:w="3994" w:type="dxa"/>
            <w:tcBorders>
              <w:top w:val="single" w:sz="4" w:space="0" w:color="auto"/>
              <w:left w:val="single" w:sz="4" w:space="0" w:color="auto"/>
              <w:bottom w:val="single" w:sz="4" w:space="0" w:color="auto"/>
              <w:right w:val="single" w:sz="4" w:space="0" w:color="auto"/>
            </w:tcBorders>
            <w:textDirection w:val="lrTb"/>
            <w:vAlign w:val="top"/>
          </w:tcPr>
          <w:p w:rsidR="006757B6" w:rsidRPr="00CB6753" w:rsidP="00603051">
            <w:pPr>
              <w:bidi w:val="0"/>
              <w:spacing w:after="0" w:line="240" w:lineRule="auto"/>
              <w:rPr>
                <w:rFonts w:ascii="Times New Roman" w:hAnsi="Times New Roman"/>
                <w:iCs/>
              </w:rPr>
            </w:pPr>
          </w:p>
        </w:tc>
      </w:tr>
      <w:tr>
        <w:tblPrEx>
          <w:tblW w:w="9229"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6757B6" w:rsidRPr="00CB6753" w:rsidP="00603051">
            <w:pPr>
              <w:bidi w:val="0"/>
              <w:spacing w:after="0" w:line="240" w:lineRule="auto"/>
              <w:jc w:val="both"/>
              <w:rPr>
                <w:rFonts w:ascii="Times New Roman" w:hAnsi="Times New Roman"/>
                <w:b/>
              </w:rPr>
            </w:pPr>
            <w:r w:rsidRPr="00CB6753">
              <w:rPr>
                <w:rFonts w:ascii="Times New Roman" w:hAnsi="Times New Roman"/>
                <w:b/>
              </w:rPr>
              <w:t>Financovanie procesu informatizácie</w:t>
            </w:r>
          </w:p>
        </w:tc>
        <w:tc>
          <w:tcPr>
            <w:tcW w:w="3994"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6757B6" w:rsidRPr="00CB6753" w:rsidP="00603051">
            <w:pPr>
              <w:bidi w:val="0"/>
              <w:spacing w:after="0" w:line="240" w:lineRule="auto"/>
              <w:rPr>
                <w:rFonts w:ascii="Times New Roman" w:hAnsi="Times New Roman"/>
                <w:b/>
                <w:i/>
                <w:iCs/>
              </w:rPr>
            </w:pPr>
          </w:p>
        </w:tc>
      </w:tr>
      <w:tr>
        <w:tblPrEx>
          <w:tblW w:w="9229"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6757B6" w:rsidRPr="00CB6753" w:rsidP="00603051">
            <w:pPr>
              <w:bidi w:val="0"/>
              <w:spacing w:after="0" w:line="240" w:lineRule="auto"/>
              <w:jc w:val="both"/>
              <w:rPr>
                <w:rFonts w:ascii="Times New Roman" w:hAnsi="Times New Roman"/>
              </w:rPr>
            </w:pPr>
            <w:r w:rsidRPr="00CB6753">
              <w:rPr>
                <w:rFonts w:ascii="Times New Roman" w:hAnsi="Times New Roman"/>
                <w:b/>
              </w:rPr>
              <w:t>6.14.</w:t>
            </w:r>
            <w:r w:rsidRPr="00CB6753">
              <w:rPr>
                <w:rFonts w:ascii="Times New Roman" w:hAnsi="Times New Roman"/>
              </w:rPr>
              <w:t xml:space="preserve"> Vyžaduje si proces informatizácie finančné investície?</w:t>
            </w:r>
          </w:p>
          <w:p w:rsidR="006757B6" w:rsidRPr="00CB6753" w:rsidP="00603051">
            <w:pPr>
              <w:bidi w:val="0"/>
              <w:spacing w:after="0" w:line="240" w:lineRule="auto"/>
              <w:rPr>
                <w:rFonts w:ascii="Times New Roman" w:hAnsi="Times New Roman"/>
              </w:rPr>
            </w:pPr>
            <w:r w:rsidRPr="00CB6753">
              <w:rPr>
                <w:rFonts w:ascii="Times New Roman" w:hAnsi="Times New Roman"/>
                <w:i/>
                <w:iCs/>
              </w:rPr>
              <w:t>(Popíšte príslušnú úroveň financovania.)</w:t>
            </w:r>
          </w:p>
        </w:tc>
        <w:tc>
          <w:tcPr>
            <w:tcW w:w="3994" w:type="dxa"/>
            <w:tcBorders>
              <w:top w:val="single" w:sz="4" w:space="0" w:color="auto"/>
              <w:left w:val="single" w:sz="4" w:space="0" w:color="auto"/>
              <w:bottom w:val="single" w:sz="4" w:space="0" w:color="auto"/>
              <w:right w:val="single" w:sz="4" w:space="0" w:color="auto"/>
            </w:tcBorders>
            <w:textDirection w:val="lrTb"/>
            <w:vAlign w:val="top"/>
          </w:tcPr>
          <w:p w:rsidR="006757B6" w:rsidRPr="00CB6753" w:rsidP="00603051">
            <w:pPr>
              <w:bidi w:val="0"/>
              <w:spacing w:after="0" w:line="240" w:lineRule="auto"/>
              <w:rPr>
                <w:rFonts w:ascii="Times New Roman" w:hAnsi="Times New Roman"/>
                <w:iCs/>
              </w:rPr>
            </w:pPr>
            <w:r w:rsidRPr="00CB6753">
              <w:rPr>
                <w:rFonts w:ascii="Times New Roman" w:hAnsi="Times New Roman"/>
                <w:iCs/>
              </w:rPr>
              <w:t>Je možné predpokladať aj určité finančné investície súvisiace so zavedením softvérových nástrojov na kontrolu údajov v predkladaných kontrolných výkazov.</w:t>
            </w:r>
            <w:r w:rsidRPr="00CB6753">
              <w:rPr>
                <w:rFonts w:ascii="Times New Roman" w:hAnsi="Times New Roman"/>
                <w:color w:val="000000"/>
              </w:rPr>
              <w:t xml:space="preserve"> </w:t>
            </w:r>
          </w:p>
        </w:tc>
      </w:tr>
      <w:tr>
        <w:tblPrEx>
          <w:tblW w:w="9229"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6757B6" w:rsidRPr="00CB6753" w:rsidP="00603051">
            <w:pPr>
              <w:bidi w:val="0"/>
              <w:spacing w:after="0" w:line="240" w:lineRule="auto"/>
              <w:jc w:val="both"/>
              <w:rPr>
                <w:rFonts w:ascii="Times New Roman" w:hAnsi="Times New Roman"/>
                <w:b/>
              </w:rPr>
            </w:pPr>
            <w:r w:rsidRPr="00CB6753">
              <w:rPr>
                <w:rFonts w:ascii="Times New Roman" w:hAnsi="Times New Roman"/>
                <w:b/>
              </w:rPr>
              <w:t>Legislatívne prostredie procesu informatizácie</w:t>
            </w:r>
          </w:p>
        </w:tc>
        <w:tc>
          <w:tcPr>
            <w:tcW w:w="3994"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6757B6" w:rsidRPr="00CB6753" w:rsidP="00603051">
            <w:pPr>
              <w:bidi w:val="0"/>
              <w:spacing w:after="0" w:line="240" w:lineRule="auto"/>
              <w:rPr>
                <w:rFonts w:ascii="Times New Roman" w:hAnsi="Times New Roman"/>
                <w:b/>
                <w:i/>
                <w:iCs/>
              </w:rPr>
            </w:pPr>
          </w:p>
        </w:tc>
      </w:tr>
      <w:tr>
        <w:tblPrEx>
          <w:tblW w:w="9229"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6757B6" w:rsidRPr="00CB6753" w:rsidP="00603051">
            <w:pPr>
              <w:bidi w:val="0"/>
              <w:spacing w:after="0" w:line="240" w:lineRule="auto"/>
              <w:rPr>
                <w:rFonts w:ascii="Times New Roman" w:hAnsi="Times New Roman"/>
              </w:rPr>
            </w:pPr>
            <w:r w:rsidRPr="00CB6753">
              <w:rPr>
                <w:rFonts w:ascii="Times New Roman" w:hAnsi="Times New Roman"/>
                <w:b/>
              </w:rPr>
              <w:t>6.15.</w:t>
            </w:r>
            <w:r w:rsidRPr="00CB6753">
              <w:rPr>
                <w:rFonts w:ascii="Times New Roman" w:hAnsi="Times New Roman"/>
              </w:rPr>
              <w:t xml:space="preserve"> Predpokladá nelegislatívny materiál potrebu úpravy legislatívneho prostredia  procesu informatizácie?</w:t>
            </w:r>
          </w:p>
          <w:p w:rsidR="006757B6" w:rsidRPr="00CB6753" w:rsidP="00603051">
            <w:pPr>
              <w:bidi w:val="0"/>
              <w:spacing w:after="0" w:line="240" w:lineRule="auto"/>
              <w:rPr>
                <w:rFonts w:ascii="Times New Roman" w:hAnsi="Times New Roman"/>
              </w:rPr>
            </w:pPr>
            <w:r w:rsidRPr="00CB6753">
              <w:rPr>
                <w:rFonts w:ascii="Times New Roman" w:hAnsi="Times New Roman"/>
                <w:i/>
                <w:iCs/>
              </w:rPr>
              <w:t>(Stručne popíšte navrhované legislatívne zmeny.)</w:t>
            </w:r>
          </w:p>
        </w:tc>
        <w:tc>
          <w:tcPr>
            <w:tcW w:w="3994" w:type="dxa"/>
            <w:tcBorders>
              <w:top w:val="single" w:sz="4" w:space="0" w:color="auto"/>
              <w:left w:val="single" w:sz="4" w:space="0" w:color="auto"/>
              <w:bottom w:val="single" w:sz="4" w:space="0" w:color="auto"/>
              <w:right w:val="single" w:sz="4" w:space="0" w:color="auto"/>
            </w:tcBorders>
            <w:textDirection w:val="lrTb"/>
            <w:vAlign w:val="top"/>
          </w:tcPr>
          <w:p w:rsidR="006757B6" w:rsidRPr="00CB6753" w:rsidP="00603051">
            <w:pPr>
              <w:bidi w:val="0"/>
              <w:spacing w:after="0" w:line="240" w:lineRule="auto"/>
              <w:rPr>
                <w:rFonts w:ascii="Times New Roman" w:hAnsi="Times New Roman"/>
                <w:i/>
                <w:iCs/>
              </w:rPr>
            </w:pPr>
          </w:p>
        </w:tc>
      </w:tr>
    </w:tbl>
    <w:p w:rsidR="006757B6" w:rsidRPr="00CB6753" w:rsidP="006757B6">
      <w:pPr>
        <w:bidi w:val="0"/>
        <w:jc w:val="center"/>
        <w:rPr>
          <w:rFonts w:ascii="Times New Roman" w:hAnsi="Times New Roman"/>
          <w:b/>
        </w:rPr>
      </w:pPr>
    </w:p>
    <w:p w:rsidR="006757B6" w:rsidP="006757B6">
      <w:pPr>
        <w:pStyle w:val="Title"/>
        <w:bidi w:val="0"/>
        <w:rPr>
          <w:rFonts w:ascii="Times New Roman" w:hAnsi="Times New Roman"/>
        </w:rPr>
      </w:pPr>
    </w:p>
    <w:p w:rsidR="006757B6" w:rsidRPr="00F77DA8" w:rsidP="006757B6">
      <w:pPr>
        <w:pStyle w:val="Title"/>
        <w:bidi w:val="0"/>
        <w:rPr>
          <w:rFonts w:ascii="Times New Roman" w:hAnsi="Times New Roman"/>
        </w:rPr>
      </w:pPr>
      <w:r w:rsidRPr="00F77DA8">
        <w:rPr>
          <w:rFonts w:ascii="Times New Roman" w:hAnsi="Times New Roman"/>
        </w:rPr>
        <w:t>DOLOŽKA ZLUČITEĽNOSTI</w:t>
      </w:r>
    </w:p>
    <w:p w:rsidR="006757B6" w:rsidRPr="00F77DA8" w:rsidP="006757B6">
      <w:pPr>
        <w:pStyle w:val="Zkladntext"/>
        <w:pBdr>
          <w:bottom w:val="single" w:sz="12" w:space="1" w:color="auto"/>
        </w:pBdr>
        <w:bidi w:val="0"/>
        <w:jc w:val="both"/>
        <w:rPr>
          <w:rFonts w:ascii="Times New Roman" w:hAnsi="Times New Roman"/>
          <w:bCs/>
          <w:szCs w:val="24"/>
        </w:rPr>
      </w:pPr>
      <w:r w:rsidRPr="00F77DA8">
        <w:rPr>
          <w:rFonts w:ascii="Times New Roman" w:hAnsi="Times New Roman"/>
          <w:bCs/>
          <w:szCs w:val="24"/>
        </w:rPr>
        <w:t>návrhu zákona, ktorým sa mení a dopĺňa zákon č. 222/2004 Z. z. o dani z pridanej hodnoty v znení neskorších</w:t>
      </w:r>
      <w:r w:rsidRPr="00F77DA8">
        <w:rPr>
          <w:rFonts w:ascii="Times New Roman" w:hAnsi="Times New Roman"/>
          <w:bCs/>
          <w:iCs/>
          <w:szCs w:val="24"/>
        </w:rPr>
        <w:t xml:space="preserve"> a ktorým sa mení zákon č. 331/2011 Z. z., ktorým sa mení a dopĺňa zákon č. 563/2009 Z. z. o správe daní (daňový poriadok) a o zmene a doplnení niektorých zákonov a ktorým sa menia a dopĺňajú niektoré zákony, v znení zákona č. 246/2012 Z. z.</w:t>
      </w:r>
      <w:r w:rsidRPr="00F77DA8">
        <w:rPr>
          <w:rFonts w:ascii="Times New Roman" w:hAnsi="Times New Roman"/>
          <w:bCs/>
          <w:szCs w:val="24"/>
        </w:rPr>
        <w:t xml:space="preserve"> predpisov s právom Európskej únie</w:t>
      </w:r>
    </w:p>
    <w:p w:rsidR="006757B6" w:rsidRPr="00F77DA8" w:rsidP="006757B6">
      <w:pPr>
        <w:pStyle w:val="Zkladntext"/>
        <w:bidi w:val="0"/>
        <w:jc w:val="both"/>
        <w:rPr>
          <w:rFonts w:ascii="Times New Roman" w:hAnsi="Times New Roman"/>
          <w:szCs w:val="24"/>
        </w:rPr>
      </w:pPr>
    </w:p>
    <w:p w:rsidR="006757B6" w:rsidRPr="00F77DA8" w:rsidP="006757B6">
      <w:pPr>
        <w:bidi w:val="0"/>
        <w:jc w:val="both"/>
        <w:rPr>
          <w:rFonts w:ascii="Times New Roman" w:hAnsi="Times New Roman"/>
          <w:b/>
          <w:bCs/>
        </w:rPr>
      </w:pPr>
    </w:p>
    <w:p w:rsidR="006757B6" w:rsidRPr="00F77DA8" w:rsidP="006757B6">
      <w:pPr>
        <w:bidi w:val="0"/>
        <w:jc w:val="both"/>
        <w:rPr>
          <w:rFonts w:ascii="Times New Roman" w:hAnsi="Times New Roman"/>
        </w:rPr>
      </w:pPr>
      <w:r w:rsidRPr="00F77DA8">
        <w:rPr>
          <w:rFonts w:ascii="Times New Roman" w:hAnsi="Times New Roman"/>
          <w:bCs/>
        </w:rPr>
        <w:t>1.  Predkladateľ zákona:</w:t>
      </w:r>
    </w:p>
    <w:p w:rsidR="006757B6" w:rsidRPr="00F77DA8" w:rsidP="006757B6">
      <w:pPr>
        <w:bidi w:val="0"/>
        <w:jc w:val="both"/>
        <w:rPr>
          <w:rFonts w:ascii="Times New Roman" w:hAnsi="Times New Roman"/>
        </w:rPr>
      </w:pPr>
      <w:r>
        <w:rPr>
          <w:rFonts w:ascii="Times New Roman" w:hAnsi="Times New Roman"/>
        </w:rPr>
        <w:t xml:space="preserve">     </w:t>
      </w:r>
      <w:r w:rsidRPr="00F77DA8">
        <w:rPr>
          <w:rFonts w:ascii="Times New Roman" w:hAnsi="Times New Roman"/>
        </w:rPr>
        <w:t xml:space="preserve">Vláda Slovenskej republiky. </w:t>
      </w:r>
    </w:p>
    <w:p w:rsidR="006757B6" w:rsidRPr="00F77DA8" w:rsidP="006757B6">
      <w:pPr>
        <w:bidi w:val="0"/>
        <w:jc w:val="both"/>
        <w:rPr>
          <w:rFonts w:ascii="Times New Roman" w:hAnsi="Times New Roman"/>
          <w:bCs/>
        </w:rPr>
      </w:pPr>
    </w:p>
    <w:p w:rsidR="006757B6" w:rsidRPr="00F77DA8" w:rsidP="006757B6">
      <w:pPr>
        <w:bidi w:val="0"/>
        <w:jc w:val="both"/>
        <w:rPr>
          <w:rFonts w:ascii="Times New Roman" w:hAnsi="Times New Roman"/>
          <w:bCs/>
        </w:rPr>
      </w:pPr>
      <w:r w:rsidRPr="00F77DA8">
        <w:rPr>
          <w:rFonts w:ascii="Times New Roman" w:hAnsi="Times New Roman"/>
          <w:bCs/>
        </w:rPr>
        <w:t>2.  Názov návrhu zákona:</w:t>
      </w:r>
    </w:p>
    <w:p w:rsidR="006757B6" w:rsidP="006757B6">
      <w:pPr>
        <w:pStyle w:val="Zkladntext"/>
        <w:bidi w:val="0"/>
        <w:jc w:val="both"/>
        <w:rPr>
          <w:rFonts w:ascii="Times New Roman" w:hAnsi="Times New Roman"/>
          <w:szCs w:val="24"/>
        </w:rPr>
      </w:pPr>
      <w:r>
        <w:rPr>
          <w:rFonts w:ascii="Times New Roman" w:hAnsi="Times New Roman"/>
          <w:szCs w:val="24"/>
        </w:rPr>
        <w:t xml:space="preserve">     </w:t>
      </w:r>
    </w:p>
    <w:p w:rsidR="006757B6" w:rsidRPr="00F77DA8" w:rsidP="006757B6">
      <w:pPr>
        <w:pStyle w:val="Zkladntext"/>
        <w:bidi w:val="0"/>
        <w:ind w:firstLine="170"/>
        <w:jc w:val="both"/>
        <w:rPr>
          <w:rFonts w:ascii="Times New Roman" w:hAnsi="Times New Roman"/>
          <w:szCs w:val="24"/>
        </w:rPr>
      </w:pPr>
      <w:r>
        <w:rPr>
          <w:rFonts w:ascii="Times New Roman" w:hAnsi="Times New Roman"/>
          <w:szCs w:val="24"/>
        </w:rPr>
        <w:t xml:space="preserve">  </w:t>
      </w:r>
      <w:r w:rsidRPr="00F77DA8">
        <w:rPr>
          <w:rFonts w:ascii="Times New Roman" w:hAnsi="Times New Roman"/>
          <w:szCs w:val="24"/>
        </w:rPr>
        <w:t xml:space="preserve">Návrh zákona, ktorým sa mení a dopĺňa zákon č. 222/2004 Z. z. o dani z pridanej hodnoty </w:t>
      </w:r>
      <w:r>
        <w:rPr>
          <w:rFonts w:ascii="Times New Roman" w:hAnsi="Times New Roman"/>
          <w:szCs w:val="24"/>
        </w:rPr>
        <w:t xml:space="preserve"> </w:t>
      </w:r>
      <w:r w:rsidRPr="00F77DA8">
        <w:rPr>
          <w:rFonts w:ascii="Times New Roman" w:hAnsi="Times New Roman"/>
          <w:szCs w:val="24"/>
        </w:rPr>
        <w:t>v znení neskorších predpisov</w:t>
      </w:r>
      <w:r w:rsidRPr="00F77DA8">
        <w:rPr>
          <w:rFonts w:ascii="Times New Roman" w:hAnsi="Times New Roman"/>
          <w:bCs/>
          <w:iCs/>
          <w:szCs w:val="24"/>
        </w:rPr>
        <w:t xml:space="preserve"> a ktorým sa mení zákon č. 331/2011 Z. z., ktorým sa mení a dopĺňa zákon č. 563/2009 Z. z. o správe daní (daňový poriadok) a o zmene a doplnení niektorých zákonov a ktorým sa menia a dopĺňajú niektoré zákony, v znení zákona č. 246/2012 Z. z.</w:t>
      </w:r>
      <w:r w:rsidRPr="00F77DA8">
        <w:rPr>
          <w:rFonts w:ascii="Times New Roman" w:hAnsi="Times New Roman"/>
          <w:szCs w:val="24"/>
        </w:rPr>
        <w:t>.</w:t>
      </w:r>
    </w:p>
    <w:p w:rsidR="006757B6" w:rsidRPr="00F77DA8" w:rsidP="006757B6">
      <w:pPr>
        <w:bidi w:val="0"/>
        <w:jc w:val="both"/>
        <w:rPr>
          <w:rFonts w:ascii="Times New Roman" w:hAnsi="Times New Roman"/>
          <w:bCs/>
        </w:rPr>
      </w:pPr>
    </w:p>
    <w:p w:rsidR="006757B6" w:rsidP="006757B6">
      <w:pPr>
        <w:bidi w:val="0"/>
        <w:jc w:val="both"/>
        <w:rPr>
          <w:rFonts w:ascii="Times New Roman" w:hAnsi="Times New Roman"/>
          <w:bCs/>
        </w:rPr>
      </w:pPr>
      <w:r w:rsidRPr="00F77DA8">
        <w:rPr>
          <w:rFonts w:ascii="Times New Roman" w:hAnsi="Times New Roman"/>
          <w:bCs/>
        </w:rPr>
        <w:t xml:space="preserve">3.     Problematika návrhu zákona: </w:t>
      </w:r>
    </w:p>
    <w:p w:rsidR="006757B6" w:rsidRPr="00F77DA8" w:rsidP="006757B6">
      <w:pPr>
        <w:bidi w:val="0"/>
        <w:jc w:val="both"/>
        <w:rPr>
          <w:rFonts w:ascii="Times New Roman" w:hAnsi="Times New Roman"/>
          <w:bCs/>
        </w:rPr>
      </w:pPr>
    </w:p>
    <w:p w:rsidR="006757B6" w:rsidRPr="00F77DA8" w:rsidP="006757B6">
      <w:pPr>
        <w:pStyle w:val="BodyText"/>
        <w:numPr>
          <w:ilvl w:val="1"/>
          <w:numId w:val="3"/>
        </w:numPr>
        <w:bidi w:val="0"/>
        <w:spacing w:after="0"/>
        <w:ind w:left="425"/>
        <w:rPr>
          <w:rFonts w:ascii="Times New Roman" w:hAnsi="Times New Roman"/>
        </w:rPr>
      </w:pPr>
      <w:r w:rsidRPr="00F77DA8">
        <w:rPr>
          <w:rFonts w:ascii="Times New Roman" w:hAnsi="Times New Roman"/>
        </w:rPr>
        <w:t>je upravená v práve Európskej únie:</w:t>
      </w:r>
    </w:p>
    <w:p w:rsidR="006757B6" w:rsidP="006757B6">
      <w:pPr>
        <w:pStyle w:val="BodyText"/>
        <w:bidi w:val="0"/>
        <w:spacing w:after="0"/>
        <w:rPr>
          <w:rFonts w:ascii="Times New Roman" w:hAnsi="Times New Roman"/>
          <w:bCs/>
          <w:iCs/>
        </w:rPr>
      </w:pPr>
    </w:p>
    <w:p w:rsidR="006757B6" w:rsidP="006757B6">
      <w:pPr>
        <w:pStyle w:val="BodyText"/>
        <w:bidi w:val="0"/>
        <w:spacing w:after="0"/>
        <w:rPr>
          <w:rFonts w:ascii="Times New Roman" w:hAnsi="Times New Roman"/>
          <w:bCs/>
          <w:iCs/>
        </w:rPr>
      </w:pPr>
      <w:r w:rsidRPr="00F77DA8">
        <w:rPr>
          <w:rFonts w:ascii="Times New Roman" w:hAnsi="Times New Roman"/>
          <w:bCs/>
          <w:iCs/>
        </w:rPr>
        <w:t xml:space="preserve">primárnom: </w:t>
      </w:r>
    </w:p>
    <w:p w:rsidR="007D4BD6" w:rsidRPr="00F77DA8" w:rsidP="007D4BD6">
      <w:pPr>
        <w:pStyle w:val="BodyText"/>
        <w:bidi w:val="0"/>
        <w:spacing w:after="0"/>
        <w:rPr>
          <w:rFonts w:ascii="Times New Roman" w:hAnsi="Times New Roman"/>
          <w:bCs/>
          <w:iCs/>
        </w:rPr>
      </w:pPr>
    </w:p>
    <w:p w:rsidR="006757B6" w:rsidRPr="00F77DA8" w:rsidP="006757B6">
      <w:pPr>
        <w:pStyle w:val="BodyText"/>
        <w:numPr>
          <w:numId w:val="5"/>
        </w:numPr>
        <w:tabs>
          <w:tab w:val="num" w:pos="851"/>
          <w:tab w:val="clear" w:pos="900"/>
        </w:tabs>
        <w:bidi w:val="0"/>
        <w:spacing w:after="0"/>
        <w:ind w:left="329" w:hanging="329"/>
        <w:rPr>
          <w:rFonts w:ascii="Times New Roman" w:hAnsi="Times New Roman"/>
        </w:rPr>
      </w:pPr>
      <w:r w:rsidRPr="00F77DA8">
        <w:rPr>
          <w:rFonts w:ascii="Times New Roman" w:hAnsi="Times New Roman"/>
        </w:rPr>
        <w:t xml:space="preserve">čl. 110 až 113 Zmluvy o fungovaní Európskej únie, </w:t>
      </w:r>
    </w:p>
    <w:p w:rsidR="006757B6" w:rsidP="006757B6">
      <w:pPr>
        <w:pStyle w:val="ListParagraph"/>
        <w:autoSpaceDE w:val="0"/>
        <w:autoSpaceDN w:val="0"/>
        <w:bidi w:val="0"/>
        <w:adjustRightInd w:val="0"/>
        <w:ind w:left="0"/>
        <w:contextualSpacing w:val="0"/>
        <w:jc w:val="both"/>
        <w:rPr>
          <w:rFonts w:ascii="Times New Roman" w:hAnsi="Times New Roman"/>
          <w:lang w:val="sk-SK"/>
        </w:rPr>
      </w:pPr>
    </w:p>
    <w:p w:rsidR="006757B6" w:rsidRPr="00F77DA8" w:rsidP="006757B6">
      <w:pPr>
        <w:pStyle w:val="ListParagraph"/>
        <w:autoSpaceDE w:val="0"/>
        <w:autoSpaceDN w:val="0"/>
        <w:bidi w:val="0"/>
        <w:adjustRightInd w:val="0"/>
        <w:ind w:left="0"/>
        <w:contextualSpacing w:val="0"/>
        <w:jc w:val="both"/>
        <w:rPr>
          <w:rFonts w:ascii="Times New Roman" w:hAnsi="Times New Roman"/>
          <w:lang w:val="sk-SK"/>
        </w:rPr>
      </w:pPr>
      <w:r w:rsidRPr="00F77DA8">
        <w:rPr>
          <w:rFonts w:ascii="Times New Roman" w:hAnsi="Times New Roman"/>
          <w:lang w:val="sk-SK"/>
        </w:rPr>
        <w:t>sekundárnom (prijatom po nadobudnutí platnosti Lisabonskej zmluvy, ktorou sa mení a dopĺňa Zmluva o Európskej únii a Zmluva o založení Európskeho spoločenstva - po 30. novembri 2009)</w:t>
      </w:r>
    </w:p>
    <w:p w:rsidR="006757B6" w:rsidRPr="00F77DA8" w:rsidP="006757B6">
      <w:pPr>
        <w:pStyle w:val="BodyTextIndent"/>
        <w:bidi w:val="0"/>
        <w:ind w:firstLine="0"/>
        <w:rPr>
          <w:rFonts w:ascii="Times New Roman" w:hAnsi="Times New Roman"/>
        </w:rPr>
      </w:pPr>
    </w:p>
    <w:p w:rsidR="006757B6" w:rsidRPr="00F77DA8" w:rsidP="006757B6">
      <w:pPr>
        <w:pStyle w:val="BodyTextIndent"/>
        <w:bidi w:val="0"/>
        <w:ind w:firstLine="0"/>
        <w:rPr>
          <w:rFonts w:ascii="Times New Roman" w:hAnsi="Times New Roman"/>
        </w:rPr>
      </w:pPr>
      <w:r w:rsidRPr="00F77DA8">
        <w:rPr>
          <w:rFonts w:ascii="Times New Roman" w:hAnsi="Times New Roman"/>
        </w:rPr>
        <w:t xml:space="preserve">  1.  legislatívne akty:</w:t>
      </w:r>
    </w:p>
    <w:p w:rsidR="006757B6" w:rsidRPr="00F77DA8" w:rsidP="006757B6">
      <w:pPr>
        <w:autoSpaceDE w:val="0"/>
        <w:autoSpaceDN w:val="0"/>
        <w:bidi w:val="0"/>
        <w:jc w:val="both"/>
        <w:rPr>
          <w:rFonts w:ascii="Times New Roman" w:hAnsi="Times New Roman"/>
        </w:rPr>
      </w:pPr>
      <w:r>
        <w:rPr>
          <w:rFonts w:ascii="Times New Roman" w:hAnsi="Times New Roman"/>
          <w:bCs/>
          <w:iCs/>
        </w:rPr>
        <w:t xml:space="preserve">  2. </w:t>
      </w:r>
      <w:r w:rsidRPr="00F77DA8">
        <w:rPr>
          <w:rFonts w:ascii="Times New Roman" w:hAnsi="Times New Roman"/>
          <w:bCs/>
          <w:iCs/>
        </w:rPr>
        <w:t xml:space="preserve"> nelegislatívne akty:</w:t>
      </w:r>
    </w:p>
    <w:p w:rsidR="006757B6" w:rsidRPr="00F77DA8" w:rsidP="006757B6">
      <w:pPr>
        <w:pStyle w:val="BodyTextIndent"/>
        <w:numPr>
          <w:numId w:val="5"/>
        </w:numPr>
        <w:autoSpaceDE w:val="0"/>
        <w:autoSpaceDN w:val="0"/>
        <w:bidi w:val="0"/>
        <w:adjustRightInd w:val="0"/>
        <w:rPr>
          <w:rStyle w:val="Emphasis"/>
          <w:rFonts w:ascii="Times New Roman" w:hAnsi="Times New Roman"/>
          <w:i w:val="0"/>
        </w:rPr>
      </w:pPr>
      <w:r w:rsidRPr="00F77DA8">
        <w:rPr>
          <w:rFonts w:ascii="Times New Roman" w:hAnsi="Times New Roman"/>
          <w:bCs/>
        </w:rPr>
        <w:t>nariadenie Rady (EÚ) č. 904/2010  zo 7. októbra 2010 o administratívnej spolupráci a boji proti podvodom v oblasti dane z pridanej hodnoty (</w:t>
      </w:r>
      <w:r w:rsidRPr="00F77DA8">
        <w:rPr>
          <w:rStyle w:val="Emphasis"/>
          <w:rFonts w:ascii="Times New Roman" w:hAnsi="Times New Roman"/>
          <w:i w:val="0"/>
          <w:iCs/>
        </w:rPr>
        <w:t>Ú. v. EÚ L 268, 12.10. 2010),</w:t>
      </w:r>
    </w:p>
    <w:p w:rsidR="006757B6" w:rsidRPr="00F77DA8" w:rsidP="006757B6">
      <w:pPr>
        <w:widowControl/>
        <w:numPr>
          <w:numId w:val="5"/>
        </w:numPr>
        <w:autoSpaceDE w:val="0"/>
        <w:autoSpaceDN w:val="0"/>
        <w:bidi w:val="0"/>
        <w:jc w:val="both"/>
        <w:rPr>
          <w:rStyle w:val="Emphasis"/>
          <w:rFonts w:ascii="Times New Roman" w:hAnsi="Times New Roman"/>
          <w:i w:val="0"/>
        </w:rPr>
      </w:pPr>
      <w:r w:rsidRPr="00F77DA8">
        <w:rPr>
          <w:rFonts w:ascii="Times New Roman" w:hAnsi="Times New Roman"/>
        </w:rPr>
        <w:t>vykonávacie nariadenie Rady (EÚ) č. 282/2011 z  15. marca 2011, ktorým sa ustanovujú vykonávacie opatrenia smernice 2006/112/ES o spoločnom systéme dane z pridanej hodnoty (</w:t>
      </w:r>
      <w:r w:rsidRPr="00F77DA8">
        <w:rPr>
          <w:rStyle w:val="Emphasis"/>
          <w:rFonts w:ascii="Times New Roman" w:hAnsi="Times New Roman"/>
          <w:i w:val="0"/>
          <w:iCs/>
        </w:rPr>
        <w:t>Ú. v. EÚ L 77, 23.3.2011),</w:t>
      </w:r>
    </w:p>
    <w:p w:rsidR="006757B6" w:rsidRPr="00F77DA8" w:rsidP="006757B6">
      <w:pPr>
        <w:widowControl/>
        <w:numPr>
          <w:numId w:val="5"/>
        </w:numPr>
        <w:autoSpaceDE w:val="0"/>
        <w:autoSpaceDN w:val="0"/>
        <w:bidi w:val="0"/>
        <w:jc w:val="both"/>
        <w:rPr>
          <w:rStyle w:val="Emphasis"/>
          <w:rFonts w:ascii="Times New Roman" w:hAnsi="Times New Roman"/>
          <w:i w:val="0"/>
        </w:rPr>
      </w:pPr>
      <w:r w:rsidRPr="00F77DA8">
        <w:rPr>
          <w:rFonts w:ascii="Times New Roman" w:hAnsi="Times New Roman"/>
          <w:bCs/>
          <w:color w:val="000000"/>
        </w:rPr>
        <w:t>vykonávacie nariadenie Komisie (EÚ) č. 79/2012 z 31. januára 2012, ktorým sa stanovujú podrobné pravidlá vykonávania niektorých ustanovení nariadenia Rady (EÚ) č. 904/2010 o administratívnej spolupráci a boji proti podvodom v oblasti dane z pridanej hodnoty (</w:t>
      </w:r>
      <w:r w:rsidRPr="00F77DA8">
        <w:rPr>
          <w:rStyle w:val="Emphasis"/>
          <w:rFonts w:ascii="Times New Roman" w:hAnsi="Times New Roman"/>
          <w:i w:val="0"/>
          <w:iCs/>
        </w:rPr>
        <w:t>Ú. v. EÚ L 29, 1.2. 2012).</w:t>
      </w:r>
    </w:p>
    <w:p w:rsidR="006757B6" w:rsidP="006757B6">
      <w:pPr>
        <w:pStyle w:val="BodyTextIndent"/>
        <w:bidi w:val="0"/>
        <w:ind w:firstLine="0"/>
        <w:rPr>
          <w:rFonts w:ascii="Times New Roman" w:hAnsi="Times New Roman"/>
        </w:rPr>
      </w:pPr>
    </w:p>
    <w:p w:rsidR="006757B6" w:rsidRPr="006757B6" w:rsidP="006757B6">
      <w:pPr>
        <w:pStyle w:val="BodyTextIndent"/>
        <w:bidi w:val="0"/>
        <w:ind w:firstLine="0"/>
        <w:rPr>
          <w:rFonts w:ascii="Times New Roman" w:hAnsi="Times New Roman"/>
          <w:bCs/>
          <w:iCs/>
        </w:rPr>
      </w:pPr>
      <w:r w:rsidRPr="00F77DA8">
        <w:rPr>
          <w:rFonts w:ascii="Times New Roman" w:hAnsi="Times New Roman"/>
        </w:rPr>
        <w:t>sekundárnom (prijatom pred nadobudnutí platnosti Lisabonskej zmluvy, ktorou sa mení a dopĺňa Zmluva o Európskej únii a Zmluva o založení Európskeho spoločenstva - do 30. novembra 2009)</w:t>
      </w:r>
      <w:r w:rsidRPr="00F77DA8">
        <w:rPr>
          <w:rFonts w:ascii="Times New Roman" w:hAnsi="Times New Roman"/>
          <w:bCs/>
          <w:iCs/>
        </w:rPr>
        <w:t>:</w:t>
      </w:r>
      <w:r w:rsidRPr="00F77DA8">
        <w:rPr>
          <w:rFonts w:ascii="Times New Roman" w:hAnsi="Times New Roman"/>
          <w:b/>
          <w:bCs/>
          <w:i/>
          <w:iCs/>
        </w:rPr>
        <w:t xml:space="preserve"> </w:t>
      </w:r>
    </w:p>
    <w:p w:rsidR="006757B6" w:rsidRPr="006757B6" w:rsidP="006757B6">
      <w:pPr>
        <w:pStyle w:val="BodyTextIndent"/>
        <w:bidi w:val="0"/>
        <w:ind w:firstLine="0"/>
        <w:rPr>
          <w:rFonts w:ascii="Times New Roman" w:hAnsi="Times New Roman"/>
          <w:bCs/>
          <w:iCs/>
        </w:rPr>
      </w:pPr>
    </w:p>
    <w:p w:rsidR="006757B6" w:rsidRPr="00F77DA8" w:rsidP="006757B6">
      <w:pPr>
        <w:pStyle w:val="BodyTextIndent"/>
        <w:numPr>
          <w:numId w:val="8"/>
        </w:numPr>
        <w:autoSpaceDE w:val="0"/>
        <w:autoSpaceDN w:val="0"/>
        <w:bidi w:val="0"/>
        <w:adjustRightInd w:val="0"/>
        <w:rPr>
          <w:rFonts w:ascii="Times New Roman" w:hAnsi="Times New Roman"/>
        </w:rPr>
      </w:pPr>
      <w:r w:rsidRPr="00F77DA8">
        <w:rPr>
          <w:rFonts w:ascii="Times New Roman" w:hAnsi="Times New Roman"/>
          <w:bCs/>
        </w:rPr>
        <w:t xml:space="preserve">smernica Rady 2006/112/ES z  28. novembra 2006 o spoločnom systéme dane z pridanej hodnoty </w:t>
      </w:r>
      <w:r w:rsidRPr="00F77DA8">
        <w:rPr>
          <w:rFonts w:ascii="Times New Roman" w:hAnsi="Times New Roman"/>
        </w:rPr>
        <w:t>(Ú. v. EÚ L 347, 11.12.2006)</w:t>
      </w:r>
      <w:r w:rsidRPr="00F77DA8">
        <w:rPr>
          <w:rFonts w:ascii="Times New Roman" w:hAnsi="Times New Roman"/>
          <w:bCs/>
        </w:rPr>
        <w:t xml:space="preserve"> v platnom znení</w:t>
      </w:r>
      <w:r w:rsidRPr="00F77DA8">
        <w:rPr>
          <w:rFonts w:ascii="Times New Roman" w:hAnsi="Times New Roman"/>
        </w:rPr>
        <w:t>,</w:t>
      </w:r>
    </w:p>
    <w:p w:rsidR="006757B6" w:rsidRPr="006757B6" w:rsidP="006757B6">
      <w:pPr>
        <w:pStyle w:val="BodyTextIndent"/>
        <w:numPr>
          <w:numId w:val="8"/>
        </w:numPr>
        <w:autoSpaceDE w:val="0"/>
        <w:autoSpaceDN w:val="0"/>
        <w:bidi w:val="0"/>
        <w:adjustRightInd w:val="0"/>
        <w:rPr>
          <w:rStyle w:val="Emphasis"/>
          <w:rFonts w:ascii="Times New Roman" w:hAnsi="Times New Roman"/>
        </w:rPr>
      </w:pPr>
      <w:r w:rsidRPr="00F77DA8">
        <w:rPr>
          <w:rFonts w:ascii="Times New Roman" w:hAnsi="Times New Roman"/>
          <w:bCs/>
        </w:rPr>
        <w:t xml:space="preserve">nariadenie Rady (ES) č. 1798/2003 zo 7. októbra 2003 o administratívnej spolupráci v oblasti dane z pridanej hodnoty a ktoré zrušuje nariadenie (EHS) č. 218/92 (Mimoriadne vydanie </w:t>
      </w:r>
      <w:r w:rsidRPr="00F77DA8">
        <w:rPr>
          <w:rStyle w:val="Emphasis"/>
          <w:rFonts w:ascii="Times New Roman" w:hAnsi="Times New Roman"/>
          <w:i w:val="0"/>
          <w:iCs/>
        </w:rPr>
        <w:t>Ú. v. EÚ kap. 9/zv. 1)</w:t>
      </w:r>
      <w:r w:rsidRPr="00F77DA8">
        <w:rPr>
          <w:rFonts w:ascii="Times New Roman" w:hAnsi="Times New Roman"/>
          <w:bCs/>
        </w:rPr>
        <w:t xml:space="preserve"> v platnom znení</w:t>
      </w:r>
      <w:r w:rsidRPr="00F77DA8">
        <w:rPr>
          <w:rStyle w:val="Emphasis"/>
          <w:rFonts w:ascii="Times New Roman" w:hAnsi="Times New Roman"/>
          <w:i w:val="0"/>
          <w:iCs/>
        </w:rPr>
        <w:t>.</w:t>
      </w:r>
    </w:p>
    <w:p w:rsidR="006757B6" w:rsidRPr="00F77DA8" w:rsidP="006757B6">
      <w:pPr>
        <w:pStyle w:val="BodyTextIndent"/>
        <w:autoSpaceDE w:val="0"/>
        <w:autoSpaceDN w:val="0"/>
        <w:bidi w:val="0"/>
        <w:adjustRightInd w:val="0"/>
        <w:ind w:left="720" w:firstLine="0"/>
        <w:rPr>
          <w:rFonts w:ascii="Times New Roman" w:hAnsi="Times New Roman"/>
          <w:i/>
        </w:rPr>
      </w:pPr>
    </w:p>
    <w:p w:rsidR="006757B6" w:rsidP="006757B6">
      <w:pPr>
        <w:pStyle w:val="BodyText"/>
        <w:numPr>
          <w:ilvl w:val="1"/>
          <w:numId w:val="3"/>
        </w:numPr>
        <w:bidi w:val="0"/>
        <w:spacing w:after="0"/>
        <w:ind w:left="425"/>
        <w:jc w:val="both"/>
        <w:rPr>
          <w:rFonts w:ascii="Times New Roman" w:hAnsi="Times New Roman"/>
        </w:rPr>
      </w:pPr>
      <w:r w:rsidRPr="00F77DA8">
        <w:rPr>
          <w:rFonts w:ascii="Times New Roman" w:hAnsi="Times New Roman"/>
        </w:rPr>
        <w:t>je obsiahnutá v judikatúre Súdneho dvora Európskej únie:</w:t>
      </w:r>
    </w:p>
    <w:p w:rsidR="006757B6" w:rsidRPr="00F77DA8" w:rsidP="006757B6">
      <w:pPr>
        <w:pStyle w:val="BodyText"/>
        <w:bidi w:val="0"/>
        <w:spacing w:after="0"/>
        <w:ind w:left="425"/>
        <w:jc w:val="both"/>
        <w:rPr>
          <w:rFonts w:ascii="Times New Roman" w:hAnsi="Times New Roman"/>
        </w:rPr>
      </w:pPr>
    </w:p>
    <w:p w:rsidR="006757B6" w:rsidRPr="00F77DA8" w:rsidP="006757B6">
      <w:pPr>
        <w:widowControl/>
        <w:numPr>
          <w:numId w:val="9"/>
        </w:numPr>
        <w:tabs>
          <w:tab w:val="left" w:pos="851"/>
        </w:tabs>
        <w:bidi w:val="0"/>
        <w:adjustRightInd/>
        <w:jc w:val="both"/>
        <w:rPr>
          <w:rFonts w:ascii="Times New Roman" w:hAnsi="Times New Roman"/>
        </w:rPr>
      </w:pPr>
      <w:r w:rsidRPr="00F77DA8">
        <w:rPr>
          <w:rFonts w:ascii="Times New Roman" w:hAnsi="Times New Roman"/>
        </w:rPr>
        <w:t>rozhodnutie Súdneho dvora vo veci C – 317/94, Elida Gibbs Ltd proti Commissioners of Customs &amp; Excise, rok 1996,</w:t>
      </w:r>
    </w:p>
    <w:p w:rsidR="006757B6" w:rsidRPr="00F77DA8" w:rsidP="006757B6">
      <w:pPr>
        <w:widowControl/>
        <w:numPr>
          <w:numId w:val="9"/>
        </w:numPr>
        <w:tabs>
          <w:tab w:val="left" w:pos="851"/>
        </w:tabs>
        <w:bidi w:val="0"/>
        <w:adjustRightInd/>
        <w:jc w:val="both"/>
        <w:rPr>
          <w:rFonts w:ascii="Times New Roman" w:hAnsi="Times New Roman"/>
        </w:rPr>
      </w:pPr>
      <w:r w:rsidRPr="00F77DA8">
        <w:rPr>
          <w:rFonts w:ascii="Times New Roman" w:hAnsi="Times New Roman"/>
        </w:rPr>
        <w:t>rozhodnutie Súdneho dvora vo veci C - 427/98,  EK proti Spolkovej republike Nemecko, rok 2002,</w:t>
      </w:r>
    </w:p>
    <w:p w:rsidR="006757B6" w:rsidRPr="00F77DA8" w:rsidP="006757B6">
      <w:pPr>
        <w:widowControl/>
        <w:numPr>
          <w:numId w:val="9"/>
        </w:numPr>
        <w:tabs>
          <w:tab w:val="left" w:pos="851"/>
        </w:tabs>
        <w:bidi w:val="0"/>
        <w:adjustRightInd/>
        <w:jc w:val="both"/>
        <w:rPr>
          <w:rFonts w:ascii="Times New Roman" w:hAnsi="Times New Roman"/>
        </w:rPr>
      </w:pPr>
      <w:r w:rsidRPr="00F77DA8">
        <w:rPr>
          <w:rFonts w:ascii="Times New Roman" w:hAnsi="Times New Roman"/>
        </w:rPr>
        <w:t>rozhodnutie Súdneho dvora vo veci C - 398/99, Yorkshire Co-operatives Ltd proti Commissioners of Customs &amp; Excise, rok 2003,</w:t>
      </w:r>
    </w:p>
    <w:p w:rsidR="006757B6" w:rsidRPr="00F77DA8" w:rsidP="006757B6">
      <w:pPr>
        <w:widowControl/>
        <w:numPr>
          <w:numId w:val="9"/>
        </w:numPr>
        <w:tabs>
          <w:tab w:val="left" w:pos="851"/>
        </w:tabs>
        <w:bidi w:val="0"/>
        <w:adjustRightInd/>
        <w:jc w:val="both"/>
        <w:rPr>
          <w:rFonts w:ascii="Times New Roman" w:hAnsi="Times New Roman"/>
        </w:rPr>
      </w:pPr>
      <w:r w:rsidRPr="00F77DA8">
        <w:rPr>
          <w:rFonts w:ascii="Times New Roman" w:hAnsi="Times New Roman"/>
        </w:rPr>
        <w:t>rozhodnutie Súdneho dvora v spojených veciach C - 643/11, LVK – 56 EOOD proti Direktor na Direkcija „Obžalvane i upravlenie na izpalnenieto“ – Varna pri Centralno upravlenie na Nacionalnata agencija za prichodite, rok 2013.</w:t>
      </w:r>
    </w:p>
    <w:p w:rsidR="006757B6" w:rsidRPr="00F77DA8" w:rsidP="006757B6">
      <w:pPr>
        <w:pStyle w:val="BodyText"/>
        <w:bidi w:val="0"/>
        <w:spacing w:after="0"/>
        <w:jc w:val="both"/>
        <w:rPr>
          <w:rFonts w:ascii="Times New Roman" w:hAnsi="Times New Roman"/>
        </w:rPr>
      </w:pPr>
    </w:p>
    <w:p w:rsidR="006757B6" w:rsidP="006757B6">
      <w:pPr>
        <w:tabs>
          <w:tab w:val="left" w:pos="360"/>
        </w:tabs>
        <w:bidi w:val="0"/>
        <w:jc w:val="both"/>
        <w:rPr>
          <w:rFonts w:ascii="Times New Roman" w:hAnsi="Times New Roman"/>
          <w:bCs/>
        </w:rPr>
      </w:pPr>
      <w:r w:rsidRPr="00F77DA8">
        <w:rPr>
          <w:rFonts w:ascii="Times New Roman" w:hAnsi="Times New Roman"/>
          <w:bCs/>
        </w:rPr>
        <w:t>4.    Záväzky Slovenskej republiky vo vzťahu k Európskej únii:</w:t>
      </w:r>
    </w:p>
    <w:p w:rsidR="006757B6" w:rsidRPr="00F77DA8" w:rsidP="006757B6">
      <w:pPr>
        <w:tabs>
          <w:tab w:val="left" w:pos="360"/>
        </w:tabs>
        <w:bidi w:val="0"/>
        <w:jc w:val="both"/>
        <w:rPr>
          <w:rFonts w:ascii="Times New Roman" w:hAnsi="Times New Roman"/>
          <w:bCs/>
        </w:rPr>
      </w:pPr>
    </w:p>
    <w:p w:rsidR="006757B6" w:rsidRPr="00F77DA8" w:rsidP="006757B6">
      <w:pPr>
        <w:pStyle w:val="BodyText"/>
        <w:numPr>
          <w:numId w:val="6"/>
        </w:numPr>
        <w:tabs>
          <w:tab w:val="left" w:pos="360"/>
          <w:tab w:val="left" w:pos="540"/>
        </w:tabs>
        <w:bidi w:val="0"/>
        <w:spacing w:after="0"/>
        <w:ind w:left="357" w:hanging="357"/>
        <w:jc w:val="both"/>
        <w:rPr>
          <w:rFonts w:ascii="Times New Roman" w:hAnsi="Times New Roman"/>
        </w:rPr>
      </w:pPr>
      <w:r w:rsidRPr="00F77DA8">
        <w:rPr>
          <w:rFonts w:ascii="Times New Roman" w:hAnsi="Times New Roman"/>
        </w:rPr>
        <w:t>Lehota na prebratie smernice alebo lehota na implementáciu nariadenia alebo rozhodnutia: bezpredmetné.</w:t>
      </w:r>
    </w:p>
    <w:p w:rsidR="006757B6" w:rsidRPr="00F77DA8" w:rsidP="006757B6">
      <w:pPr>
        <w:pStyle w:val="BodyText"/>
        <w:numPr>
          <w:numId w:val="6"/>
        </w:numPr>
        <w:tabs>
          <w:tab w:val="left" w:pos="360"/>
          <w:tab w:val="left" w:pos="540"/>
        </w:tabs>
        <w:bidi w:val="0"/>
        <w:spacing w:after="0"/>
        <w:ind w:left="357" w:hanging="357"/>
        <w:jc w:val="both"/>
        <w:rPr>
          <w:rFonts w:ascii="Times New Roman" w:hAnsi="Times New Roman"/>
        </w:rPr>
      </w:pPr>
      <w:r w:rsidRPr="00F77DA8">
        <w:rPr>
          <w:rFonts w:ascii="Times New Roman" w:hAnsi="Times New Roman"/>
        </w:rPr>
        <w:t>Lehota určená na predloženie návrhu právneho predpisu na rokovanie vlády podľa určenia gestorských ústredných orgánov štátnej správy zodpovedných za transpozíciu smerníc a vypracovanie tabuliek zhody k návrhom všeobecne záväzných právnych predpisov: bezpredmetné.</w:t>
      </w:r>
    </w:p>
    <w:p w:rsidR="006757B6" w:rsidRPr="00F77DA8" w:rsidP="006757B6">
      <w:pPr>
        <w:pStyle w:val="BodyText"/>
        <w:numPr>
          <w:numId w:val="6"/>
        </w:numPr>
        <w:tabs>
          <w:tab w:val="left" w:pos="360"/>
        </w:tabs>
        <w:bidi w:val="0"/>
        <w:spacing w:after="0"/>
        <w:ind w:left="357" w:hanging="357"/>
        <w:jc w:val="both"/>
        <w:rPr>
          <w:rFonts w:ascii="Times New Roman" w:hAnsi="Times New Roman"/>
        </w:rPr>
      </w:pPr>
      <w:r w:rsidRPr="00F77DA8">
        <w:rPr>
          <w:rFonts w:ascii="Times New Roman" w:hAnsi="Times New Roman"/>
        </w:rPr>
        <w:t>Proti SR nebolo začaté konanie o porušení Zmluvy o založení Európskych spoločenstiev podľa čl. 258 až 260 Zmluvy o fungovaní Európskej únie.</w:t>
      </w:r>
    </w:p>
    <w:p w:rsidR="006757B6" w:rsidRPr="00F77DA8" w:rsidP="006757B6">
      <w:pPr>
        <w:pStyle w:val="BodyText"/>
        <w:numPr>
          <w:numId w:val="6"/>
        </w:numPr>
        <w:tabs>
          <w:tab w:val="left" w:pos="360"/>
        </w:tabs>
        <w:bidi w:val="0"/>
        <w:spacing w:after="0"/>
        <w:ind w:left="357" w:hanging="357"/>
        <w:jc w:val="both"/>
        <w:rPr>
          <w:rFonts w:ascii="Times New Roman" w:hAnsi="Times New Roman"/>
        </w:rPr>
      </w:pPr>
      <w:r w:rsidRPr="00F77DA8">
        <w:rPr>
          <w:rFonts w:ascii="Times New Roman" w:hAnsi="Times New Roman"/>
        </w:rPr>
        <w:t>Bezpredmetné.</w:t>
      </w:r>
    </w:p>
    <w:p w:rsidR="006757B6" w:rsidRPr="00F77DA8" w:rsidP="006757B6">
      <w:pPr>
        <w:pStyle w:val="BodyText"/>
        <w:tabs>
          <w:tab w:val="left" w:pos="360"/>
        </w:tabs>
        <w:bidi w:val="0"/>
        <w:spacing w:after="0"/>
        <w:jc w:val="both"/>
        <w:rPr>
          <w:rFonts w:ascii="Times New Roman" w:hAnsi="Times New Roman"/>
        </w:rPr>
      </w:pPr>
    </w:p>
    <w:p w:rsidR="006757B6" w:rsidRPr="00F77DA8" w:rsidP="006757B6">
      <w:pPr>
        <w:tabs>
          <w:tab w:val="left" w:pos="360"/>
        </w:tabs>
        <w:bidi w:val="0"/>
        <w:jc w:val="both"/>
        <w:rPr>
          <w:rFonts w:ascii="Times New Roman" w:hAnsi="Times New Roman"/>
          <w:b/>
          <w:bCs/>
        </w:rPr>
      </w:pPr>
      <w:r w:rsidRPr="00F77DA8">
        <w:rPr>
          <w:rFonts w:ascii="Times New Roman" w:hAnsi="Times New Roman"/>
          <w:bCs/>
        </w:rPr>
        <w:t>5.</w:t>
      </w:r>
      <w:r w:rsidRPr="00F77DA8">
        <w:rPr>
          <w:rFonts w:ascii="Times New Roman" w:hAnsi="Times New Roman"/>
          <w:b/>
          <w:bCs/>
        </w:rPr>
        <w:tab/>
      </w:r>
      <w:r w:rsidRPr="00F77DA8">
        <w:rPr>
          <w:rFonts w:ascii="Times New Roman" w:hAnsi="Times New Roman"/>
          <w:bCs/>
        </w:rPr>
        <w:t>Stupeň zlučiteľnosti návrhu zákona s právom Európskej únie:</w:t>
      </w:r>
    </w:p>
    <w:p w:rsidR="006757B6" w:rsidRPr="00F77DA8" w:rsidP="006757B6">
      <w:pPr>
        <w:bidi w:val="0"/>
        <w:jc w:val="both"/>
        <w:rPr>
          <w:rFonts w:ascii="Times New Roman" w:hAnsi="Times New Roman"/>
        </w:rPr>
      </w:pPr>
      <w:r>
        <w:rPr>
          <w:rFonts w:ascii="Times New Roman" w:hAnsi="Times New Roman"/>
        </w:rPr>
        <w:t xml:space="preserve">      </w:t>
      </w:r>
      <w:r w:rsidRPr="00F77DA8">
        <w:rPr>
          <w:rFonts w:ascii="Times New Roman" w:hAnsi="Times New Roman"/>
        </w:rPr>
        <w:t>Úplný.</w:t>
      </w:r>
    </w:p>
    <w:p w:rsidR="006757B6" w:rsidRPr="00F77DA8" w:rsidP="006757B6">
      <w:pPr>
        <w:bidi w:val="0"/>
        <w:jc w:val="both"/>
        <w:rPr>
          <w:rFonts w:ascii="Times New Roman" w:hAnsi="Times New Roman"/>
          <w:bCs/>
        </w:rPr>
      </w:pPr>
    </w:p>
    <w:p w:rsidR="006757B6" w:rsidRPr="00F77DA8" w:rsidP="006757B6">
      <w:pPr>
        <w:tabs>
          <w:tab w:val="left" w:pos="360"/>
        </w:tabs>
        <w:bidi w:val="0"/>
        <w:jc w:val="both"/>
        <w:rPr>
          <w:rFonts w:ascii="Times New Roman" w:hAnsi="Times New Roman"/>
          <w:bCs/>
        </w:rPr>
      </w:pPr>
      <w:r w:rsidRPr="00F77DA8">
        <w:rPr>
          <w:rFonts w:ascii="Times New Roman" w:hAnsi="Times New Roman"/>
          <w:bCs/>
        </w:rPr>
        <w:t>6.</w:t>
        <w:tab/>
        <w:t xml:space="preserve">Gestor a spolupracujúce rezorty: </w:t>
      </w:r>
    </w:p>
    <w:p w:rsidR="006757B6" w:rsidRPr="00F77DA8" w:rsidP="006757B6">
      <w:pPr>
        <w:bidi w:val="0"/>
        <w:jc w:val="both"/>
        <w:rPr>
          <w:rFonts w:ascii="Times New Roman" w:hAnsi="Times New Roman"/>
          <w:b/>
          <w:bCs/>
        </w:rPr>
      </w:pPr>
      <w:r>
        <w:rPr>
          <w:rFonts w:ascii="Times New Roman" w:hAnsi="Times New Roman"/>
        </w:rPr>
        <w:t xml:space="preserve">      </w:t>
      </w:r>
      <w:r w:rsidRPr="00F77DA8">
        <w:rPr>
          <w:rFonts w:ascii="Times New Roman" w:hAnsi="Times New Roman"/>
        </w:rPr>
        <w:t>Ministerstvo financií Slovenskej republiky.</w:t>
      </w:r>
    </w:p>
    <w:p w:rsidR="007D4BD6" w:rsidP="007D4BD6">
      <w:pPr>
        <w:widowControl/>
        <w:bidi w:val="0"/>
        <w:jc w:val="both"/>
        <w:rPr>
          <w:rFonts w:ascii="Times New Roman" w:hAnsi="Times New Roman"/>
          <w:b/>
          <w:color w:val="000000"/>
        </w:rPr>
      </w:pPr>
    </w:p>
    <w:p w:rsidR="007D4BD6" w:rsidRPr="00E0007B" w:rsidP="007D4BD6">
      <w:pPr>
        <w:widowControl/>
        <w:bidi w:val="0"/>
        <w:jc w:val="both"/>
        <w:rPr>
          <w:rFonts w:ascii="Times New Roman" w:hAnsi="Times New Roman"/>
          <w:b/>
          <w:color w:val="000000"/>
        </w:rPr>
      </w:pPr>
      <w:r w:rsidRPr="00E0007B">
        <w:rPr>
          <w:rFonts w:ascii="Times New Roman" w:hAnsi="Times New Roman"/>
          <w:b/>
          <w:color w:val="000000"/>
        </w:rPr>
        <w:t>B. Osobitná časť</w:t>
      </w:r>
    </w:p>
    <w:p w:rsidR="007D4BD6" w:rsidP="007D4BD6">
      <w:pPr>
        <w:keepNext/>
        <w:widowControl/>
        <w:bidi w:val="0"/>
        <w:jc w:val="both"/>
        <w:rPr>
          <w:rStyle w:val="PlaceholderText"/>
          <w:b/>
          <w:color w:val="000000"/>
        </w:rPr>
      </w:pPr>
    </w:p>
    <w:p w:rsidR="007D4BD6" w:rsidRPr="00E0007B" w:rsidP="007D4BD6">
      <w:pPr>
        <w:keepNext/>
        <w:widowControl/>
        <w:bidi w:val="0"/>
        <w:jc w:val="both"/>
        <w:rPr>
          <w:rFonts w:ascii="Times New Roman" w:hAnsi="Times New Roman"/>
          <w:color w:val="000000"/>
        </w:rPr>
      </w:pPr>
      <w:r w:rsidRPr="00E0007B">
        <w:rPr>
          <w:rStyle w:val="PlaceholderText"/>
          <w:b/>
          <w:color w:val="000000"/>
        </w:rPr>
        <w:t>K článku I</w:t>
      </w:r>
    </w:p>
    <w:p w:rsidR="007D4BD6" w:rsidRPr="00E0007B" w:rsidP="007D4BD6">
      <w:pPr>
        <w:widowControl/>
        <w:bidi w:val="0"/>
        <w:jc w:val="both"/>
        <w:rPr>
          <w:rStyle w:val="PlaceholderText"/>
          <w:color w:val="000000"/>
        </w:rPr>
      </w:pPr>
      <w:r w:rsidRPr="00E0007B">
        <w:rPr>
          <w:rStyle w:val="PlaceholderText"/>
          <w:color w:val="000000"/>
        </w:rPr>
        <w:t> </w:t>
      </w:r>
    </w:p>
    <w:p w:rsidR="007D4BD6" w:rsidRPr="00E0007B" w:rsidP="007D4BD6">
      <w:pPr>
        <w:widowControl/>
        <w:bidi w:val="0"/>
        <w:jc w:val="both"/>
        <w:rPr>
          <w:rStyle w:val="PlaceholderText"/>
          <w:color w:val="000000"/>
        </w:rPr>
      </w:pPr>
      <w:r w:rsidRPr="00E0007B">
        <w:rPr>
          <w:rStyle w:val="PlaceholderText"/>
          <w:b/>
          <w:color w:val="000000"/>
        </w:rPr>
        <w:t>K bodom 1, 2, 5, 8, 14, 15, 35, 37 (§ 4 ods. 2 a 3 a súvisiace ustanovenia)</w:t>
      </w:r>
    </w:p>
    <w:p w:rsidR="007D4BD6" w:rsidRPr="00E0007B" w:rsidP="007D4BD6">
      <w:pPr>
        <w:widowControl/>
        <w:bidi w:val="0"/>
        <w:jc w:val="both"/>
        <w:rPr>
          <w:rStyle w:val="PlaceholderText"/>
          <w:color w:val="000000"/>
        </w:rPr>
      </w:pPr>
      <w:r w:rsidRPr="00E0007B">
        <w:rPr>
          <w:rStyle w:val="PlaceholderText"/>
          <w:color w:val="000000"/>
        </w:rPr>
        <w:t> </w:t>
      </w:r>
    </w:p>
    <w:p w:rsidR="007D4BD6" w:rsidRPr="00E0007B" w:rsidP="007D4BD6">
      <w:pPr>
        <w:widowControl/>
        <w:bidi w:val="0"/>
        <w:jc w:val="both"/>
        <w:rPr>
          <w:rStyle w:val="PlaceholderText"/>
          <w:color w:val="000000"/>
        </w:rPr>
      </w:pPr>
      <w:r w:rsidRPr="00E0007B">
        <w:rPr>
          <w:rStyle w:val="PlaceholderText"/>
          <w:color w:val="000000"/>
        </w:rPr>
        <w:t xml:space="preserve">Navrhuje sa vypustenie ustanovení týkajúcich sa povinnej ale aj dobrovoľnej registrácie zdaniteľných osôb, ktoré spoločne podnikajú na základe zmluvy o združení alebo inej obdobnej zmluvy. Dôvodom vypustenia týchto ustanovení je dosiahnutie súladu so smernicou Rady 2006/112/ES o spoločnom systéme dane z pridanej hodnoty. </w:t>
      </w:r>
    </w:p>
    <w:p w:rsidR="007D4BD6" w:rsidRPr="00E0007B" w:rsidP="007D4BD6">
      <w:pPr>
        <w:widowControl/>
        <w:bidi w:val="0"/>
        <w:jc w:val="both"/>
        <w:rPr>
          <w:rStyle w:val="PlaceholderText"/>
          <w:color w:val="000000"/>
        </w:rPr>
      </w:pPr>
      <w:r w:rsidRPr="00E0007B">
        <w:rPr>
          <w:rStyle w:val="PlaceholderText"/>
          <w:color w:val="000000"/>
        </w:rPr>
        <w:t> </w:t>
      </w:r>
    </w:p>
    <w:p w:rsidR="007D4BD6" w:rsidRPr="00E0007B" w:rsidP="007D4BD6">
      <w:pPr>
        <w:widowControl/>
        <w:bidi w:val="0"/>
        <w:jc w:val="both"/>
        <w:rPr>
          <w:rStyle w:val="PlaceholderText"/>
          <w:color w:val="000000"/>
        </w:rPr>
      </w:pPr>
      <w:r w:rsidRPr="00E0007B">
        <w:rPr>
          <w:rStyle w:val="PlaceholderText"/>
          <w:b/>
          <w:color w:val="000000"/>
        </w:rPr>
        <w:t>K bodom 3 a 4 (§ 4 ods. 4)</w:t>
      </w:r>
    </w:p>
    <w:p w:rsidR="007D4BD6" w:rsidRPr="00E0007B" w:rsidP="007D4BD6">
      <w:pPr>
        <w:widowControl/>
        <w:bidi w:val="0"/>
        <w:jc w:val="both"/>
        <w:rPr>
          <w:rStyle w:val="PlaceholderText"/>
          <w:color w:val="000000"/>
        </w:rPr>
      </w:pPr>
      <w:r w:rsidRPr="00E0007B">
        <w:rPr>
          <w:rStyle w:val="PlaceholderText"/>
          <w:b/>
          <w:color w:val="000000"/>
        </w:rPr>
        <w:t xml:space="preserve">            </w:t>
      </w:r>
    </w:p>
    <w:p w:rsidR="007D4BD6" w:rsidRPr="00E0007B" w:rsidP="007D4BD6">
      <w:pPr>
        <w:widowControl/>
        <w:bidi w:val="0"/>
        <w:jc w:val="both"/>
        <w:rPr>
          <w:rStyle w:val="PlaceholderText"/>
          <w:color w:val="000000"/>
        </w:rPr>
      </w:pPr>
      <w:r w:rsidRPr="00E0007B">
        <w:rPr>
          <w:rStyle w:val="PlaceholderText"/>
          <w:color w:val="000000"/>
        </w:rPr>
        <w:t>Ustanovenie sa spresňuje vo vzťahu k získaniu postavenia platiteľa dane zo zákona na základe nadobudnutia podniku alebo nadobudnutia samostatnej organizačnej zložky (kúpa alebo vklad podniku do obchodnej spoločnosti). Bližšie sa určuje skutočnosť, ktorou je nadobudnutie podniku alebo nadobudnutie organizačnej zložky. Osoba sa stane platiteľom dane len za predpokladu, že v rámci predaja podniku alebo jeho časti príp. vkladu podniku sa prevádza hmotný a nehmotný majetok. Týmto sa má zabrániť situácii, aby sa subjekt na základe umelo vytvorenej schémy (formálny predaj podniku alebo organizačnej zložky bez existencie majetku) nestal platiteľom dane.</w:t>
      </w:r>
    </w:p>
    <w:p w:rsidR="007D4BD6" w:rsidRPr="00E0007B" w:rsidP="007D4BD6">
      <w:pPr>
        <w:widowControl/>
        <w:bidi w:val="0"/>
        <w:jc w:val="both"/>
        <w:rPr>
          <w:rStyle w:val="PlaceholderText"/>
          <w:color w:val="000000"/>
        </w:rPr>
      </w:pPr>
      <w:r w:rsidRPr="00E0007B">
        <w:rPr>
          <w:rStyle w:val="PlaceholderText"/>
          <w:color w:val="000000"/>
        </w:rPr>
        <w:t xml:space="preserve">Ustanovenie sa spresňuje aj v tom smere, že nadobudnutie postavenia platiteľa dane bude overovať  daňový úrad na základe predložených dokladov. Z tohto dôvodu zo zákona vyplýva povinnosť, aby subjekt okrem oznámenia skutočnosti, na základe ktorej sa mal stať platiteľom dane, poslal aj príslušné doklady osvedčujúce túto skutočnosť (napr. zmluva o predaji podniku, výpis z obchodného registra, zmluva o dodaní stavby). </w:t>
      </w:r>
    </w:p>
    <w:p w:rsidR="007D4BD6" w:rsidRPr="00E0007B" w:rsidP="007D4BD6">
      <w:pPr>
        <w:widowControl/>
        <w:bidi w:val="0"/>
        <w:jc w:val="both"/>
        <w:rPr>
          <w:rStyle w:val="PlaceholderText"/>
          <w:color w:val="000000"/>
        </w:rPr>
      </w:pPr>
      <w:r w:rsidRPr="00E0007B">
        <w:rPr>
          <w:rStyle w:val="PlaceholderText"/>
          <w:color w:val="000000"/>
        </w:rPr>
        <w:t>Ak daňový úrad zistí, že nie sú splnené podmienky na registráciu, nevydá osvedčenie, nepridelí IČ DPH a o tejto skutočnosti vydá rozhodnutie, proti ktorému nie je možné podať odvolanie.</w:t>
      </w:r>
    </w:p>
    <w:p w:rsidR="007D4BD6" w:rsidRPr="00E0007B" w:rsidP="007D4BD6">
      <w:pPr>
        <w:widowControl/>
        <w:bidi w:val="0"/>
        <w:jc w:val="both"/>
        <w:rPr>
          <w:rStyle w:val="PlaceholderText"/>
          <w:color w:val="000000"/>
        </w:rPr>
      </w:pPr>
      <w:r w:rsidRPr="00E0007B">
        <w:rPr>
          <w:rStyle w:val="PlaceholderText"/>
          <w:color w:val="000000"/>
        </w:rPr>
        <w:t> </w:t>
      </w:r>
    </w:p>
    <w:p w:rsidR="007D4BD6" w:rsidRPr="00E0007B" w:rsidP="007D4BD6">
      <w:pPr>
        <w:widowControl/>
        <w:bidi w:val="0"/>
        <w:jc w:val="both"/>
        <w:rPr>
          <w:rStyle w:val="PlaceholderText"/>
          <w:color w:val="000000"/>
        </w:rPr>
      </w:pPr>
      <w:r w:rsidRPr="00E0007B">
        <w:rPr>
          <w:rStyle w:val="PlaceholderText"/>
          <w:b/>
          <w:color w:val="000000"/>
        </w:rPr>
        <w:t>K bodu 6 (§ 4b ods. 5)</w:t>
      </w:r>
    </w:p>
    <w:p w:rsidR="007D4BD6" w:rsidRPr="00E0007B" w:rsidP="007D4BD6">
      <w:pPr>
        <w:widowControl/>
        <w:bidi w:val="0"/>
        <w:jc w:val="both"/>
        <w:rPr>
          <w:rStyle w:val="PlaceholderText"/>
          <w:color w:val="000000"/>
        </w:rPr>
      </w:pPr>
      <w:r w:rsidRPr="00E0007B">
        <w:rPr>
          <w:rStyle w:val="PlaceholderText"/>
          <w:color w:val="000000"/>
        </w:rPr>
        <w:t> </w:t>
      </w:r>
    </w:p>
    <w:p w:rsidR="007D4BD6" w:rsidRPr="00E0007B" w:rsidP="007D4BD6">
      <w:pPr>
        <w:widowControl/>
        <w:bidi w:val="0"/>
        <w:jc w:val="both"/>
        <w:rPr>
          <w:rStyle w:val="PlaceholderText"/>
          <w:color w:val="000000"/>
        </w:rPr>
      </w:pPr>
      <w:r w:rsidRPr="00E0007B">
        <w:rPr>
          <w:rStyle w:val="PlaceholderText"/>
          <w:color w:val="000000"/>
        </w:rPr>
        <w:t xml:space="preserve">Navrhuje sa, aby v prípade pristúpenia nového člena do skupiny, bola zmena registrácie vykonaná aj v priebehu kalendárneho roka, to znamená, že ak zástupca podá žiadosť o zmenu registrácie z dôvodu pristúpenia nového člena napr. 25.2.2014, daňový úrad zmenu registrácie skupiny vykoná k 1.5.2014. Samozrejme za predpokladu, že pristupujúci člen spĺňa podmienky podľa § 4a zákona. Práva a povinnosti podľa zákona o DPH prechádzajú na skupinu dňom 1.5.2014. </w:t>
      </w:r>
    </w:p>
    <w:p w:rsidR="007D4BD6" w:rsidRPr="00E0007B" w:rsidP="007D4BD6">
      <w:pPr>
        <w:widowControl/>
        <w:bidi w:val="0"/>
        <w:jc w:val="both"/>
        <w:rPr>
          <w:rStyle w:val="PlaceholderText"/>
          <w:color w:val="000000"/>
        </w:rPr>
      </w:pPr>
      <w:r w:rsidRPr="00E0007B">
        <w:rPr>
          <w:rStyle w:val="PlaceholderText"/>
          <w:b/>
          <w:color w:val="000000"/>
        </w:rPr>
        <w:t xml:space="preserve">            </w:t>
      </w:r>
    </w:p>
    <w:p w:rsidR="007D4BD6" w:rsidRPr="00E0007B" w:rsidP="007D4BD6">
      <w:pPr>
        <w:widowControl/>
        <w:bidi w:val="0"/>
        <w:jc w:val="both"/>
        <w:rPr>
          <w:rStyle w:val="PlaceholderText"/>
          <w:color w:val="000000"/>
        </w:rPr>
      </w:pPr>
      <w:r w:rsidRPr="00E0007B">
        <w:rPr>
          <w:rStyle w:val="PlaceholderText"/>
          <w:b/>
          <w:color w:val="000000"/>
        </w:rPr>
        <w:t>K bodu 7 (§ 4c ods. 1 písm. b)</w:t>
      </w:r>
    </w:p>
    <w:p w:rsidR="007D4BD6" w:rsidRPr="00E0007B" w:rsidP="007D4BD6">
      <w:pPr>
        <w:widowControl/>
        <w:bidi w:val="0"/>
        <w:jc w:val="both"/>
        <w:rPr>
          <w:rStyle w:val="PlaceholderText"/>
          <w:color w:val="000000"/>
        </w:rPr>
      </w:pPr>
      <w:r w:rsidRPr="00E0007B">
        <w:rPr>
          <w:rStyle w:val="PlaceholderText"/>
          <w:color w:val="000000"/>
        </w:rPr>
        <w:t> </w:t>
      </w:r>
    </w:p>
    <w:p w:rsidR="007D4BD6" w:rsidRPr="00E0007B" w:rsidP="007D4BD6">
      <w:pPr>
        <w:widowControl/>
        <w:bidi w:val="0"/>
        <w:jc w:val="both"/>
        <w:rPr>
          <w:rStyle w:val="PlaceholderText"/>
          <w:color w:val="000000"/>
        </w:rPr>
      </w:pPr>
      <w:r w:rsidRPr="00E0007B">
        <w:rPr>
          <w:rStyle w:val="PlaceholderText"/>
          <w:color w:val="000000"/>
        </w:rPr>
        <w:t xml:space="preserve">Povinnosť zložiť zábezpeku na daň sa rozširuje aj na prípady, ak je žiadateľom právnická osoba, ktorej spoločníkom je tiež právnická osoba, ktorá má nedoplatky na DPH 1 000 eur a viac. </w:t>
      </w:r>
    </w:p>
    <w:p w:rsidR="007D4BD6" w:rsidP="007D4BD6">
      <w:pPr>
        <w:widowControl/>
        <w:bidi w:val="0"/>
        <w:jc w:val="both"/>
        <w:rPr>
          <w:rStyle w:val="PlaceholderText"/>
          <w:b/>
          <w:color w:val="000000"/>
        </w:rPr>
      </w:pPr>
      <w:r w:rsidRPr="00E0007B">
        <w:rPr>
          <w:rStyle w:val="PlaceholderText"/>
          <w:color w:val="000000"/>
        </w:rPr>
        <w:t> </w:t>
      </w:r>
    </w:p>
    <w:p w:rsidR="007D4BD6" w:rsidRPr="00E0007B" w:rsidP="007D4BD6">
      <w:pPr>
        <w:widowControl/>
        <w:bidi w:val="0"/>
        <w:jc w:val="both"/>
        <w:rPr>
          <w:rStyle w:val="PlaceholderText"/>
          <w:color w:val="000000"/>
        </w:rPr>
      </w:pPr>
      <w:r w:rsidRPr="00E0007B">
        <w:rPr>
          <w:rStyle w:val="PlaceholderText"/>
          <w:b/>
          <w:color w:val="000000"/>
        </w:rPr>
        <w:t>K bodu 9 (§ 4c ods. 9)</w:t>
      </w:r>
    </w:p>
    <w:p w:rsidR="007D4BD6" w:rsidRPr="00E0007B" w:rsidP="007D4BD6">
      <w:pPr>
        <w:widowControl/>
        <w:bidi w:val="0"/>
        <w:ind w:firstLine="708"/>
        <w:jc w:val="both"/>
        <w:rPr>
          <w:rStyle w:val="PlaceholderText"/>
          <w:color w:val="000000"/>
        </w:rPr>
      </w:pPr>
      <w:r w:rsidRPr="00E0007B">
        <w:rPr>
          <w:rStyle w:val="PlaceholderText"/>
          <w:color w:val="000000"/>
        </w:rPr>
        <w:t> </w:t>
      </w:r>
    </w:p>
    <w:p w:rsidR="007D4BD6" w:rsidRPr="00E0007B" w:rsidP="007D4BD6">
      <w:pPr>
        <w:widowControl/>
        <w:bidi w:val="0"/>
        <w:jc w:val="both"/>
        <w:rPr>
          <w:rStyle w:val="PlaceholderText"/>
          <w:color w:val="000000"/>
        </w:rPr>
      </w:pPr>
      <w:r w:rsidRPr="00E0007B">
        <w:rPr>
          <w:rStyle w:val="PlaceholderText"/>
          <w:color w:val="000000"/>
        </w:rPr>
        <w:t xml:space="preserve">Povinnosť zložiť zábezpeku na DPH na základe rozhodnutia daňového úradu podľa § 4c zákona (povinnosť bola zavedená v zákone s účinnosťou od 1.10.2012) sa rozširuje aj na tie subjekty, ktoré nadobudli postavenie platiteľa dane zo zákona podľa § 4 ods. 6 zákona (od 1.1.2014 podľa ods. 4), a na zdaniteľné osoby, ktorým bola zmenená registrácia podľa § 5 alebo § 6 na registráciu podľa § 4 zákona (IČ DPH sa nemení) za predpokladu, že tieto osoby budú spĺňať podmienky na uloženie zábezpeky. Týmto sa má zabrániť snahám dosiahnuť registráciu inú ako podľa § 4 ods. 1 až 4 zákona (resp. od 1.1.2014 inú ako podľa § 4 ods. 1 alebo 2), a tým sa vyhnúť plateniu zábezpeky.  </w:t>
      </w:r>
    </w:p>
    <w:p w:rsidR="007D4BD6" w:rsidRPr="00E0007B" w:rsidP="007D4BD6">
      <w:pPr>
        <w:widowControl/>
        <w:bidi w:val="0"/>
        <w:jc w:val="both"/>
        <w:rPr>
          <w:rStyle w:val="PlaceholderText"/>
          <w:color w:val="000000"/>
        </w:rPr>
      </w:pPr>
      <w:r w:rsidRPr="00E0007B">
        <w:rPr>
          <w:rStyle w:val="PlaceholderText"/>
          <w:color w:val="000000"/>
        </w:rPr>
        <w:t> </w:t>
      </w:r>
    </w:p>
    <w:p w:rsidR="007D4BD6" w:rsidRPr="00E0007B" w:rsidP="007D4BD6">
      <w:pPr>
        <w:widowControl/>
        <w:bidi w:val="0"/>
        <w:jc w:val="both"/>
        <w:rPr>
          <w:rStyle w:val="PlaceholderText"/>
          <w:color w:val="000000"/>
        </w:rPr>
      </w:pPr>
      <w:r w:rsidRPr="00E0007B">
        <w:rPr>
          <w:rStyle w:val="PlaceholderText"/>
          <w:b/>
          <w:color w:val="000000"/>
        </w:rPr>
        <w:t>K bodu 10 (§ 5 ods. 1)</w:t>
      </w:r>
    </w:p>
    <w:p w:rsidR="007D4BD6" w:rsidRPr="00E0007B" w:rsidP="007D4BD6">
      <w:pPr>
        <w:widowControl/>
        <w:bidi w:val="0"/>
        <w:ind w:firstLine="708"/>
        <w:jc w:val="both"/>
        <w:rPr>
          <w:rStyle w:val="PlaceholderText"/>
          <w:color w:val="000000"/>
        </w:rPr>
      </w:pPr>
      <w:r w:rsidRPr="00E0007B">
        <w:rPr>
          <w:rStyle w:val="PlaceholderText"/>
          <w:color w:val="000000"/>
        </w:rPr>
        <w:t> </w:t>
      </w:r>
    </w:p>
    <w:p w:rsidR="007D4BD6" w:rsidRPr="00E0007B" w:rsidP="007D4BD6">
      <w:pPr>
        <w:widowControl/>
        <w:bidi w:val="0"/>
        <w:jc w:val="both"/>
        <w:rPr>
          <w:rStyle w:val="PlaceholderText"/>
          <w:color w:val="000000"/>
        </w:rPr>
      </w:pPr>
      <w:r w:rsidRPr="00E0007B">
        <w:rPr>
          <w:rStyle w:val="PlaceholderText"/>
          <w:color w:val="000000"/>
        </w:rPr>
        <w:t xml:space="preserve">Navrhuje sa vypustiť povinnosť pre zahraničné osoby registrovať sa pre DPH v tuzemsku v prípade, ak tieto osoby uskutočnia dovoz tovaru do SR. Povinnosť registrovať sa v tuzemsku pre DPH ostáva zachovaná, ak dovezený tovar plánujú dovozcovia dodať s miestom dodania v SR (ustanovenie § 69a zákona týmto nie je dotknuté). </w:t>
      </w:r>
    </w:p>
    <w:p w:rsidR="007D4BD6" w:rsidRPr="00E0007B" w:rsidP="007D4BD6">
      <w:pPr>
        <w:widowControl/>
        <w:bidi w:val="0"/>
        <w:jc w:val="both"/>
        <w:rPr>
          <w:rStyle w:val="PlaceholderText"/>
          <w:color w:val="000000"/>
        </w:rPr>
      </w:pPr>
      <w:r w:rsidRPr="00E0007B">
        <w:rPr>
          <w:rStyle w:val="PlaceholderText"/>
          <w:color w:val="000000"/>
        </w:rPr>
        <w:t> </w:t>
      </w:r>
    </w:p>
    <w:p w:rsidR="007D4BD6" w:rsidRPr="00E0007B" w:rsidP="007D4BD6">
      <w:pPr>
        <w:widowControl/>
        <w:bidi w:val="0"/>
        <w:jc w:val="both"/>
        <w:rPr>
          <w:rStyle w:val="PlaceholderText"/>
          <w:color w:val="000000"/>
        </w:rPr>
      </w:pPr>
      <w:r w:rsidRPr="00E0007B">
        <w:rPr>
          <w:rStyle w:val="PlaceholderText"/>
          <w:b/>
          <w:color w:val="000000"/>
        </w:rPr>
        <w:t>K bodu 11 (§ 6a)</w:t>
      </w:r>
    </w:p>
    <w:p w:rsidR="007D4BD6" w:rsidRPr="00E0007B" w:rsidP="007D4BD6">
      <w:pPr>
        <w:widowControl/>
        <w:bidi w:val="0"/>
        <w:ind w:firstLine="708"/>
        <w:jc w:val="both"/>
        <w:rPr>
          <w:rStyle w:val="PlaceholderText"/>
          <w:color w:val="000000"/>
        </w:rPr>
      </w:pPr>
      <w:r w:rsidRPr="00E0007B">
        <w:rPr>
          <w:rStyle w:val="PlaceholderText"/>
          <w:color w:val="000000"/>
        </w:rPr>
        <w:t> </w:t>
      </w:r>
    </w:p>
    <w:p w:rsidR="007D4BD6" w:rsidRPr="00E0007B" w:rsidP="007D4BD6">
      <w:pPr>
        <w:widowControl/>
        <w:bidi w:val="0"/>
        <w:jc w:val="both"/>
        <w:rPr>
          <w:rStyle w:val="PlaceholderText"/>
          <w:color w:val="000000"/>
        </w:rPr>
      </w:pPr>
      <w:r w:rsidRPr="00E0007B">
        <w:rPr>
          <w:rStyle w:val="PlaceholderText"/>
          <w:color w:val="000000"/>
        </w:rPr>
        <w:t>Ak zahraničná osoba prestane spĺňať status zahraničnej osoby (napr. z dôvodu, že v SR vznikla prevádzkareň v zmysle § 4 ods. 7 zákona, príp. došlo k presunu sídla do SR, zmena bydliska), považuje sa za osobu, ktorá je registrovaná podľa § 4 zákona (registrácia podľa § 4 sa týka osôb usadených v SR). Zmena registrácie podľa § 5 a § 6 zákona na registráciu podľa § 4 nie je podmienená dosiahnutím obratu.</w:t>
      </w:r>
    </w:p>
    <w:p w:rsidR="007D4BD6" w:rsidRPr="00E0007B" w:rsidP="007D4BD6">
      <w:pPr>
        <w:widowControl/>
        <w:bidi w:val="0"/>
        <w:jc w:val="both"/>
        <w:rPr>
          <w:rStyle w:val="PlaceholderText"/>
          <w:color w:val="000000"/>
        </w:rPr>
      </w:pPr>
      <w:r w:rsidRPr="00E0007B">
        <w:rPr>
          <w:rStyle w:val="PlaceholderText"/>
          <w:color w:val="000000"/>
        </w:rPr>
        <w:t xml:space="preserve">Zahraničná osoba je povinná písomne informovať daňový úrad o skutočnosti, na základe ktorej prestala spĺňať status zahraničnej osoby. </w:t>
      </w:r>
    </w:p>
    <w:p w:rsidR="007D4BD6" w:rsidRPr="00E0007B" w:rsidP="007D4BD6">
      <w:pPr>
        <w:widowControl/>
        <w:bidi w:val="0"/>
        <w:jc w:val="both"/>
        <w:rPr>
          <w:rStyle w:val="PlaceholderText"/>
          <w:color w:val="000000"/>
        </w:rPr>
      </w:pPr>
      <w:r w:rsidRPr="00E0007B">
        <w:rPr>
          <w:rStyle w:val="PlaceholderText"/>
          <w:color w:val="000000"/>
        </w:rPr>
        <w:t xml:space="preserve">Daňový úrad vykoná zmenu v registrácii podľa daňového poriadku. Predpokladá sa, že osvedčenia o registrácii pre daň budú od 1.1.2014 vydávané s vyznačením príslušného paragrafu zákona, podľa ktorého bolo osobe pridelené IČ DPH. </w:t>
      </w:r>
    </w:p>
    <w:p w:rsidR="007D4BD6" w:rsidRPr="00E0007B" w:rsidP="007D4BD6">
      <w:pPr>
        <w:widowControl/>
        <w:bidi w:val="0"/>
        <w:jc w:val="both"/>
        <w:rPr>
          <w:rStyle w:val="PlaceholderText"/>
          <w:color w:val="000000"/>
        </w:rPr>
      </w:pPr>
      <w:r w:rsidRPr="00E0007B">
        <w:rPr>
          <w:rStyle w:val="PlaceholderText"/>
          <w:color w:val="000000"/>
        </w:rPr>
        <w:t xml:space="preserve">Podobne sa navrhuje riešiť zmena registrácie z § 4 na registráciu podľa § 5 alebo § 6 zákona (napr. prevádzkareň v zmysle § 4 ods. 7 zákona zahraničnej právnickej osoby prestane spĺňať kritériá prevádzkarne). Zmena registrácie z § 4 na § 5 príp. § 6 zákona pripadá do úvahy vtedy, ak existuje dôvod na registráciu podľa § 5 alebo § 6, t. j. ak táto osoba, ktorá nadobudla status zahraničnej osoby, bude v tuzemsku vykonávať činnosť, z ktorej je povinná platiť DPH v tuzemsku. </w:t>
      </w:r>
    </w:p>
    <w:p w:rsidR="007D4BD6" w:rsidRPr="00E0007B" w:rsidP="007D4BD6">
      <w:pPr>
        <w:widowControl/>
        <w:bidi w:val="0"/>
        <w:jc w:val="both"/>
        <w:rPr>
          <w:rStyle w:val="PlaceholderText"/>
          <w:color w:val="000000"/>
        </w:rPr>
      </w:pPr>
      <w:r w:rsidRPr="00E0007B">
        <w:rPr>
          <w:rStyle w:val="PlaceholderText"/>
          <w:color w:val="000000"/>
        </w:rPr>
        <w:t> </w:t>
      </w:r>
    </w:p>
    <w:p w:rsidR="007D4BD6" w:rsidRPr="00E0007B" w:rsidP="007D4BD6">
      <w:pPr>
        <w:widowControl/>
        <w:bidi w:val="0"/>
        <w:jc w:val="both"/>
        <w:rPr>
          <w:rStyle w:val="PlaceholderText"/>
          <w:color w:val="000000"/>
        </w:rPr>
      </w:pPr>
      <w:r w:rsidRPr="00E0007B">
        <w:rPr>
          <w:rStyle w:val="PlaceholderText"/>
          <w:b/>
          <w:color w:val="000000"/>
        </w:rPr>
        <w:t>K bodu 12 (§ 7, § 11 a § 82)</w:t>
      </w:r>
    </w:p>
    <w:p w:rsidR="007D4BD6" w:rsidRPr="00E0007B" w:rsidP="007D4BD6">
      <w:pPr>
        <w:widowControl/>
        <w:bidi w:val="0"/>
        <w:ind w:firstLine="708"/>
        <w:jc w:val="both"/>
        <w:rPr>
          <w:rStyle w:val="PlaceholderText"/>
          <w:color w:val="000000"/>
        </w:rPr>
      </w:pPr>
      <w:r w:rsidRPr="00E0007B">
        <w:rPr>
          <w:rStyle w:val="PlaceholderText"/>
          <w:color w:val="000000"/>
        </w:rPr>
        <w:t> </w:t>
      </w:r>
    </w:p>
    <w:p w:rsidR="007D4BD6" w:rsidRPr="00E0007B" w:rsidP="007D4BD6">
      <w:pPr>
        <w:widowControl/>
        <w:bidi w:val="0"/>
        <w:jc w:val="both"/>
        <w:rPr>
          <w:rStyle w:val="PlaceholderText"/>
          <w:color w:val="000000"/>
        </w:rPr>
      </w:pPr>
      <w:r w:rsidRPr="00E0007B">
        <w:rPr>
          <w:rStyle w:val="PlaceholderText"/>
          <w:color w:val="000000"/>
        </w:rPr>
        <w:t>Z dôvodu zjednodušenia sa navrhuje zaokrúhlenie sumy 13 941,45 eur na sumu 14 000 eur.</w:t>
      </w:r>
    </w:p>
    <w:p w:rsidR="007D4BD6" w:rsidRPr="00E0007B" w:rsidP="007D4BD6">
      <w:pPr>
        <w:widowControl/>
        <w:bidi w:val="0"/>
        <w:jc w:val="both"/>
        <w:rPr>
          <w:rStyle w:val="PlaceholderText"/>
          <w:color w:val="000000"/>
        </w:rPr>
      </w:pPr>
      <w:r w:rsidRPr="00E0007B">
        <w:rPr>
          <w:rStyle w:val="PlaceholderText"/>
          <w:color w:val="000000"/>
        </w:rPr>
        <w:t> </w:t>
      </w:r>
    </w:p>
    <w:p w:rsidR="007D4BD6" w:rsidRPr="00E0007B" w:rsidP="007D4BD6">
      <w:pPr>
        <w:widowControl/>
        <w:bidi w:val="0"/>
        <w:jc w:val="both"/>
        <w:rPr>
          <w:rStyle w:val="PlaceholderText"/>
          <w:color w:val="000000"/>
        </w:rPr>
      </w:pPr>
      <w:r w:rsidRPr="00E0007B">
        <w:rPr>
          <w:rStyle w:val="PlaceholderText"/>
          <w:b/>
          <w:color w:val="000000"/>
        </w:rPr>
        <w:t>K bodu 13 (§ 8 ods. 3)</w:t>
      </w:r>
    </w:p>
    <w:p w:rsidR="007D4BD6" w:rsidRPr="00E0007B" w:rsidP="007D4BD6">
      <w:pPr>
        <w:widowControl/>
        <w:bidi w:val="0"/>
        <w:jc w:val="both"/>
        <w:rPr>
          <w:rStyle w:val="PlaceholderText"/>
          <w:color w:val="000000"/>
        </w:rPr>
      </w:pPr>
      <w:r w:rsidRPr="00E0007B">
        <w:rPr>
          <w:rStyle w:val="PlaceholderText"/>
          <w:color w:val="000000"/>
        </w:rPr>
        <w:t> </w:t>
      </w:r>
    </w:p>
    <w:p w:rsidR="007D4BD6" w:rsidRPr="00E0007B" w:rsidP="007D4BD6">
      <w:pPr>
        <w:widowControl/>
        <w:bidi w:val="0"/>
        <w:jc w:val="both"/>
        <w:rPr>
          <w:rStyle w:val="PlaceholderText"/>
          <w:color w:val="000000"/>
        </w:rPr>
      </w:pPr>
      <w:r w:rsidRPr="00E0007B">
        <w:rPr>
          <w:rStyle w:val="PlaceholderText"/>
          <w:color w:val="000000"/>
        </w:rPr>
        <w:t>Z dôvodu zjednodušenia sa navrhuje zaokrúhlenie sumy z 16,60 eura na 17 eur.</w:t>
      </w:r>
    </w:p>
    <w:p w:rsidR="007D4BD6" w:rsidP="007D4BD6">
      <w:pPr>
        <w:widowControl/>
        <w:bidi w:val="0"/>
        <w:jc w:val="both"/>
        <w:rPr>
          <w:rStyle w:val="PlaceholderText"/>
          <w:b/>
          <w:color w:val="000000"/>
        </w:rPr>
      </w:pPr>
      <w:r w:rsidRPr="00E0007B">
        <w:rPr>
          <w:rStyle w:val="PlaceholderText"/>
          <w:color w:val="000000"/>
        </w:rPr>
        <w:t> </w:t>
      </w:r>
    </w:p>
    <w:p w:rsidR="007D4BD6" w:rsidRPr="00E0007B" w:rsidP="007D4BD6">
      <w:pPr>
        <w:widowControl/>
        <w:bidi w:val="0"/>
        <w:jc w:val="both"/>
        <w:rPr>
          <w:rStyle w:val="PlaceholderText"/>
          <w:color w:val="000000"/>
        </w:rPr>
      </w:pPr>
      <w:r w:rsidRPr="00E0007B">
        <w:rPr>
          <w:rStyle w:val="PlaceholderText"/>
          <w:b/>
          <w:color w:val="000000"/>
        </w:rPr>
        <w:t>K bodu 16 (§ 25 ods. 3)</w:t>
      </w:r>
    </w:p>
    <w:p w:rsidR="007D4BD6" w:rsidRPr="00E0007B" w:rsidP="007D4BD6">
      <w:pPr>
        <w:widowControl/>
        <w:bidi w:val="0"/>
        <w:ind w:firstLine="708"/>
        <w:jc w:val="both"/>
        <w:rPr>
          <w:rStyle w:val="PlaceholderText"/>
          <w:color w:val="000000"/>
        </w:rPr>
      </w:pPr>
      <w:r w:rsidRPr="00E0007B">
        <w:rPr>
          <w:rStyle w:val="PlaceholderText"/>
          <w:color w:val="000000"/>
        </w:rPr>
        <w:t> </w:t>
      </w:r>
    </w:p>
    <w:p w:rsidR="007D4BD6" w:rsidRPr="00E0007B" w:rsidP="007D4BD6">
      <w:pPr>
        <w:widowControl/>
        <w:bidi w:val="0"/>
        <w:jc w:val="both"/>
        <w:rPr>
          <w:rStyle w:val="PlaceholderText"/>
          <w:color w:val="000000"/>
        </w:rPr>
      </w:pPr>
      <w:r w:rsidRPr="00E0007B">
        <w:rPr>
          <w:rStyle w:val="PlaceholderText"/>
          <w:color w:val="000000"/>
        </w:rPr>
        <w:t xml:space="preserve">V súčasnosti platné ustanovenie § 25 ods. 3 zákona určuje zdaňovacie obdobie, v ktorom má dodávateľ vykonať opravu základu dane len pre prípad, že k oprave základu dane je vyhotovený doklad o oprave základu dane. V zákone absentuje určenie obdobia, v ktorom by mal dodávateľ vykonať opravu základu dane, ak ide o prípady, kedy dodávateľ k oprave základu dane nevyhotovuje doklad o oprave základu dane (napr. ak opravuje základ dane voči nezdaniteľnej osobe alebo v prípade poskytnutia tzv. nepriamych zliav, ktoré sú poskytnuté inej osobe ako priamemu odberateľovi – viď rozsudok C - 317/94, Elida Gibbs Ltd.). Z uvedeného dôvodu sa ustanovenie dopĺňa a v prípade, že platiteľ dane pri oprave základu dane nevyhotovuje doklad o oprave základu dane, uvedie opravu základu dane do daňového priznania za to zdaňovacie obdobie, kedy nastala skutočnosť rozhodná na opravu základu dane, ktorou je napr. poskytnutie zľavy, zrušenie plnenia a iné (ak nastanú skutočnosti uvedené v § 25 ods. 1 zákona). </w:t>
      </w:r>
    </w:p>
    <w:p w:rsidR="007D4BD6" w:rsidRPr="00E0007B" w:rsidP="007D4BD6">
      <w:pPr>
        <w:widowControl/>
        <w:bidi w:val="0"/>
        <w:jc w:val="both"/>
        <w:rPr>
          <w:rStyle w:val="PlaceholderText"/>
          <w:color w:val="000000"/>
        </w:rPr>
      </w:pPr>
      <w:r w:rsidRPr="00E0007B">
        <w:rPr>
          <w:rStyle w:val="PlaceholderText"/>
          <w:color w:val="000000"/>
        </w:rPr>
        <w:t> </w:t>
      </w:r>
    </w:p>
    <w:p w:rsidR="007D4BD6" w:rsidRPr="00E0007B" w:rsidP="007D4BD6">
      <w:pPr>
        <w:widowControl/>
        <w:bidi w:val="0"/>
        <w:jc w:val="both"/>
        <w:rPr>
          <w:rStyle w:val="PlaceholderText"/>
          <w:color w:val="000000"/>
        </w:rPr>
      </w:pPr>
      <w:r w:rsidRPr="00E0007B">
        <w:rPr>
          <w:rStyle w:val="PlaceholderText"/>
          <w:b/>
          <w:color w:val="000000"/>
        </w:rPr>
        <w:t>K bodu 17 (§ 48b ods. 1)</w:t>
      </w:r>
    </w:p>
    <w:p w:rsidR="007D4BD6" w:rsidRPr="00E0007B" w:rsidP="007D4BD6">
      <w:pPr>
        <w:widowControl/>
        <w:bidi w:val="0"/>
        <w:jc w:val="both"/>
        <w:rPr>
          <w:rStyle w:val="PlaceholderText"/>
          <w:color w:val="000000"/>
        </w:rPr>
      </w:pPr>
      <w:r w:rsidRPr="00E0007B">
        <w:rPr>
          <w:rStyle w:val="PlaceholderText"/>
          <w:color w:val="000000"/>
        </w:rPr>
        <w:t> </w:t>
      </w:r>
    </w:p>
    <w:p w:rsidR="007D4BD6" w:rsidRPr="00E0007B" w:rsidP="007D4BD6">
      <w:pPr>
        <w:widowControl/>
        <w:bidi w:val="0"/>
        <w:jc w:val="both"/>
        <w:rPr>
          <w:rStyle w:val="PlaceholderText"/>
          <w:color w:val="000000"/>
        </w:rPr>
      </w:pPr>
      <w:r w:rsidRPr="00E0007B">
        <w:rPr>
          <w:rStyle w:val="PlaceholderText"/>
          <w:color w:val="000000"/>
        </w:rPr>
        <w:t>Ustanovenie sa precizuje a zároveň zosúlaďuje s colnými predpismi čo sa týka možnosti ručenia za DPH aj inými subjektmi ako bankami. Ručenie za DPH pri dovoze tovaru, za ktorým nasleduje intrakomunitárne dodanie tovaru, môže poskytnúť aj poisťovňa a Exportno-importná banka SR.</w:t>
      </w:r>
    </w:p>
    <w:p w:rsidR="007D4BD6" w:rsidRPr="00E0007B" w:rsidP="007D4BD6">
      <w:pPr>
        <w:widowControl/>
        <w:bidi w:val="0"/>
        <w:jc w:val="both"/>
        <w:rPr>
          <w:rStyle w:val="PlaceholderText"/>
          <w:color w:val="000000"/>
        </w:rPr>
      </w:pPr>
      <w:r w:rsidRPr="00E0007B">
        <w:rPr>
          <w:rStyle w:val="PlaceholderText"/>
          <w:color w:val="000000"/>
        </w:rPr>
        <w:t> </w:t>
      </w:r>
    </w:p>
    <w:p w:rsidR="007D4BD6" w:rsidRPr="00E0007B" w:rsidP="007D4BD6">
      <w:pPr>
        <w:widowControl/>
        <w:bidi w:val="0"/>
        <w:jc w:val="both"/>
        <w:rPr>
          <w:rStyle w:val="PlaceholderText"/>
          <w:color w:val="000000"/>
        </w:rPr>
      </w:pPr>
      <w:r w:rsidRPr="00E0007B">
        <w:rPr>
          <w:rStyle w:val="PlaceholderText"/>
          <w:b/>
          <w:color w:val="000000"/>
        </w:rPr>
        <w:t>K bodu 18 (§ 49 ods. 9)</w:t>
      </w:r>
    </w:p>
    <w:p w:rsidR="007D4BD6" w:rsidRPr="00E0007B" w:rsidP="007D4BD6">
      <w:pPr>
        <w:widowControl/>
        <w:bidi w:val="0"/>
        <w:ind w:firstLine="709"/>
        <w:jc w:val="both"/>
        <w:rPr>
          <w:rStyle w:val="PlaceholderText"/>
          <w:color w:val="000000"/>
        </w:rPr>
      </w:pPr>
      <w:r w:rsidRPr="00E0007B">
        <w:rPr>
          <w:rStyle w:val="PlaceholderText"/>
          <w:color w:val="000000"/>
        </w:rPr>
        <w:t> </w:t>
      </w:r>
    </w:p>
    <w:p w:rsidR="007D4BD6" w:rsidRPr="00E0007B" w:rsidP="007D4BD6">
      <w:pPr>
        <w:widowControl/>
        <w:bidi w:val="0"/>
        <w:jc w:val="both"/>
        <w:rPr>
          <w:rStyle w:val="PlaceholderText"/>
          <w:color w:val="000000"/>
        </w:rPr>
      </w:pPr>
      <w:r w:rsidRPr="00E0007B">
        <w:rPr>
          <w:rStyle w:val="PlaceholderText"/>
          <w:color w:val="000000"/>
        </w:rPr>
        <w:t>Ustanovenie sa spresňuje čo sa týka odpočtu dane z prijatých plnení v tuzemsku v prípade zahraničnej osoby registrovanej podľa § 5 zákona, ktorá je usadená v treťom štáte. Zahraničné osoby, ktoré sú usadené v treťom štáte, a ktoré spĺňajú podmienky na vrátenie dane podľa § 56 zákona, si nemôžu uplatňovať odpočítanie dane z prijatých plnení v tuzemsku prostredníctvom daňového priznania, ale žiadajú o vrátenie dane podaním žiadosti podľa § 57 zákona.</w:t>
      </w:r>
    </w:p>
    <w:p w:rsidR="007D4BD6" w:rsidRPr="00E0007B" w:rsidP="007D4BD6">
      <w:pPr>
        <w:widowControl/>
        <w:bidi w:val="0"/>
        <w:jc w:val="both"/>
        <w:rPr>
          <w:rStyle w:val="PlaceholderText"/>
          <w:color w:val="000000"/>
        </w:rPr>
      </w:pPr>
      <w:r w:rsidRPr="00E0007B">
        <w:rPr>
          <w:rStyle w:val="PlaceholderText"/>
          <w:b/>
          <w:color w:val="000000"/>
        </w:rPr>
        <w:t>K bodu 19 (§ 51 ods. 3)</w:t>
      </w:r>
    </w:p>
    <w:p w:rsidR="007D4BD6" w:rsidRPr="00E0007B" w:rsidP="007D4BD6">
      <w:pPr>
        <w:widowControl/>
        <w:bidi w:val="0"/>
        <w:jc w:val="both"/>
        <w:rPr>
          <w:rStyle w:val="PlaceholderText"/>
          <w:color w:val="000000"/>
        </w:rPr>
      </w:pPr>
      <w:r w:rsidRPr="00E0007B">
        <w:rPr>
          <w:rStyle w:val="PlaceholderText"/>
          <w:color w:val="000000"/>
        </w:rPr>
        <w:t> </w:t>
      </w:r>
    </w:p>
    <w:p w:rsidR="007D4BD6" w:rsidRPr="00E0007B" w:rsidP="007D4BD6">
      <w:pPr>
        <w:widowControl/>
        <w:bidi w:val="0"/>
        <w:jc w:val="both"/>
        <w:rPr>
          <w:rStyle w:val="PlaceholderText"/>
          <w:color w:val="000000"/>
        </w:rPr>
      </w:pPr>
      <w:r w:rsidRPr="00E0007B">
        <w:rPr>
          <w:rStyle w:val="PlaceholderText"/>
          <w:color w:val="000000"/>
        </w:rPr>
        <w:t>V praxi často dochádza k situácii, keď platiteľ dane, ktorý nadobudne tovar z iného členského štátu nemá k dispozícii faktúru do 15 dní nasledujúceho kalendárneho mesiaca po dodaní (nadobudnutí) tovaru. Daňovú povinnosť vykáže v zdaňovacom období podľa § 20 ods. 1 písm. a) zákona a neskôr dostane faktúru s dátumom vystavenia skorším, čo znamená, že podľa dátumu vystavenia faktúry vznikla daňová povinnosť podľa § 20 ods. 1 písm. b) zákona. V takomto prípade je platiteľ dane povinný podať dodatočné daňové priznanie. V záujme zmiernenia prípadného negatívneho dopadu v súvislosti s uplatnením práva na odpočítanie dane sa dopĺňa ustanovenie, podľa ktorého bude mať platiteľ dane právo vykonať odpočítanie dane za zdaňovacie obdobie, za ktoré podáva dodatočné daňové priznanie, ak ku dňu podania dodatočného daňového priznania má faktúru.</w:t>
      </w:r>
    </w:p>
    <w:p w:rsidR="007D4BD6" w:rsidRPr="00E0007B" w:rsidP="007D4BD6">
      <w:pPr>
        <w:widowControl/>
        <w:bidi w:val="0"/>
        <w:jc w:val="both"/>
        <w:rPr>
          <w:rStyle w:val="PlaceholderText"/>
          <w:color w:val="000000"/>
        </w:rPr>
      </w:pPr>
      <w:r w:rsidRPr="00E0007B">
        <w:rPr>
          <w:rStyle w:val="PlaceholderText"/>
          <w:color w:val="000000"/>
        </w:rPr>
        <w:t> </w:t>
      </w:r>
    </w:p>
    <w:p w:rsidR="007D4BD6" w:rsidRPr="00E0007B" w:rsidP="007D4BD6">
      <w:pPr>
        <w:widowControl/>
        <w:bidi w:val="0"/>
        <w:jc w:val="both"/>
        <w:rPr>
          <w:rStyle w:val="PlaceholderText"/>
          <w:color w:val="000000"/>
        </w:rPr>
      </w:pPr>
      <w:r w:rsidRPr="00E0007B">
        <w:rPr>
          <w:rStyle w:val="PlaceholderText"/>
          <w:b/>
          <w:color w:val="000000"/>
        </w:rPr>
        <w:t>K bodu 20 (§ 53 ods. 1)</w:t>
      </w:r>
    </w:p>
    <w:p w:rsidR="007D4BD6" w:rsidRPr="00E0007B" w:rsidP="007D4BD6">
      <w:pPr>
        <w:widowControl/>
        <w:bidi w:val="0"/>
        <w:ind w:firstLine="709"/>
        <w:jc w:val="both"/>
        <w:rPr>
          <w:rStyle w:val="PlaceholderText"/>
          <w:color w:val="000000"/>
        </w:rPr>
      </w:pPr>
      <w:r w:rsidRPr="00E0007B">
        <w:rPr>
          <w:rStyle w:val="PlaceholderText"/>
          <w:color w:val="000000"/>
        </w:rPr>
        <w:t> </w:t>
      </w:r>
    </w:p>
    <w:p w:rsidR="007D4BD6" w:rsidRPr="00E0007B" w:rsidP="007D4BD6">
      <w:pPr>
        <w:widowControl/>
        <w:bidi w:val="0"/>
        <w:jc w:val="both"/>
        <w:rPr>
          <w:rStyle w:val="PlaceholderText"/>
          <w:color w:val="000000"/>
        </w:rPr>
      </w:pPr>
      <w:r w:rsidRPr="00E0007B">
        <w:rPr>
          <w:rStyle w:val="PlaceholderText"/>
          <w:color w:val="000000"/>
        </w:rPr>
        <w:t>Znenie tohto ustanovenia sa upravuje tak, aby platiteľ dane, ktorý si uplatnil odpočítanie dane a následne po odpočítaní dane nastane zmena skutočností, ktoré boli významné pre odpočítanie dane, bol povinný vykonať opravu odpočítanej dane za zdaňovacie obdobie, v ktorom dôjde k zmene skutočností, na základe ktorých si uplatnil odpočítanie dane, napríklad ak v zdaňovacom období získa cenovú zľavu, ak dôjde  k zrušeniu plnenia alebo ak nastanú iné skutočnosti uvedené v § 25 ods. 1 zákona.</w:t>
      </w:r>
    </w:p>
    <w:p w:rsidR="007D4BD6" w:rsidRPr="00E0007B" w:rsidP="007D4BD6">
      <w:pPr>
        <w:widowControl/>
        <w:bidi w:val="0"/>
        <w:jc w:val="both"/>
        <w:rPr>
          <w:rStyle w:val="PlaceholderText"/>
          <w:color w:val="000000"/>
        </w:rPr>
      </w:pPr>
      <w:r w:rsidRPr="00E0007B">
        <w:rPr>
          <w:rStyle w:val="PlaceholderText"/>
          <w:color w:val="000000"/>
        </w:rPr>
        <w:t>Podľa v súčasnosti platného znenia § 53 ods. 1 zákona opraví príjemca plnenia odpočítanú daň len na základe opravy základu dane a dane u dodávateľa tovaru alebo služby, a to v tom zdaňovacom období, keď dodávateľ vyhotoví doklad o oprave základu dane. V prípade, ak dodávateľ nevyhotoví doklad o oprave základu dane, nie je zákonom určené zdaňovacie obdobie, v ktorom má príjemca plnenia opraviť odpočítanú daň. Takže navrhovanou zmenou ustanovenia sa zároveň určuje zdaňovacie obdobie, v ktorom je platiteľ dane povinný opraviť odpočítanú daň, pričom na rozdiel od súčasne platnej právnej úpravy nebude táto oprava viazaná na vykonanie opravy základu dane u dodávateľa tovaru alebo služby a na vyhotovenie dokladu o oprave základu dane u dodávateľa.</w:t>
      </w:r>
    </w:p>
    <w:p w:rsidR="007D4BD6" w:rsidRPr="00E0007B" w:rsidP="007D4BD6">
      <w:pPr>
        <w:widowControl/>
        <w:bidi w:val="0"/>
        <w:jc w:val="both"/>
        <w:rPr>
          <w:rStyle w:val="PlaceholderText"/>
          <w:color w:val="000000"/>
        </w:rPr>
      </w:pPr>
      <w:r w:rsidRPr="00E0007B">
        <w:rPr>
          <w:rStyle w:val="PlaceholderText"/>
          <w:color w:val="000000"/>
        </w:rPr>
        <w:t>Ak sa povinnosť opraviť odpočítanú daň viaže na nadobudnutie tovaru z iného členského štátu, prípadne dodanie tovaru alebo služby, ak osobou povinnou platiť daň je odberateľ tovaru alebo služby, spolu so základom dane sa opraví aj daň podľa § 25 zákona o DPH.</w:t>
      </w:r>
    </w:p>
    <w:p w:rsidR="007D4BD6" w:rsidRPr="00E0007B" w:rsidP="007D4BD6">
      <w:pPr>
        <w:widowControl/>
        <w:bidi w:val="0"/>
        <w:jc w:val="both"/>
        <w:rPr>
          <w:rStyle w:val="PlaceholderText"/>
          <w:color w:val="000000"/>
        </w:rPr>
      </w:pPr>
      <w:r w:rsidRPr="00E0007B">
        <w:rPr>
          <w:rStyle w:val="PlaceholderText"/>
          <w:color w:val="000000"/>
        </w:rPr>
        <w:t> </w:t>
      </w:r>
    </w:p>
    <w:p w:rsidR="007D4BD6" w:rsidRPr="00E0007B" w:rsidP="007D4BD6">
      <w:pPr>
        <w:widowControl/>
        <w:bidi w:val="0"/>
        <w:jc w:val="both"/>
        <w:rPr>
          <w:rStyle w:val="PlaceholderText"/>
          <w:color w:val="000000"/>
        </w:rPr>
      </w:pPr>
      <w:r w:rsidRPr="00E0007B">
        <w:rPr>
          <w:rStyle w:val="PlaceholderText"/>
          <w:b/>
          <w:color w:val="000000"/>
        </w:rPr>
        <w:t>K bodu 21 (§ 54 ods. 4)</w:t>
      </w:r>
    </w:p>
    <w:p w:rsidR="007D4BD6" w:rsidRPr="00E0007B" w:rsidP="007D4BD6">
      <w:pPr>
        <w:widowControl/>
        <w:bidi w:val="0"/>
        <w:jc w:val="both"/>
        <w:rPr>
          <w:rStyle w:val="PlaceholderText"/>
          <w:color w:val="000000"/>
        </w:rPr>
      </w:pPr>
      <w:r w:rsidRPr="00E0007B">
        <w:rPr>
          <w:rStyle w:val="PlaceholderText"/>
          <w:color w:val="000000"/>
        </w:rPr>
        <w:t> </w:t>
      </w:r>
    </w:p>
    <w:p w:rsidR="007D4BD6" w:rsidRPr="00E0007B" w:rsidP="007D4BD6">
      <w:pPr>
        <w:widowControl/>
        <w:bidi w:val="0"/>
        <w:jc w:val="both"/>
        <w:rPr>
          <w:rStyle w:val="PlaceholderText"/>
          <w:color w:val="000000"/>
        </w:rPr>
      </w:pPr>
      <w:r w:rsidRPr="00E0007B">
        <w:rPr>
          <w:rStyle w:val="PlaceholderText"/>
          <w:color w:val="000000"/>
        </w:rPr>
        <w:t xml:space="preserve">Z dôvodu právnej istoty sa v zákone vypúšťa slovo prvýkrát, aby bolo zrejmé, že u každého nadobúdateľa investičného majetku sa obdobie na úpravu odpočítanej dane začína počítať odznovu. </w:t>
      </w:r>
    </w:p>
    <w:p w:rsidR="007D4BD6" w:rsidRPr="00E0007B" w:rsidP="007D4BD6">
      <w:pPr>
        <w:widowControl/>
        <w:bidi w:val="0"/>
        <w:ind w:firstLine="708"/>
        <w:jc w:val="both"/>
        <w:rPr>
          <w:rStyle w:val="PlaceholderText"/>
          <w:color w:val="000000"/>
        </w:rPr>
      </w:pPr>
      <w:r w:rsidRPr="00E0007B">
        <w:rPr>
          <w:rStyle w:val="PlaceholderText"/>
          <w:color w:val="000000"/>
        </w:rPr>
        <w:t> </w:t>
      </w:r>
    </w:p>
    <w:p w:rsidR="007D4BD6" w:rsidRPr="00E0007B" w:rsidP="007D4BD6">
      <w:pPr>
        <w:widowControl/>
        <w:bidi w:val="0"/>
        <w:jc w:val="both"/>
        <w:rPr>
          <w:rStyle w:val="PlaceholderText"/>
          <w:color w:val="000000"/>
        </w:rPr>
      </w:pPr>
      <w:r w:rsidRPr="00E0007B">
        <w:rPr>
          <w:rStyle w:val="PlaceholderText"/>
          <w:b/>
          <w:color w:val="000000"/>
        </w:rPr>
        <w:t>K bodu 22 (§ 54b)</w:t>
      </w:r>
    </w:p>
    <w:p w:rsidR="007D4BD6" w:rsidRPr="00E0007B" w:rsidP="007D4BD6">
      <w:pPr>
        <w:widowControl/>
        <w:bidi w:val="0"/>
        <w:ind w:firstLine="708"/>
        <w:jc w:val="both"/>
        <w:rPr>
          <w:rStyle w:val="PlaceholderText"/>
          <w:color w:val="000000"/>
        </w:rPr>
      </w:pPr>
      <w:r w:rsidRPr="00E0007B">
        <w:rPr>
          <w:rStyle w:val="PlaceholderText"/>
          <w:color w:val="000000"/>
        </w:rPr>
        <w:t> </w:t>
      </w:r>
    </w:p>
    <w:p w:rsidR="007D4BD6" w:rsidRPr="00E0007B" w:rsidP="007D4BD6">
      <w:pPr>
        <w:widowControl/>
        <w:bidi w:val="0"/>
        <w:jc w:val="both"/>
        <w:rPr>
          <w:rStyle w:val="PlaceholderText"/>
          <w:color w:val="000000"/>
        </w:rPr>
      </w:pPr>
      <w:r w:rsidRPr="00E0007B">
        <w:rPr>
          <w:rStyle w:val="PlaceholderText"/>
          <w:color w:val="000000"/>
        </w:rPr>
        <w:t xml:space="preserve">Z dôvodu právnej istoty sa v zákone dopĺňa povinnosť pokračovať v lehote na úpravu odpočítanej dane z investičného majetku v prípade právneho nástupníctva. Ak investičný majetok, ktorým je nehnuteľnosť, podlieha pravidlám úpravy odpočítanej dane, či podľa § 54 alebo podľa § 54a zákona, a tento majetok nadobudne právny nástupca, ktorý je alebo sa stáva platiteľom dane podľa § 4 ods. 6 zákona (napr. v prípade zlúčenia, rozdelenia, splynutia obchodných spoločností), obdobie na úpravu odpočítanej dane, ktoré začalo plynúť v čase, keď nadobudol investičný majetok predchodca, sa neprerušuje. Ak napr. platiteľ dane nadobudol nehnuteľnosť v roku 2011 a v roku 2014 dôjde k zániku platiteľa dane bez likvidácie, jeho právny nástupca je povinný pri zmenách uvedených v § 54 alebo v § 54a zákona upraviť odpočítanú daň, a toto obdobie na úpravu odpočítanej dane trvá až do konca roka 2030.  </w:t>
      </w:r>
    </w:p>
    <w:p w:rsidR="007D4BD6" w:rsidRPr="00E0007B" w:rsidP="007D4BD6">
      <w:pPr>
        <w:widowControl/>
        <w:bidi w:val="0"/>
        <w:jc w:val="both"/>
        <w:rPr>
          <w:rStyle w:val="PlaceholderText"/>
          <w:color w:val="000000"/>
        </w:rPr>
      </w:pPr>
      <w:r w:rsidRPr="00E0007B">
        <w:rPr>
          <w:rStyle w:val="PlaceholderText"/>
          <w:color w:val="000000"/>
        </w:rPr>
        <w:t xml:space="preserve">Z ustanovenia ďalej vyplýva, že za právneho nástupcu na účely úpravy odpočítanej dane z investičného majetku sa od účinnosti tejto novely považuje aj platiteľ dane, ktorý nadobudol podnik alebo jeho časť od platiteľa dane bez dane na základe zmluvy o predaji podniku alebo na základe vkladu podniku do obchodnej spoločnosti alebo družstva (ide o dodanie podľa § 10 ods. 1 zákona, ktoré nepodlieha dani). Takže obdobie na úpravu odpočítanej dane z nehnuteľnosti sa nadobudnutím podniku neprerušuje a nadobúdateľ je povinný pokračovať v období na úpravu odpočítanej dane až do jeho skončenia (vzťahuje sa na nadobudnutie podniku po 1.1.2014). </w:t>
      </w:r>
    </w:p>
    <w:p w:rsidR="007D4BD6" w:rsidRPr="00E0007B" w:rsidP="007D4BD6">
      <w:pPr>
        <w:widowControl/>
        <w:bidi w:val="0"/>
        <w:jc w:val="both"/>
        <w:rPr>
          <w:rStyle w:val="PlaceholderText"/>
          <w:color w:val="000000"/>
        </w:rPr>
      </w:pPr>
      <w:r w:rsidRPr="00E0007B">
        <w:rPr>
          <w:rStyle w:val="PlaceholderText"/>
          <w:color w:val="000000"/>
        </w:rPr>
        <w:t xml:space="preserve">Súčasne sa navrhuje, aby platiteľ dane, ktorý predá podnik alebo časť podniku alebo ktorý vloží podnik alebo časť podniku ako nepeňažný vklad do obchodnej spoločnosti alebo družstva bez dane, oznámil nadobúdateľovi všetky údaje vzťahujúce sa na nadobudnutie nehnuteľnosti, a to výšku odpočítanej dane pri nadobudnutí nehnuteľnosti, poslednú odpočítanú daň (ak bola vykonaná úprava podľa § 54 alebo § 54a zákona), začatie obdobia na úpravu odpočítanej dane. Pokiaľ sa takéto údaje neposkytnú nadobúdateľovi podniku, platí domnienka, že tento platiteľ dane nadobudol nehnuteľnosť v roku, kedy došlo ku kúpe podniku alebo vkladu podniku alebo jeho časti a uplatnil si odpočítanie dane v plnej výške, pričom základ dane sa určí podľa reálnej hodnoty nehnuteľnosti v čase nadobudnutia podniku. </w:t>
      </w:r>
    </w:p>
    <w:p w:rsidR="00DD4C14" w:rsidP="007D4BD6">
      <w:pPr>
        <w:widowControl/>
        <w:bidi w:val="0"/>
        <w:jc w:val="both"/>
        <w:rPr>
          <w:rStyle w:val="PlaceholderText"/>
          <w:b/>
          <w:color w:val="000000"/>
        </w:rPr>
      </w:pPr>
    </w:p>
    <w:p w:rsidR="007D4BD6" w:rsidRPr="00E0007B" w:rsidP="007D4BD6">
      <w:pPr>
        <w:widowControl/>
        <w:bidi w:val="0"/>
        <w:jc w:val="both"/>
        <w:rPr>
          <w:rStyle w:val="PlaceholderText"/>
          <w:color w:val="000000"/>
        </w:rPr>
      </w:pPr>
      <w:r w:rsidRPr="00E0007B">
        <w:rPr>
          <w:rStyle w:val="PlaceholderText"/>
          <w:b/>
          <w:color w:val="000000"/>
        </w:rPr>
        <w:t>K bodu 23 (§ 55b ods. 6)</w:t>
      </w:r>
    </w:p>
    <w:p w:rsidR="007D4BD6" w:rsidRPr="00E0007B" w:rsidP="007D4BD6">
      <w:pPr>
        <w:widowControl/>
        <w:bidi w:val="0"/>
        <w:jc w:val="both"/>
        <w:rPr>
          <w:rStyle w:val="PlaceholderText"/>
          <w:color w:val="000000"/>
        </w:rPr>
      </w:pPr>
      <w:r w:rsidRPr="00E0007B">
        <w:rPr>
          <w:rStyle w:val="PlaceholderText"/>
          <w:color w:val="000000"/>
        </w:rPr>
        <w:t> </w:t>
      </w:r>
    </w:p>
    <w:p w:rsidR="007D4BD6" w:rsidRPr="00E0007B" w:rsidP="007D4BD6">
      <w:pPr>
        <w:widowControl/>
        <w:bidi w:val="0"/>
        <w:jc w:val="both"/>
        <w:rPr>
          <w:rStyle w:val="PlaceholderText"/>
          <w:color w:val="000000"/>
        </w:rPr>
      </w:pPr>
      <w:r w:rsidRPr="00E0007B">
        <w:rPr>
          <w:rStyle w:val="PlaceholderText"/>
          <w:color w:val="000000"/>
        </w:rPr>
        <w:t>Navrhuje sa aby zahraničná osoba, ktorá žiada o vrátenie dane, mohla okrem slovenského jazyka  použiť aj anglický jazyk (vyplnenie žiadosti o vrátenie dane a ďalšia komunikácia s daňovým úradom).</w:t>
      </w:r>
    </w:p>
    <w:p w:rsidR="007D4BD6" w:rsidRPr="00E0007B" w:rsidP="007D4BD6">
      <w:pPr>
        <w:widowControl/>
        <w:bidi w:val="0"/>
        <w:jc w:val="both"/>
        <w:rPr>
          <w:rStyle w:val="PlaceholderText"/>
          <w:color w:val="000000"/>
        </w:rPr>
      </w:pPr>
      <w:r w:rsidRPr="00E0007B">
        <w:rPr>
          <w:rStyle w:val="PlaceholderText"/>
          <w:color w:val="000000"/>
        </w:rPr>
        <w:t> </w:t>
      </w:r>
    </w:p>
    <w:p w:rsidR="007D4BD6" w:rsidRPr="00E0007B" w:rsidP="007D4BD6">
      <w:pPr>
        <w:widowControl/>
        <w:bidi w:val="0"/>
        <w:jc w:val="both"/>
        <w:rPr>
          <w:rStyle w:val="PlaceholderText"/>
          <w:color w:val="000000"/>
        </w:rPr>
      </w:pPr>
      <w:r w:rsidRPr="00E0007B">
        <w:rPr>
          <w:rStyle w:val="PlaceholderText"/>
          <w:b/>
          <w:color w:val="000000"/>
        </w:rPr>
        <w:t>K bodu 24 (§ 58 ods. 4)</w:t>
      </w:r>
    </w:p>
    <w:p w:rsidR="007D4BD6" w:rsidRPr="00E0007B" w:rsidP="007D4BD6">
      <w:pPr>
        <w:widowControl/>
        <w:bidi w:val="0"/>
        <w:jc w:val="both"/>
        <w:rPr>
          <w:rStyle w:val="PlaceholderText"/>
          <w:color w:val="000000"/>
        </w:rPr>
      </w:pPr>
      <w:r w:rsidRPr="00E0007B">
        <w:rPr>
          <w:rStyle w:val="PlaceholderText"/>
          <w:color w:val="000000"/>
        </w:rPr>
        <w:t> </w:t>
      </w:r>
    </w:p>
    <w:p w:rsidR="007D4BD6" w:rsidRPr="00E0007B" w:rsidP="007D4BD6">
      <w:pPr>
        <w:widowControl/>
        <w:bidi w:val="0"/>
        <w:jc w:val="both"/>
        <w:rPr>
          <w:rStyle w:val="PlaceholderText"/>
          <w:color w:val="000000"/>
        </w:rPr>
      </w:pPr>
      <w:r w:rsidRPr="00E0007B">
        <w:rPr>
          <w:rStyle w:val="PlaceholderText"/>
          <w:color w:val="000000"/>
        </w:rPr>
        <w:t>Ustanovenie sa spresňuje tak, aby bola jednoznačne zakotvená povinnosť vrátiť DPH, ktorú zahraničnej osobe z tretieho štátu refundoval daňový úrad na základe podanej žiadosti.</w:t>
      </w:r>
    </w:p>
    <w:p w:rsidR="007D4BD6" w:rsidRPr="00E0007B" w:rsidP="007D4BD6">
      <w:pPr>
        <w:widowControl/>
        <w:bidi w:val="0"/>
        <w:jc w:val="both"/>
        <w:rPr>
          <w:rStyle w:val="PlaceholderText"/>
          <w:color w:val="000000"/>
        </w:rPr>
      </w:pPr>
      <w:r w:rsidRPr="00E0007B">
        <w:rPr>
          <w:rStyle w:val="PlaceholderText"/>
          <w:color w:val="000000"/>
        </w:rPr>
        <w:t> </w:t>
      </w:r>
    </w:p>
    <w:p w:rsidR="007D4BD6" w:rsidRPr="00E0007B" w:rsidP="007D4BD6">
      <w:pPr>
        <w:widowControl/>
        <w:bidi w:val="0"/>
        <w:jc w:val="both"/>
        <w:rPr>
          <w:rStyle w:val="PlaceholderText"/>
          <w:color w:val="000000"/>
        </w:rPr>
      </w:pPr>
      <w:r w:rsidRPr="00E0007B">
        <w:rPr>
          <w:rStyle w:val="PlaceholderText"/>
          <w:b/>
          <w:color w:val="000000"/>
        </w:rPr>
        <w:t>K bodu 25 (§ 66 ods. 16)</w:t>
      </w:r>
    </w:p>
    <w:p w:rsidR="007D4BD6" w:rsidRPr="00E0007B" w:rsidP="007D4BD6">
      <w:pPr>
        <w:widowControl/>
        <w:bidi w:val="0"/>
        <w:ind w:firstLine="709"/>
        <w:jc w:val="both"/>
        <w:rPr>
          <w:rStyle w:val="PlaceholderText"/>
          <w:color w:val="000000"/>
        </w:rPr>
      </w:pPr>
      <w:r w:rsidRPr="00E0007B">
        <w:rPr>
          <w:rStyle w:val="PlaceholderText"/>
          <w:color w:val="000000"/>
        </w:rPr>
        <w:t> </w:t>
      </w:r>
    </w:p>
    <w:p w:rsidR="007D4BD6" w:rsidRPr="00E0007B" w:rsidP="007D4BD6">
      <w:pPr>
        <w:widowControl/>
        <w:bidi w:val="0"/>
        <w:jc w:val="both"/>
        <w:rPr>
          <w:rStyle w:val="PlaceholderText"/>
          <w:color w:val="000000"/>
        </w:rPr>
      </w:pPr>
      <w:r w:rsidRPr="00E0007B">
        <w:rPr>
          <w:rStyle w:val="PlaceholderText"/>
          <w:color w:val="000000"/>
        </w:rPr>
        <w:t xml:space="preserve">Paragraf 66 zákona sa doplnil o nový odsek 16 s cieľom riešiť situácie, kedy dochádza k zámernému zamieňaniu bežného režimu dane s osobitnou úpravou uplatňovania dane. Platitelia dane, ktorí napríklad nakupujú ojazdené motorové vozidlá z iného členského štátu, namiesto uplatnenia bežného režimu dane, ktorému nasvedčuje faktúra vyhotovená k dodaniu ojazdeného motorového vozidla bez slovnej informácie „úprava zdaňovania prirážky – použitý tovar“, predstierajú, že tovar kúpili v osobitnej úprave uplatňovania dane. To znamená, že namiesto zdaňovania plnej kúpnej ceny bez dane, zdania iba svoju prirážku, čím dochádza k výrazným daňovým únikom. Na riešenie týchto podvodných transakcií sa v tomto ustanovení navrhuje zaviesť právna domnienka, že faktúry vyhotovené zdaniteľnou osobou z iného členského štátu, na ktorých nie je slovná informácia, že ide o režim zdaňovania prirážky, sa považujú za faktúry vydané k tovaru dodanému v bežnom režime zdaňovania. V takýchto prípadoch obchodník, ktorý inak používa osobitnú úpravu zdanenia, nemôže pri predaji uplatniť osobitnú úpravu. </w:t>
      </w:r>
    </w:p>
    <w:p w:rsidR="007D4BD6" w:rsidRPr="00E0007B" w:rsidP="007D4BD6">
      <w:pPr>
        <w:widowControl/>
        <w:bidi w:val="0"/>
        <w:jc w:val="both"/>
        <w:rPr>
          <w:rStyle w:val="PlaceholderText"/>
          <w:color w:val="000000"/>
        </w:rPr>
      </w:pPr>
      <w:r w:rsidRPr="00E0007B">
        <w:rPr>
          <w:rStyle w:val="PlaceholderText"/>
          <w:color w:val="000000"/>
        </w:rPr>
        <w:t xml:space="preserve">Keďže pravidlá týkajúce sa obsahu faktúr sú v celej EÚ jednotné, dôkazné bremeno toho, že napriek absencii slovnej informácie „úprava zdaňovania prirážky – použitý tovar“ na faktúre bola táto vyhotovená k dodaniu tovaru v režime osobitnej úpravy uplatňovania dane, znáša odberateľ, nie finančná správa.  </w:t>
      </w:r>
    </w:p>
    <w:p w:rsidR="007D4BD6" w:rsidRPr="00E0007B" w:rsidP="007D4BD6">
      <w:pPr>
        <w:widowControl/>
        <w:bidi w:val="0"/>
        <w:jc w:val="both"/>
        <w:rPr>
          <w:rStyle w:val="PlaceholderText"/>
          <w:color w:val="000000"/>
        </w:rPr>
      </w:pPr>
      <w:r w:rsidRPr="00E0007B">
        <w:rPr>
          <w:rStyle w:val="PlaceholderText"/>
          <w:color w:val="000000"/>
        </w:rPr>
        <w:t> </w:t>
      </w:r>
    </w:p>
    <w:p w:rsidR="007D4BD6" w:rsidRPr="00E0007B" w:rsidP="007D4BD6">
      <w:pPr>
        <w:widowControl/>
        <w:bidi w:val="0"/>
        <w:jc w:val="both"/>
        <w:rPr>
          <w:rStyle w:val="PlaceholderText"/>
          <w:color w:val="000000"/>
        </w:rPr>
      </w:pPr>
      <w:r w:rsidRPr="00E0007B">
        <w:rPr>
          <w:rStyle w:val="PlaceholderText"/>
          <w:b/>
          <w:color w:val="000000"/>
        </w:rPr>
        <w:t>K bodu 26 (§ 69 ods. 12 písm. f) až i)</w:t>
      </w:r>
    </w:p>
    <w:p w:rsidR="007D4BD6" w:rsidRPr="00E0007B" w:rsidP="007D4BD6">
      <w:pPr>
        <w:widowControl/>
        <w:bidi w:val="0"/>
        <w:jc w:val="both"/>
        <w:rPr>
          <w:rStyle w:val="PlaceholderText"/>
          <w:color w:val="000000"/>
        </w:rPr>
      </w:pPr>
      <w:r w:rsidRPr="00E0007B">
        <w:rPr>
          <w:rStyle w:val="PlaceholderText"/>
          <w:color w:val="000000"/>
        </w:rPr>
        <w:t> </w:t>
      </w:r>
    </w:p>
    <w:p w:rsidR="007D4BD6" w:rsidRPr="00E0007B" w:rsidP="007D4BD6">
      <w:pPr>
        <w:widowControl/>
        <w:bidi w:val="0"/>
        <w:jc w:val="both"/>
        <w:rPr>
          <w:rStyle w:val="PlaceholderText"/>
          <w:color w:val="000000"/>
        </w:rPr>
      </w:pPr>
      <w:r w:rsidRPr="00E0007B">
        <w:rPr>
          <w:rStyle w:val="PlaceholderText"/>
          <w:color w:val="000000"/>
        </w:rPr>
        <w:t>Navrhuje sa zaviesť prenos daňovej povinnosti podľa čl. 199a smernice 2006/112/EÚ o spoločnom systéme dane z pridanej hodnoty</w:t>
      </w:r>
      <w:r>
        <w:rPr>
          <w:rStyle w:val="PlaceholderText"/>
          <w:color w:val="000000"/>
        </w:rPr>
        <w:t xml:space="preserve"> (návrh na doplnenie smernice Rady 2006/112/ES schválený na ECOFIN-e 21.6.2013)</w:t>
      </w:r>
      <w:r w:rsidRPr="00E0007B">
        <w:rPr>
          <w:rStyle w:val="PlaceholderText"/>
          <w:color w:val="000000"/>
        </w:rPr>
        <w:t>, pričom ide o dodanie konkrétnych druhov poľnohospodárskych plodín, kovov, mobilných telefónov a integrovaných obvodov. Pre zjednodušenie identifikácie poľnohospodárskych plodín a kovov patriacich do kategórie tovarov s prenosom daňovej povinnosti sa odkazuje priamo v novele zákona o DPH na určenú kapitolu Spoločného colného sadzobníka. Pri poľnohospodárskych plodinách ide len o tovary spadajúce do kapitoly 10 Spoločného colného sadzobníka (Obilniny) a do kapitoly 12 Spoločného colného sadzobníka (</w:t>
      </w:r>
      <w:r w:rsidRPr="00E0007B">
        <w:rPr>
          <w:rStyle w:val="PlaceholderText"/>
          <w:color w:val="000000"/>
          <w:sz w:val="22"/>
        </w:rPr>
        <w:t>Olejnaté semená a</w:t>
      </w:r>
      <w:r w:rsidRPr="00E0007B">
        <w:rPr>
          <w:rStyle w:val="PlaceholderText"/>
          <w:color w:val="000000"/>
        </w:rPr>
        <w:t> </w:t>
      </w:r>
      <w:r w:rsidRPr="00E0007B">
        <w:rPr>
          <w:rStyle w:val="PlaceholderText"/>
          <w:color w:val="000000"/>
          <w:sz w:val="22"/>
        </w:rPr>
        <w:t xml:space="preserve">olejnaté </w:t>
      </w:r>
      <w:r w:rsidRPr="00E0007B">
        <w:rPr>
          <w:rStyle w:val="PlaceholderText"/>
          <w:color w:val="000000"/>
        </w:rPr>
        <w:t>plody; rôzne zrná</w:t>
      </w:r>
      <w:r w:rsidRPr="00E0007B">
        <w:rPr>
          <w:rStyle w:val="PlaceholderText"/>
          <w:color w:val="000000"/>
          <w:sz w:val="22"/>
        </w:rPr>
        <w:t>, semená a</w:t>
      </w:r>
      <w:r w:rsidRPr="00E0007B">
        <w:rPr>
          <w:rStyle w:val="PlaceholderText"/>
          <w:color w:val="000000"/>
        </w:rPr>
        <w:t> </w:t>
      </w:r>
      <w:r w:rsidRPr="00E0007B">
        <w:rPr>
          <w:rStyle w:val="PlaceholderText"/>
          <w:color w:val="000000"/>
          <w:sz w:val="22"/>
        </w:rPr>
        <w:t>plody; priemyselné alebo liečivé rastliny; slama a</w:t>
      </w:r>
      <w:r w:rsidRPr="00E0007B">
        <w:rPr>
          <w:rStyle w:val="PlaceholderText"/>
          <w:color w:val="000000"/>
        </w:rPr>
        <w:t> </w:t>
      </w:r>
      <w:r w:rsidRPr="00E0007B">
        <w:rPr>
          <w:rStyle w:val="PlaceholderText"/>
          <w:color w:val="000000"/>
          <w:sz w:val="22"/>
        </w:rPr>
        <w:t>krmoviny)</w:t>
      </w:r>
      <w:r w:rsidRPr="00E0007B">
        <w:rPr>
          <w:rStyle w:val="PlaceholderText"/>
          <w:color w:val="000000"/>
        </w:rPr>
        <w:t>, ktoré nie sú bežne určené v nezmenenom stave na konečnú (ľudskú) spotrebu, pri kovoch ide o tovary patriace do kapitoly 72 (Železo a oceľ) a 73 Spoločného colného sadzobníka (Predmety zo železa a ocele). Keďže do kapitoly 72 patrí aj železný a oceľový odpad a šrot, na ktorý sa už prenos daňovej povinnosti vzťahuje podľa písmena a), § 69 ods. 12 písm. g) sa naňho nevzťahuje. Kým pri poľnohospodárskych plodinách a kovoch nie je určený základ dane na faktúre pre povinné uplatnenie prenosu daňovej povinnosti, pri mobilných telefónoch a integrovaných obvodoch sa „minimálny základ dane“ stanovil; prenos daňovej povinnosti sa uplatní, ak základ dane na faktúre prevyšuje sumu 5 000 eur.</w:t>
      </w:r>
    </w:p>
    <w:p w:rsidR="007D4BD6" w:rsidRPr="00E0007B" w:rsidP="007D4BD6">
      <w:pPr>
        <w:widowControl/>
        <w:bidi w:val="0"/>
        <w:jc w:val="both"/>
        <w:rPr>
          <w:rStyle w:val="PlaceholderText"/>
          <w:color w:val="000000"/>
        </w:rPr>
      </w:pPr>
      <w:r w:rsidRPr="00E0007B">
        <w:rPr>
          <w:rStyle w:val="PlaceholderText"/>
          <w:color w:val="000000"/>
        </w:rPr>
        <w:t xml:space="preserve">Prenos daňovej povinnosti sa uplatní iba ak obidvaja, to znamená dodávateľ aj odberateľ sú v postavení platiteľa dane. </w:t>
      </w:r>
    </w:p>
    <w:p w:rsidR="007D4BD6" w:rsidRPr="00E0007B" w:rsidP="007D4BD6">
      <w:pPr>
        <w:widowControl/>
        <w:bidi w:val="0"/>
        <w:jc w:val="both"/>
        <w:rPr>
          <w:rStyle w:val="PlaceholderText"/>
          <w:color w:val="000000"/>
        </w:rPr>
      </w:pPr>
      <w:r w:rsidRPr="00E0007B">
        <w:rPr>
          <w:rStyle w:val="PlaceholderText"/>
          <w:color w:val="000000"/>
        </w:rPr>
        <w:t xml:space="preserve">K zavedeniu prenosu daňovej povinnosti pri týchto komoditách došlo z dôvodu prudkého nárastu kolotočových podvodov pri obchodovaní s týmito komoditami. </w:t>
      </w:r>
    </w:p>
    <w:p w:rsidR="007D4BD6" w:rsidRPr="00E0007B" w:rsidP="007D4BD6">
      <w:pPr>
        <w:widowControl/>
        <w:bidi w:val="0"/>
        <w:jc w:val="both"/>
        <w:rPr>
          <w:rStyle w:val="PlaceholderText"/>
          <w:color w:val="000000"/>
        </w:rPr>
      </w:pPr>
      <w:r w:rsidRPr="00E0007B">
        <w:rPr>
          <w:rStyle w:val="PlaceholderText"/>
          <w:color w:val="000000"/>
        </w:rPr>
        <w:t> </w:t>
      </w:r>
    </w:p>
    <w:p w:rsidR="007D4BD6" w:rsidRPr="00E0007B" w:rsidP="007D4BD6">
      <w:pPr>
        <w:widowControl/>
        <w:bidi w:val="0"/>
        <w:jc w:val="both"/>
        <w:rPr>
          <w:rStyle w:val="PlaceholderText"/>
          <w:color w:val="000000"/>
        </w:rPr>
      </w:pPr>
      <w:r w:rsidRPr="00E0007B">
        <w:rPr>
          <w:rStyle w:val="PlaceholderText"/>
          <w:b/>
          <w:color w:val="000000"/>
        </w:rPr>
        <w:t>K bodu 27 (§ 69 ods. 14 písm. b)</w:t>
      </w:r>
    </w:p>
    <w:p w:rsidR="007D4BD6" w:rsidRPr="00E0007B" w:rsidP="007D4BD6">
      <w:pPr>
        <w:widowControl/>
        <w:bidi w:val="0"/>
        <w:jc w:val="both"/>
        <w:rPr>
          <w:rStyle w:val="PlaceholderText"/>
          <w:color w:val="000000"/>
        </w:rPr>
      </w:pPr>
      <w:r w:rsidRPr="00E0007B">
        <w:rPr>
          <w:rStyle w:val="PlaceholderText"/>
          <w:color w:val="000000"/>
        </w:rPr>
        <w:t> </w:t>
      </w:r>
    </w:p>
    <w:p w:rsidR="007D4BD6" w:rsidRPr="00E0007B" w:rsidP="007D4BD6">
      <w:pPr>
        <w:widowControl/>
        <w:bidi w:val="0"/>
        <w:jc w:val="both"/>
        <w:rPr>
          <w:rStyle w:val="PlaceholderText"/>
          <w:color w:val="000000"/>
        </w:rPr>
      </w:pPr>
      <w:r w:rsidRPr="00E0007B">
        <w:rPr>
          <w:rStyle w:val="PlaceholderText"/>
          <w:color w:val="000000"/>
        </w:rPr>
        <w:t>Ustanovenie sa spresňuje z dôvodu jeho nejednoznačnej formulácie.</w:t>
      </w:r>
    </w:p>
    <w:p w:rsidR="007D4BD6" w:rsidRPr="00E0007B" w:rsidP="007D4BD6">
      <w:pPr>
        <w:widowControl/>
        <w:bidi w:val="0"/>
        <w:jc w:val="both"/>
        <w:rPr>
          <w:rStyle w:val="PlaceholderText"/>
          <w:color w:val="000000"/>
        </w:rPr>
      </w:pPr>
      <w:r w:rsidRPr="00E0007B">
        <w:rPr>
          <w:rStyle w:val="PlaceholderText"/>
          <w:color w:val="000000"/>
        </w:rPr>
        <w:t> </w:t>
      </w:r>
    </w:p>
    <w:p w:rsidR="007D4BD6" w:rsidRPr="00E0007B" w:rsidP="007D4BD6">
      <w:pPr>
        <w:widowControl/>
        <w:bidi w:val="0"/>
        <w:jc w:val="both"/>
        <w:rPr>
          <w:rStyle w:val="PlaceholderText"/>
          <w:color w:val="000000"/>
        </w:rPr>
      </w:pPr>
      <w:r w:rsidRPr="00E0007B">
        <w:rPr>
          <w:rStyle w:val="PlaceholderText"/>
          <w:b/>
          <w:color w:val="000000"/>
        </w:rPr>
        <w:t>K bodu 28 (§ 70 ods. 2 písm. c)</w:t>
      </w:r>
    </w:p>
    <w:p w:rsidR="007D4BD6" w:rsidRPr="00E0007B" w:rsidP="007D4BD6">
      <w:pPr>
        <w:widowControl/>
        <w:bidi w:val="0"/>
        <w:jc w:val="both"/>
        <w:rPr>
          <w:rStyle w:val="PlaceholderText"/>
          <w:color w:val="000000"/>
        </w:rPr>
      </w:pPr>
      <w:r w:rsidRPr="00E0007B">
        <w:rPr>
          <w:rStyle w:val="PlaceholderText"/>
          <w:color w:val="000000"/>
        </w:rPr>
        <w:t> </w:t>
      </w:r>
    </w:p>
    <w:p w:rsidR="007D4BD6" w:rsidRPr="00E0007B" w:rsidP="007D4BD6">
      <w:pPr>
        <w:widowControl/>
        <w:bidi w:val="0"/>
        <w:jc w:val="both"/>
        <w:rPr>
          <w:rStyle w:val="PlaceholderText"/>
          <w:color w:val="000000"/>
        </w:rPr>
      </w:pPr>
      <w:r w:rsidRPr="00E0007B">
        <w:rPr>
          <w:rStyle w:val="PlaceholderText"/>
          <w:color w:val="000000"/>
        </w:rPr>
        <w:t>Navrhuje sa, aby platiteľ dane, ktorý dodáva bezodplatne službu, nebol povinný túto uvádzať v záznamoch, pokiaľ je oslobodená od dane podľa § 28 až 41 zákona.</w:t>
      </w:r>
    </w:p>
    <w:p w:rsidR="007D4BD6" w:rsidRPr="00E0007B" w:rsidP="007D4BD6">
      <w:pPr>
        <w:widowControl/>
        <w:bidi w:val="0"/>
        <w:jc w:val="both"/>
        <w:rPr>
          <w:rStyle w:val="PlaceholderText"/>
          <w:color w:val="000000"/>
        </w:rPr>
      </w:pPr>
      <w:r w:rsidRPr="00E0007B">
        <w:rPr>
          <w:rStyle w:val="PlaceholderText"/>
          <w:color w:val="000000"/>
        </w:rPr>
        <w:t> </w:t>
      </w:r>
    </w:p>
    <w:p w:rsidR="007D4BD6" w:rsidRPr="00E0007B" w:rsidP="007D4BD6">
      <w:pPr>
        <w:widowControl/>
        <w:bidi w:val="0"/>
        <w:jc w:val="both"/>
        <w:rPr>
          <w:rStyle w:val="PlaceholderText"/>
          <w:color w:val="000000"/>
        </w:rPr>
      </w:pPr>
      <w:r w:rsidRPr="00E0007B">
        <w:rPr>
          <w:rStyle w:val="PlaceholderText"/>
          <w:b/>
          <w:color w:val="000000"/>
        </w:rPr>
        <w:t>K bodu 29 (§ 73 písm. e)</w:t>
      </w:r>
    </w:p>
    <w:p w:rsidR="007D4BD6" w:rsidRPr="00E0007B" w:rsidP="007D4BD6">
      <w:pPr>
        <w:widowControl/>
        <w:bidi w:val="0"/>
        <w:jc w:val="both"/>
        <w:rPr>
          <w:rStyle w:val="PlaceholderText"/>
          <w:color w:val="000000"/>
        </w:rPr>
      </w:pPr>
      <w:r w:rsidRPr="00E0007B">
        <w:rPr>
          <w:rStyle w:val="PlaceholderText"/>
          <w:b/>
          <w:color w:val="000000"/>
        </w:rPr>
        <w:t xml:space="preserve">            </w:t>
      </w:r>
    </w:p>
    <w:p w:rsidR="007D4BD6" w:rsidRPr="00E0007B" w:rsidP="007D4BD6">
      <w:pPr>
        <w:widowControl/>
        <w:bidi w:val="0"/>
        <w:jc w:val="both"/>
        <w:rPr>
          <w:rStyle w:val="PlaceholderText"/>
          <w:color w:val="000000"/>
        </w:rPr>
      </w:pPr>
      <w:r w:rsidRPr="00E0007B">
        <w:rPr>
          <w:rStyle w:val="PlaceholderText"/>
          <w:color w:val="000000"/>
        </w:rPr>
        <w:t xml:space="preserve">Ustanovuje sa lehota na vyhotovenie faktúry, ktorou sa mení príp. dopĺňa pôvodne vyhotovená faktúra. Ide o prípady, kedy platiteľ dane vyhotovuje opravný doklad k faktúre, ktorú bol povinný vyhotoviť podľa § 72. </w:t>
      </w:r>
    </w:p>
    <w:p w:rsidR="007D4BD6" w:rsidRPr="00E0007B" w:rsidP="007D4BD6">
      <w:pPr>
        <w:widowControl/>
        <w:bidi w:val="0"/>
        <w:jc w:val="both"/>
        <w:rPr>
          <w:rStyle w:val="PlaceholderText"/>
          <w:color w:val="000000"/>
        </w:rPr>
      </w:pPr>
      <w:r w:rsidRPr="00E0007B">
        <w:rPr>
          <w:rStyle w:val="PlaceholderText"/>
          <w:color w:val="000000"/>
        </w:rPr>
        <w:t> </w:t>
      </w:r>
    </w:p>
    <w:p w:rsidR="007D4BD6" w:rsidRPr="00E0007B" w:rsidP="007D4BD6">
      <w:pPr>
        <w:widowControl/>
        <w:bidi w:val="0"/>
        <w:jc w:val="both"/>
        <w:rPr>
          <w:rStyle w:val="PlaceholderText"/>
          <w:color w:val="000000"/>
        </w:rPr>
      </w:pPr>
      <w:r w:rsidRPr="00E0007B">
        <w:rPr>
          <w:rStyle w:val="PlaceholderText"/>
          <w:b/>
          <w:color w:val="000000"/>
        </w:rPr>
        <w:t>K bodu 30 (§ 78 ods. 3)</w:t>
      </w:r>
    </w:p>
    <w:p w:rsidR="007D4BD6" w:rsidRPr="00E0007B" w:rsidP="007D4BD6">
      <w:pPr>
        <w:widowControl/>
        <w:bidi w:val="0"/>
        <w:jc w:val="both"/>
        <w:rPr>
          <w:rStyle w:val="PlaceholderText"/>
          <w:color w:val="000000"/>
        </w:rPr>
      </w:pPr>
      <w:r w:rsidRPr="00E0007B">
        <w:rPr>
          <w:rStyle w:val="PlaceholderText"/>
          <w:color w:val="000000"/>
        </w:rPr>
        <w:t> </w:t>
      </w:r>
    </w:p>
    <w:p w:rsidR="007D4BD6" w:rsidRPr="00E0007B" w:rsidP="007D4BD6">
      <w:pPr>
        <w:widowControl/>
        <w:bidi w:val="0"/>
        <w:jc w:val="both"/>
        <w:rPr>
          <w:rStyle w:val="PlaceholderText"/>
          <w:color w:val="000000"/>
        </w:rPr>
      </w:pPr>
      <w:r w:rsidRPr="00E0007B">
        <w:rPr>
          <w:rStyle w:val="PlaceholderText"/>
          <w:color w:val="000000"/>
        </w:rPr>
        <w:t>Z dôvodu zjednodušenia na strane osoby, ktorej za určité obdobie vznikla povinnosť platiť DPH, ako aj na strane správcu dane</w:t>
      </w:r>
      <w:r>
        <w:rPr>
          <w:rStyle w:val="PlaceholderText"/>
          <w:color w:val="000000"/>
        </w:rPr>
        <w:t>,</w:t>
      </w:r>
      <w:r w:rsidRPr="00E0007B">
        <w:rPr>
          <w:rStyle w:val="PlaceholderText"/>
          <w:color w:val="000000"/>
        </w:rPr>
        <w:t xml:space="preserve"> sa navrhuje oslobodenie od </w:t>
      </w:r>
      <w:r>
        <w:rPr>
          <w:rStyle w:val="PlaceholderText"/>
          <w:color w:val="000000"/>
        </w:rPr>
        <w:t>platenia</w:t>
      </w:r>
      <w:r w:rsidRPr="00E0007B">
        <w:rPr>
          <w:rStyle w:val="PlaceholderText"/>
          <w:color w:val="000000"/>
        </w:rPr>
        <w:t xml:space="preserve"> dane ak daň, ktorú má táto osoba zaplatiť štátu, nepresiahne 5 eur.</w:t>
      </w:r>
    </w:p>
    <w:p w:rsidR="007D4BD6" w:rsidRPr="00E0007B" w:rsidP="007D4BD6">
      <w:pPr>
        <w:widowControl/>
        <w:bidi w:val="0"/>
        <w:jc w:val="both"/>
        <w:rPr>
          <w:rStyle w:val="PlaceholderText"/>
          <w:color w:val="000000"/>
        </w:rPr>
      </w:pPr>
      <w:r w:rsidRPr="00E0007B">
        <w:rPr>
          <w:rStyle w:val="PlaceholderText"/>
          <w:color w:val="000000"/>
        </w:rPr>
        <w:t> </w:t>
      </w:r>
    </w:p>
    <w:p w:rsidR="007D4BD6" w:rsidRPr="00E0007B" w:rsidP="007D4BD6">
      <w:pPr>
        <w:widowControl/>
        <w:bidi w:val="0"/>
        <w:jc w:val="both"/>
        <w:rPr>
          <w:rStyle w:val="PlaceholderText"/>
          <w:color w:val="000000"/>
        </w:rPr>
      </w:pPr>
      <w:r w:rsidRPr="00E0007B">
        <w:rPr>
          <w:rStyle w:val="PlaceholderText"/>
          <w:b/>
          <w:color w:val="000000"/>
        </w:rPr>
        <w:t xml:space="preserve">K bodu 31 (§ 78a) </w:t>
      </w:r>
    </w:p>
    <w:p w:rsidR="007D4BD6" w:rsidRPr="00E0007B" w:rsidP="007D4BD6">
      <w:pPr>
        <w:widowControl/>
        <w:bidi w:val="0"/>
        <w:ind w:firstLine="709"/>
        <w:jc w:val="both"/>
        <w:rPr>
          <w:rStyle w:val="PlaceholderText"/>
          <w:color w:val="000000"/>
        </w:rPr>
      </w:pPr>
      <w:r w:rsidRPr="00E0007B">
        <w:rPr>
          <w:rStyle w:val="PlaceholderText"/>
          <w:color w:val="000000"/>
        </w:rPr>
        <w:t> </w:t>
      </w:r>
    </w:p>
    <w:p w:rsidR="007D4BD6" w:rsidRPr="00E0007B" w:rsidP="007D4BD6">
      <w:pPr>
        <w:widowControl/>
        <w:bidi w:val="0"/>
        <w:jc w:val="both"/>
        <w:rPr>
          <w:rStyle w:val="PlaceholderText"/>
          <w:color w:val="000000"/>
        </w:rPr>
      </w:pPr>
      <w:r w:rsidRPr="00E0007B">
        <w:rPr>
          <w:rStyle w:val="PlaceholderText"/>
          <w:color w:val="000000"/>
        </w:rPr>
        <w:t>Zavádza sa pre platiteľov dane (registrovaných podľa §§  4, 4a, 5 a 6) nová povinnosť, a to podávať kontrolný výkaz spolu s daňovým priznaním. Zavedenie tejto povinnosti v zákone vychádza zo schváleného  Akčného plánu boja proti daňovým podvodom na roky 2012 – 2016. Akčný plán vláda SR schválila dňa 31.5.2012 uznesením č. 235/2012.</w:t>
      </w:r>
    </w:p>
    <w:p w:rsidR="007D4BD6" w:rsidRPr="00E0007B" w:rsidP="007D4BD6">
      <w:pPr>
        <w:widowControl/>
        <w:bidi w:val="0"/>
        <w:jc w:val="both"/>
        <w:rPr>
          <w:rStyle w:val="PlaceholderText"/>
          <w:color w:val="000000"/>
        </w:rPr>
      </w:pPr>
      <w:r w:rsidRPr="00E0007B">
        <w:rPr>
          <w:rStyle w:val="PlaceholderText"/>
          <w:color w:val="000000"/>
        </w:rPr>
        <w:t>Kontrolný výkaz sa bude podávať elektronicky a budú v ňom obsiahnuté podrobné údaje o jednotlivých daňových povinnostiach platiteľa dane a o jednotlivých odpočtoch uplatňovaných platiteľom dane za dané zdaňovacie obdobie (napr. IČ DPH dodávateľa, odberateľa, poradové číslo faktúry, suma dane, základ dane). Podrobné údaje o uskutočnených a o prijatých transakciách sa budú vykazovať na základe vyhotovených a prijatých faktúr o dodaní tovaru alebo služby vrátane súhrnných faktúr a dohôd o platbách podľa § 75 ods. 2, z ktorých v tuzemsku vznikne platiteľovi dane povinnosť platiť daň a z ktorých vznikne platiteľovi dane právo na odpočítanie dane. V prípade prijatia služieb z iného členského štátu alebo tretieho štátu, kedy povinnosť platiť daň má platiteľ dane v SR ako aj  v ostatných prípadoch samozdanenia služby alebo tovaru, sa môžu uvádzať údaje aj z iných dokladov (napr. zmluvy), ak platiteľ dane nemá k dispozícii faktúru v čase podania kontrolného výkazu. Ide o prípady, v ktorých zákon umožňuje odpočítanie dane z prijatých plnení na základe uvedenia prijatej služby alebo tovaru v záznamoch platiteľa dane (§ 51 ods. 1 písm. b/ zákona).</w:t>
      </w:r>
    </w:p>
    <w:p w:rsidR="007D4BD6" w:rsidRPr="00E0007B" w:rsidP="007D4BD6">
      <w:pPr>
        <w:widowControl/>
        <w:bidi w:val="0"/>
        <w:jc w:val="both"/>
        <w:rPr>
          <w:rStyle w:val="PlaceholderText"/>
          <w:color w:val="000000"/>
        </w:rPr>
      </w:pPr>
      <w:r w:rsidRPr="00E0007B">
        <w:rPr>
          <w:rStyle w:val="PlaceholderText"/>
          <w:color w:val="000000"/>
        </w:rPr>
        <w:t xml:space="preserve">O plneniach, ku ktorým je vydaná zjednodušená faktúra vyhotovená elektronickou registračnou pokladnicou ( ERP), dodávateľ tovaru alebo služby bude uvádzať len kumulované údaje z týchto faktúr. </w:t>
      </w:r>
    </w:p>
    <w:p w:rsidR="007D4BD6" w:rsidRPr="00E0007B" w:rsidP="007D4BD6">
      <w:pPr>
        <w:widowControl/>
        <w:bidi w:val="0"/>
        <w:jc w:val="both"/>
        <w:rPr>
          <w:rStyle w:val="PlaceholderText"/>
          <w:color w:val="000000"/>
        </w:rPr>
      </w:pPr>
      <w:r w:rsidRPr="00E0007B">
        <w:rPr>
          <w:rStyle w:val="PlaceholderText"/>
          <w:color w:val="000000"/>
        </w:rPr>
        <w:t>Osobitne bude dodávateľ uvádzať kumulované údaje týkajúce sa všetkých ostatných dodaní tovarov a služieb, ktoré nie je povinný evidovať prostredníctvom ERP a ku ktorým nie je povinný vydať ani faktúru (napr. plnenia voči nezdaniteľnej osobe, diaľničné známky, parkovacie lístky a iné plnenia, ktoré nie sú zahrnuté medzi tie, ktoré sa poskytujú inému platiteľovi dane alebo ktoré sú zahrnuté v kumulatíve z ERP a pri ktorých mu vzniká povinnosť platiť daň).</w:t>
      </w:r>
    </w:p>
    <w:p w:rsidR="007D4BD6" w:rsidRPr="00E0007B" w:rsidP="007D4BD6">
      <w:pPr>
        <w:widowControl/>
        <w:bidi w:val="0"/>
        <w:jc w:val="both"/>
        <w:rPr>
          <w:rStyle w:val="PlaceholderText"/>
          <w:color w:val="000000"/>
        </w:rPr>
      </w:pPr>
      <w:r w:rsidRPr="00E0007B">
        <w:rPr>
          <w:rStyle w:val="PlaceholderText"/>
          <w:color w:val="000000"/>
        </w:rPr>
        <w:t xml:space="preserve">Príjemca plnenia bude musieť uvádzať údaje z každej jednotlivej prijatej faktúry vrátane zjednodušenej faktúry vyhotovenej ERP a vrátane ďalších zjednodušených faktúr (§ 74 ods. 3 zákona). </w:t>
      </w:r>
    </w:p>
    <w:p w:rsidR="007D4BD6" w:rsidRPr="00E0007B" w:rsidP="007D4BD6">
      <w:pPr>
        <w:widowControl/>
        <w:bidi w:val="0"/>
        <w:jc w:val="both"/>
        <w:rPr>
          <w:rStyle w:val="PlaceholderText"/>
          <w:color w:val="000000"/>
        </w:rPr>
      </w:pPr>
      <w:r w:rsidRPr="00E0007B">
        <w:rPr>
          <w:rStyle w:val="PlaceholderText"/>
          <w:color w:val="000000"/>
        </w:rPr>
        <w:t>Osobitne sa v kontrolnom výkaze budú uvádzať údaje z opravných faktúr (tzv. dobropisov a ťarchopisov).</w:t>
      </w:r>
    </w:p>
    <w:p w:rsidR="007D4BD6" w:rsidRPr="00E0007B" w:rsidP="007D4BD6">
      <w:pPr>
        <w:widowControl/>
        <w:bidi w:val="0"/>
        <w:jc w:val="both"/>
        <w:rPr>
          <w:rStyle w:val="PlaceholderText"/>
          <w:color w:val="000000"/>
        </w:rPr>
      </w:pPr>
      <w:r w:rsidRPr="00E0007B">
        <w:rPr>
          <w:rStyle w:val="PlaceholderText"/>
          <w:color w:val="000000"/>
        </w:rPr>
        <w:t>Do kontrolného výkazu sa nebudú uvádzať tie poskytnuté plnenia, ktoré sú platitelia dane povinní uvádzať do súhrnného výkazu a údaje o vyvezených tovaroch do tretích štátov.</w:t>
      </w:r>
    </w:p>
    <w:p w:rsidR="007D4BD6" w:rsidRPr="00E0007B" w:rsidP="007D4BD6">
      <w:pPr>
        <w:widowControl/>
        <w:bidi w:val="0"/>
        <w:jc w:val="both"/>
        <w:rPr>
          <w:rStyle w:val="PlaceholderText"/>
          <w:color w:val="000000"/>
        </w:rPr>
      </w:pPr>
      <w:r w:rsidRPr="00E0007B">
        <w:rPr>
          <w:rStyle w:val="PlaceholderText"/>
          <w:color w:val="000000"/>
        </w:rPr>
        <w:t>Rovnako ako pri daňovom priznaní sa ustanovuje aj povinnosť podať opravný kontrolný výkaz a dodatočný kontrolný výkaz, a to podľa okamihu, kedy platiteľ dane zistí nesprávne alebo neúplné údaje v pôvodnom kontrolnom výkaze. V určitých prípadoch je možné za nesplnenie povinností súvisiacich s kontrolným výkazom uložiť aj pokutu, podľa závažnosti protiprávneho konania až do výšky 10 000 eur. Ak platiteľ dane opakovane poruší povinnosť podať kontrolný výkaz, daňový úrad mu môže uložiť pokutu až do výšky 100 000 eur.</w:t>
      </w:r>
    </w:p>
    <w:p w:rsidR="007D4BD6" w:rsidRPr="00E0007B" w:rsidP="007D4BD6">
      <w:pPr>
        <w:widowControl/>
        <w:bidi w:val="0"/>
        <w:jc w:val="both"/>
        <w:rPr>
          <w:rStyle w:val="PlaceholderText"/>
          <w:color w:val="000000"/>
        </w:rPr>
      </w:pPr>
      <w:r w:rsidRPr="00E0007B">
        <w:rPr>
          <w:rStyle w:val="PlaceholderText"/>
          <w:color w:val="000000"/>
        </w:rPr>
        <w:t>Vzor kontrolného výkazu ustanoví opatrenie MF SR. K vyplneniu kontrolného výkazu vydá MF SR poučenie, ktoré uverejní vo Finančnom spravodajcovi.</w:t>
      </w:r>
    </w:p>
    <w:p w:rsidR="007D4BD6" w:rsidRPr="00E0007B" w:rsidP="007D4BD6">
      <w:pPr>
        <w:widowControl/>
        <w:bidi w:val="0"/>
        <w:jc w:val="both"/>
        <w:rPr>
          <w:rStyle w:val="PlaceholderText"/>
          <w:color w:val="000000"/>
        </w:rPr>
      </w:pPr>
      <w:r w:rsidRPr="00E0007B">
        <w:rPr>
          <w:rStyle w:val="PlaceholderText"/>
          <w:color w:val="000000"/>
        </w:rPr>
        <w:t xml:space="preserve">Popri zavedení prenosu daňovej povinnosti na vybrané komodity podľa čl. 199a smernice 2006/112/ES o spoločnom systéme dane z pridanej hodnoty vyplýva Slovenskej republike zo smernice zároveň záväzok uložiť platiteľom dane povinnosť zaznamenať, ale aj predkladať informácie týkajúce sa týchto dodávok tovarov podliehajúcich prenosu daňovej povinnosti. Z toho dôvodu, ak sa v kontrolnom výkaze uvádzajú údaje z faktúr vyhotovených v súvislosti s dodávkami tovarov, pri ktorých sa uplatní tuzemský prenos daňovej povinnosti, v kontrolnom výkaze sa navyše pri týchto tovaroch uvádza aj množstvo tovaru, druh tovaru alebo kód kombinovanej nomenklatúry tovarov. Hore uvedené platí len pre vyhotovené a prijaté faktúry, pri ktorých dochádza k tuzemskému prenosu daňovej povinnosti, to znamená len ak platiteľ dane dodá tovar, pri ktorom sa uplatní prenos daňovej povinnosti inému platiteľovi dane, Ak platiteľ dane nadobudne napr. železo od dodávateľa z iného členského štátu, v kontrolnom výkaze sa údaje o množstve a kóde kombinovanej nomenklatúry dodaného železa neuvedú. </w:t>
      </w:r>
    </w:p>
    <w:p w:rsidR="007D4BD6" w:rsidP="007D4BD6">
      <w:pPr>
        <w:widowControl/>
        <w:bidi w:val="0"/>
        <w:jc w:val="both"/>
        <w:rPr>
          <w:rStyle w:val="PlaceholderText"/>
          <w:b/>
          <w:color w:val="000000"/>
        </w:rPr>
      </w:pPr>
      <w:r w:rsidRPr="00E0007B">
        <w:rPr>
          <w:rStyle w:val="PlaceholderText"/>
          <w:color w:val="000000"/>
        </w:rPr>
        <w:t> </w:t>
      </w:r>
    </w:p>
    <w:p w:rsidR="007D4BD6" w:rsidRPr="00E0007B" w:rsidP="007D4BD6">
      <w:pPr>
        <w:widowControl/>
        <w:bidi w:val="0"/>
        <w:jc w:val="both"/>
        <w:rPr>
          <w:rStyle w:val="PlaceholderText"/>
          <w:color w:val="000000"/>
        </w:rPr>
      </w:pPr>
      <w:r w:rsidRPr="00E0007B">
        <w:rPr>
          <w:rStyle w:val="PlaceholderText"/>
          <w:b/>
          <w:color w:val="000000"/>
        </w:rPr>
        <w:t>K bodom 32 a 33 (§ 79 ods. 4 a 5)</w:t>
      </w:r>
    </w:p>
    <w:p w:rsidR="007D4BD6" w:rsidRPr="00E0007B" w:rsidP="007D4BD6">
      <w:pPr>
        <w:widowControl/>
        <w:bidi w:val="0"/>
        <w:jc w:val="both"/>
        <w:rPr>
          <w:rStyle w:val="PlaceholderText"/>
          <w:color w:val="000000"/>
        </w:rPr>
      </w:pPr>
      <w:r w:rsidRPr="00E0007B">
        <w:rPr>
          <w:rStyle w:val="PlaceholderText"/>
          <w:b/>
          <w:color w:val="000000"/>
        </w:rPr>
        <w:t xml:space="preserve">            </w:t>
      </w:r>
    </w:p>
    <w:p w:rsidR="007D4BD6" w:rsidRPr="00E0007B" w:rsidP="007D4BD6">
      <w:pPr>
        <w:widowControl/>
        <w:bidi w:val="0"/>
        <w:jc w:val="both"/>
        <w:rPr>
          <w:rStyle w:val="PlaceholderText"/>
          <w:color w:val="000000"/>
        </w:rPr>
      </w:pPr>
      <w:r w:rsidRPr="00E0007B">
        <w:rPr>
          <w:rStyle w:val="PlaceholderText"/>
          <w:color w:val="000000"/>
        </w:rPr>
        <w:t xml:space="preserve">Navrhuje sa, aby platiteľovi dane nebol vrátaný nadmerný odpočet, ak nepodá kontrolný výkaz a taktiež sa navrhuje prerušenie lehoty na vrátenie nadmerného odpočtu v prípade, ak daňový úrad vyzve platiteľa dane na odstránenie nedostatkov v dodatočnom kontrolnom výkaze. </w:t>
      </w:r>
    </w:p>
    <w:p w:rsidR="007D4BD6" w:rsidRPr="00E0007B" w:rsidP="007D4BD6">
      <w:pPr>
        <w:widowControl/>
        <w:bidi w:val="0"/>
        <w:jc w:val="both"/>
        <w:rPr>
          <w:rStyle w:val="PlaceholderText"/>
          <w:color w:val="000000"/>
        </w:rPr>
      </w:pPr>
      <w:r w:rsidRPr="00E0007B">
        <w:rPr>
          <w:rStyle w:val="PlaceholderText"/>
          <w:color w:val="000000"/>
        </w:rPr>
        <w:t> </w:t>
      </w:r>
    </w:p>
    <w:p w:rsidR="007D4BD6" w:rsidRPr="00E0007B" w:rsidP="007D4BD6">
      <w:pPr>
        <w:widowControl/>
        <w:bidi w:val="0"/>
        <w:jc w:val="both"/>
        <w:rPr>
          <w:rStyle w:val="PlaceholderText"/>
          <w:color w:val="000000"/>
        </w:rPr>
      </w:pPr>
      <w:r w:rsidRPr="00E0007B">
        <w:rPr>
          <w:rStyle w:val="PlaceholderText"/>
          <w:b/>
          <w:color w:val="000000"/>
        </w:rPr>
        <w:t>K bodu 34 (§ 80 ods. 9)</w:t>
      </w:r>
    </w:p>
    <w:p w:rsidR="007D4BD6" w:rsidRPr="00E0007B" w:rsidP="007D4BD6">
      <w:pPr>
        <w:widowControl/>
        <w:bidi w:val="0"/>
        <w:jc w:val="both"/>
        <w:rPr>
          <w:rStyle w:val="PlaceholderText"/>
          <w:color w:val="000000"/>
        </w:rPr>
      </w:pPr>
      <w:r w:rsidRPr="00E0007B">
        <w:rPr>
          <w:rStyle w:val="PlaceholderText"/>
          <w:color w:val="000000"/>
        </w:rPr>
        <w:t> </w:t>
      </w:r>
    </w:p>
    <w:p w:rsidR="007D4BD6" w:rsidRPr="00E0007B" w:rsidP="007D4BD6">
      <w:pPr>
        <w:widowControl/>
        <w:bidi w:val="0"/>
        <w:jc w:val="both"/>
        <w:rPr>
          <w:rStyle w:val="PlaceholderText"/>
          <w:color w:val="000000"/>
        </w:rPr>
      </w:pPr>
      <w:r w:rsidRPr="00E0007B">
        <w:rPr>
          <w:rStyle w:val="PlaceholderText"/>
          <w:color w:val="000000"/>
        </w:rPr>
        <w:t>Ustanovuje sa nová lehota na podanie súhrnného výkazu, ktorá je rovnaká ako lehota na podanie daňového priznania (namiesto do 20 dní sa ustanovuje do 25 dní).</w:t>
      </w:r>
    </w:p>
    <w:p w:rsidR="007D4BD6" w:rsidRPr="00E0007B" w:rsidP="007D4BD6">
      <w:pPr>
        <w:widowControl/>
        <w:bidi w:val="0"/>
        <w:jc w:val="both"/>
        <w:rPr>
          <w:rStyle w:val="PlaceholderText"/>
          <w:color w:val="000000"/>
        </w:rPr>
      </w:pPr>
      <w:r w:rsidRPr="00E0007B">
        <w:rPr>
          <w:rStyle w:val="PlaceholderText"/>
          <w:color w:val="000000"/>
        </w:rPr>
        <w:t> </w:t>
      </w:r>
    </w:p>
    <w:p w:rsidR="007D4BD6" w:rsidRPr="00E0007B" w:rsidP="007D4BD6">
      <w:pPr>
        <w:widowControl/>
        <w:bidi w:val="0"/>
        <w:jc w:val="both"/>
        <w:rPr>
          <w:rStyle w:val="PlaceholderText"/>
          <w:color w:val="000000"/>
        </w:rPr>
      </w:pPr>
      <w:r w:rsidRPr="00E0007B">
        <w:rPr>
          <w:rStyle w:val="PlaceholderText"/>
          <w:b/>
          <w:color w:val="000000"/>
        </w:rPr>
        <w:t>K bodu 36 (§ 81 ods. 4)</w:t>
      </w:r>
    </w:p>
    <w:p w:rsidR="007D4BD6" w:rsidRPr="00E0007B" w:rsidP="007D4BD6">
      <w:pPr>
        <w:widowControl/>
        <w:bidi w:val="0"/>
        <w:jc w:val="both"/>
        <w:rPr>
          <w:rStyle w:val="PlaceholderText"/>
          <w:color w:val="000000"/>
        </w:rPr>
      </w:pPr>
      <w:r w:rsidRPr="00E0007B">
        <w:rPr>
          <w:rStyle w:val="PlaceholderText"/>
          <w:color w:val="000000"/>
        </w:rPr>
        <w:t> </w:t>
      </w:r>
    </w:p>
    <w:p w:rsidR="007D4BD6" w:rsidRPr="00E0007B" w:rsidP="007D4BD6">
      <w:pPr>
        <w:widowControl/>
        <w:bidi w:val="0"/>
        <w:jc w:val="both"/>
        <w:rPr>
          <w:rStyle w:val="PlaceholderText"/>
          <w:color w:val="000000"/>
        </w:rPr>
      </w:pPr>
      <w:r w:rsidRPr="00E0007B">
        <w:rPr>
          <w:rStyle w:val="PlaceholderText"/>
          <w:color w:val="000000"/>
        </w:rPr>
        <w:t>Daňový úrad môže podľa súčasného znenia § 81 ods. 4 zákona zrušiť registráciu pre daň platiteľovi dane z dôvodu, že platiteľ dane opakovane v priebehu kalendárneho roka nepodá daňové priznanie. Keďže kontrolný výkaz podľa novodoplneného ustanovenia § 78a sa bude podávať spolu s daňovým priznaním, navrhuje sa, aby aj opakované nepodanie kontrolného výkazu bolo  dôvodom na zrušenie registrácie.</w:t>
      </w:r>
    </w:p>
    <w:p w:rsidR="007D4BD6" w:rsidRPr="00E0007B" w:rsidP="007D4BD6">
      <w:pPr>
        <w:widowControl/>
        <w:bidi w:val="0"/>
        <w:jc w:val="both"/>
        <w:rPr>
          <w:rStyle w:val="PlaceholderText"/>
          <w:color w:val="000000"/>
        </w:rPr>
      </w:pPr>
      <w:r w:rsidRPr="00E0007B">
        <w:rPr>
          <w:rStyle w:val="PlaceholderText"/>
          <w:color w:val="000000"/>
        </w:rPr>
        <w:t> </w:t>
      </w:r>
    </w:p>
    <w:p w:rsidR="007D4BD6" w:rsidRPr="00E0007B" w:rsidP="007D4BD6">
      <w:pPr>
        <w:widowControl/>
        <w:bidi w:val="0"/>
        <w:jc w:val="both"/>
        <w:rPr>
          <w:rStyle w:val="PlaceholderText"/>
          <w:color w:val="000000"/>
        </w:rPr>
      </w:pPr>
      <w:r w:rsidRPr="00E0007B">
        <w:rPr>
          <w:rStyle w:val="PlaceholderText"/>
          <w:b/>
          <w:color w:val="000000"/>
        </w:rPr>
        <w:t>K bodu 38 (§ 81a ods. 2)</w:t>
      </w:r>
    </w:p>
    <w:p w:rsidR="007D4BD6" w:rsidRPr="00E0007B" w:rsidP="007D4BD6">
      <w:pPr>
        <w:widowControl/>
        <w:bidi w:val="0"/>
        <w:rPr>
          <w:rStyle w:val="PlaceholderText"/>
          <w:color w:val="000000"/>
        </w:rPr>
      </w:pPr>
      <w:r w:rsidRPr="00E0007B">
        <w:rPr>
          <w:rStyle w:val="PlaceholderText"/>
          <w:color w:val="000000"/>
        </w:rPr>
        <w:t> </w:t>
      </w:r>
    </w:p>
    <w:p w:rsidR="007D4BD6" w:rsidRPr="00E0007B" w:rsidP="007D4BD6">
      <w:pPr>
        <w:widowControl/>
        <w:bidi w:val="0"/>
        <w:jc w:val="both"/>
        <w:rPr>
          <w:rStyle w:val="PlaceholderText"/>
          <w:color w:val="000000"/>
        </w:rPr>
      </w:pPr>
      <w:r w:rsidRPr="00E0007B">
        <w:rPr>
          <w:rStyle w:val="PlaceholderText"/>
          <w:color w:val="000000"/>
        </w:rPr>
        <w:t xml:space="preserve">Navrhuje sa osobitne riešiť situáciu, keď skupina ako celok prestáva plniť podmienky na registráciu skupiny podľa § 4a zákona (napr. dvaja členovia z troch ukončia podnikanie a pod.). Súčasná úprava je nepostačujúca z dôvodu, že § 81a odsek 1 upravuje zrušenie registrácie, keď sa jednotliví členovia bez toho, aby prestali spĺňať podmienky na registráciu skupiny, dobrovoľne rozhodnú pre zrušenie registrácie skupiny. Navrhuje sa doplniť do zákona povinnosť podať žiadosť o zrušenie registrácie, ak skupina prestane spĺňať podmienky na registráciu podľa § 4a. Žiadosť podáva zástupca skupiny a ak tak neurobí a daňový úrad zistí, že skupina prestala spĺňať podmienky, zruší registráciu skupiny z úradnej moci. </w:t>
      </w:r>
    </w:p>
    <w:p w:rsidR="007D4BD6" w:rsidRPr="00E0007B" w:rsidP="007D4BD6">
      <w:pPr>
        <w:widowControl/>
        <w:bidi w:val="0"/>
        <w:jc w:val="both"/>
        <w:rPr>
          <w:rStyle w:val="PlaceholderText"/>
          <w:color w:val="000000"/>
        </w:rPr>
      </w:pPr>
      <w:r w:rsidRPr="00E0007B">
        <w:rPr>
          <w:rStyle w:val="PlaceholderText"/>
          <w:b/>
          <w:color w:val="000000"/>
        </w:rPr>
        <w:t>K bodom 39 a 40 (§ 82 ods. 2 a 3)</w:t>
      </w:r>
    </w:p>
    <w:p w:rsidR="007D4BD6" w:rsidRPr="00E0007B" w:rsidP="007D4BD6">
      <w:pPr>
        <w:widowControl/>
        <w:bidi w:val="0"/>
        <w:jc w:val="both"/>
        <w:rPr>
          <w:rStyle w:val="PlaceholderText"/>
          <w:color w:val="000000"/>
        </w:rPr>
      </w:pPr>
      <w:r w:rsidRPr="00E0007B">
        <w:rPr>
          <w:rStyle w:val="PlaceholderText"/>
          <w:color w:val="000000"/>
        </w:rPr>
        <w:t> </w:t>
      </w:r>
    </w:p>
    <w:p w:rsidR="007D4BD6" w:rsidRPr="00E0007B" w:rsidP="007D4BD6">
      <w:pPr>
        <w:widowControl/>
        <w:bidi w:val="0"/>
        <w:jc w:val="both"/>
        <w:rPr>
          <w:rStyle w:val="PlaceholderText"/>
          <w:color w:val="000000"/>
        </w:rPr>
      </w:pPr>
      <w:r w:rsidRPr="00E0007B">
        <w:rPr>
          <w:rStyle w:val="PlaceholderText"/>
          <w:color w:val="000000"/>
        </w:rPr>
        <w:t>V týchto ustanoveniach sa navrhuje doplniť chýbajúcu úpravu zrušenia registrácie osôb, ktoré sú registrované podľa § 7 alebo § 7a zákona.</w:t>
      </w:r>
    </w:p>
    <w:p w:rsidR="007D4BD6" w:rsidRPr="00E0007B" w:rsidP="007D4BD6">
      <w:pPr>
        <w:widowControl/>
        <w:bidi w:val="0"/>
        <w:jc w:val="both"/>
        <w:rPr>
          <w:rStyle w:val="PlaceholderText"/>
          <w:color w:val="000000"/>
        </w:rPr>
      </w:pPr>
      <w:r w:rsidRPr="00E0007B">
        <w:rPr>
          <w:rStyle w:val="PlaceholderText"/>
          <w:color w:val="000000"/>
        </w:rPr>
        <w:t>Registráciu podľa ustanovení § 7 alebo 7a zákona zruší daňový úrad na základe žiadosti alebo z úradnej moci, ak subjekt skončí v tuzemsku činnosť, ktorá je predmetom dane.</w:t>
      </w:r>
    </w:p>
    <w:p w:rsidR="007D4BD6" w:rsidRPr="00E0007B" w:rsidP="007D4BD6">
      <w:pPr>
        <w:widowControl/>
        <w:bidi w:val="0"/>
        <w:jc w:val="both"/>
        <w:rPr>
          <w:rStyle w:val="PlaceholderText"/>
          <w:color w:val="000000"/>
        </w:rPr>
      </w:pPr>
      <w:r w:rsidRPr="00E0007B">
        <w:rPr>
          <w:rStyle w:val="PlaceholderText"/>
          <w:color w:val="000000"/>
        </w:rPr>
        <w:t xml:space="preserve">Ďalším dôvodom na zrušenie registrácie podľa § 7 alebo § 7a zákona je skutočnosť, že zdaniteľná osoba nadobudne postavenie platiteľa dane (dosiahnutím obratu, na základe dobrovoľnej registrácie, zo zákona). V týchto prípadoch daňový úrad zruší registráciu z úradnej moci ku dňu, keď sa táto zdaniteľná osoba stala platiteľom dane. V tomto prípade nedochádza ku zmene registrácie ako je ustanovené v novodoplnenom ustanovení § 6a, ale dochádza k zrušeniu registrácie a k zaregistrovaniu zdaniteľnej osoby za platiteľa dane. </w:t>
      </w:r>
    </w:p>
    <w:p w:rsidR="007D4BD6" w:rsidRPr="00E0007B" w:rsidP="007D4BD6">
      <w:pPr>
        <w:widowControl/>
        <w:bidi w:val="0"/>
        <w:ind w:firstLine="709"/>
        <w:jc w:val="both"/>
        <w:rPr>
          <w:rStyle w:val="PlaceholderText"/>
          <w:color w:val="000000"/>
        </w:rPr>
      </w:pPr>
      <w:r w:rsidRPr="00E0007B">
        <w:rPr>
          <w:rStyle w:val="PlaceholderText"/>
          <w:color w:val="000000"/>
        </w:rPr>
        <w:t> </w:t>
      </w:r>
    </w:p>
    <w:p w:rsidR="007D4BD6" w:rsidRPr="00E0007B" w:rsidP="007D4BD6">
      <w:pPr>
        <w:widowControl/>
        <w:bidi w:val="0"/>
        <w:jc w:val="both"/>
        <w:rPr>
          <w:rStyle w:val="PlaceholderText"/>
          <w:color w:val="000000"/>
        </w:rPr>
      </w:pPr>
      <w:r w:rsidRPr="00E0007B">
        <w:rPr>
          <w:rStyle w:val="PlaceholderText"/>
          <w:b/>
          <w:color w:val="000000"/>
        </w:rPr>
        <w:t>K bodu 41 (§ 83 ods. 3)</w:t>
      </w:r>
    </w:p>
    <w:p w:rsidR="007D4BD6" w:rsidRPr="00E0007B" w:rsidP="007D4BD6">
      <w:pPr>
        <w:widowControl/>
        <w:bidi w:val="0"/>
        <w:jc w:val="both"/>
        <w:rPr>
          <w:rStyle w:val="PlaceholderText"/>
          <w:color w:val="000000"/>
        </w:rPr>
      </w:pPr>
      <w:r w:rsidRPr="00E0007B">
        <w:rPr>
          <w:rStyle w:val="PlaceholderText"/>
          <w:color w:val="000000"/>
        </w:rPr>
        <w:t> </w:t>
      </w:r>
    </w:p>
    <w:p w:rsidR="007D4BD6" w:rsidRPr="00E0007B" w:rsidP="007D4BD6">
      <w:pPr>
        <w:widowControl/>
        <w:bidi w:val="0"/>
        <w:jc w:val="both"/>
        <w:rPr>
          <w:rStyle w:val="PlaceholderText"/>
          <w:color w:val="000000"/>
        </w:rPr>
      </w:pPr>
      <w:r w:rsidRPr="00E0007B">
        <w:rPr>
          <w:rStyle w:val="PlaceholderText"/>
          <w:color w:val="000000"/>
        </w:rPr>
        <w:t xml:space="preserve">Ustanovenie sa dopĺňa z dôvodu právnej istoty týkajúcej sa určenia dňa, kedy má osoba zaplatiť výslednú DPH štátu. </w:t>
      </w:r>
    </w:p>
    <w:p w:rsidR="007D4BD6" w:rsidRPr="00E0007B" w:rsidP="007D4BD6">
      <w:pPr>
        <w:widowControl/>
        <w:bidi w:val="0"/>
        <w:jc w:val="both"/>
        <w:rPr>
          <w:rStyle w:val="PlaceholderText"/>
          <w:color w:val="000000"/>
        </w:rPr>
      </w:pPr>
      <w:r w:rsidRPr="00E0007B">
        <w:rPr>
          <w:rStyle w:val="PlaceholderText"/>
          <w:b/>
          <w:color w:val="000000"/>
        </w:rPr>
        <w:t>K bodu 42 (§ 85kb)</w:t>
      </w:r>
    </w:p>
    <w:p w:rsidR="007D4BD6" w:rsidRPr="00E0007B" w:rsidP="007D4BD6">
      <w:pPr>
        <w:widowControl/>
        <w:bidi w:val="0"/>
        <w:ind w:firstLine="709"/>
        <w:jc w:val="both"/>
        <w:rPr>
          <w:rStyle w:val="PlaceholderText"/>
          <w:color w:val="000000"/>
        </w:rPr>
      </w:pPr>
      <w:r w:rsidRPr="00E0007B">
        <w:rPr>
          <w:rStyle w:val="PlaceholderText"/>
          <w:color w:val="000000"/>
        </w:rPr>
        <w:t> </w:t>
      </w:r>
    </w:p>
    <w:p w:rsidR="007D4BD6" w:rsidRPr="00E0007B" w:rsidP="007D4BD6">
      <w:pPr>
        <w:widowControl/>
        <w:bidi w:val="0"/>
        <w:jc w:val="both"/>
        <w:rPr>
          <w:rStyle w:val="PlaceholderText"/>
          <w:color w:val="000000"/>
        </w:rPr>
      </w:pPr>
      <w:r w:rsidRPr="00E0007B">
        <w:rPr>
          <w:rStyle w:val="PlaceholderText"/>
          <w:color w:val="000000"/>
        </w:rPr>
        <w:t>V súvislosti s vypustením ustanovení týkajúcich sa povinnej a dobrovoľnej registrácie zdaniteľných osôb, ktoré spoločne podnikajú na základe zmluvy o združení alebo inej obdobnej zmluvy, sa ustanovuje, že žiadosti o registráciu pre daň jednotlivých zúčastnených osôb v združení, podané pred účinnosťou novely zákona o DPH, sa posudzujú akoby išlo o samostatné žiadosti o dobrovoľnú alebo povinnú registráciu (s ohľadom len na obrat žiadateľa) pre daň týchto jednotlivých zdaniteľných osôb. V súvislosti s existujúcimi registráciami osôb podnikajúcich spoločne na základe zmluvy o združení, prípadne inej obdobnej zmluvy, vysporiada poverená osoba za posledné zdaňovacie obdobie roka 2013 (december 2013, alebo IV. kvartál 2013) svoje daňové povinnosti v daňovom priznaní, ktoré podá do 25. januára 2014. Je potrebné pripomenúť, že za daň vzťahujúcu sa na spoločné podnikanie zodpovedajú účastníci združenia spoločne a nerozdielne. To napríklad znamená, že ak poverená osoba nezaplatí daň uvedenú v daňovom priznaní, daňový úrad ju môže vymáhať (aj exekučne) od hociktorého účastníka združenia. Poverená osoba podá aj dodatočné daňové priznanie, ak zistí, že údaje v riadnom daňovom priznaní za zdaňovacie obdobia do konca roka 2013 neboli vykázané správne. Opravy základu dane vzťahujúce sa k zdaňovacím obdobiam do konca roka 2013, kedy zdaniteľné osoby vykonávali spoločne činnosť, zahrnie do svojho daňového priznania poverená osoba.</w:t>
      </w:r>
    </w:p>
    <w:p w:rsidR="007D4BD6" w:rsidRPr="00E0007B" w:rsidP="007D4BD6">
      <w:pPr>
        <w:widowControl/>
        <w:bidi w:val="0"/>
        <w:jc w:val="both"/>
        <w:rPr>
          <w:rStyle w:val="PlaceholderText"/>
          <w:color w:val="000000"/>
        </w:rPr>
      </w:pPr>
      <w:r w:rsidRPr="00E0007B">
        <w:rPr>
          <w:rStyle w:val="PlaceholderText"/>
          <w:color w:val="000000"/>
        </w:rPr>
        <w:t>Rovnako súhrnný výkaz vrátane dodatočného súhrnného výkazu za príslušné obdobia do konca roka 2013 podáva poverená osoba.</w:t>
      </w:r>
    </w:p>
    <w:p w:rsidR="007D4BD6" w:rsidRPr="00E0007B" w:rsidP="007D4BD6">
      <w:pPr>
        <w:widowControl/>
        <w:bidi w:val="0"/>
        <w:jc w:val="both"/>
        <w:rPr>
          <w:rStyle w:val="PlaceholderText"/>
          <w:color w:val="000000"/>
        </w:rPr>
      </w:pPr>
      <w:r w:rsidRPr="00E0007B">
        <w:rPr>
          <w:rStyle w:val="PlaceholderText"/>
          <w:color w:val="000000"/>
        </w:rPr>
        <w:t> </w:t>
      </w:r>
    </w:p>
    <w:p w:rsidR="007D4BD6" w:rsidRPr="00E0007B" w:rsidP="007D4BD6">
      <w:pPr>
        <w:widowControl/>
        <w:bidi w:val="0"/>
        <w:jc w:val="both"/>
        <w:rPr>
          <w:rStyle w:val="PlaceholderText"/>
          <w:color w:val="000000"/>
        </w:rPr>
      </w:pPr>
      <w:r w:rsidRPr="00E0007B">
        <w:rPr>
          <w:rStyle w:val="PlaceholderText"/>
          <w:b/>
          <w:color w:val="000000"/>
        </w:rPr>
        <w:t>K bodu 43 (§ 85l)</w:t>
      </w:r>
    </w:p>
    <w:p w:rsidR="007D4BD6" w:rsidRPr="00E0007B" w:rsidP="007D4BD6">
      <w:pPr>
        <w:widowControl/>
        <w:bidi w:val="0"/>
        <w:jc w:val="both"/>
        <w:rPr>
          <w:rStyle w:val="PlaceholderText"/>
          <w:color w:val="000000"/>
        </w:rPr>
      </w:pPr>
      <w:r w:rsidRPr="00E0007B">
        <w:rPr>
          <w:rStyle w:val="PlaceholderText"/>
          <w:b/>
          <w:color w:val="000000"/>
        </w:rPr>
        <w:t> </w:t>
      </w:r>
    </w:p>
    <w:p w:rsidR="007D4BD6" w:rsidRPr="00E0007B" w:rsidP="007D4BD6">
      <w:pPr>
        <w:widowControl/>
        <w:bidi w:val="0"/>
        <w:jc w:val="both"/>
        <w:rPr>
          <w:rStyle w:val="PlaceholderText"/>
          <w:color w:val="000000"/>
        </w:rPr>
      </w:pPr>
      <w:r w:rsidRPr="00E0007B">
        <w:rPr>
          <w:rStyle w:val="PlaceholderText"/>
          <w:color w:val="000000"/>
        </w:rPr>
        <w:t>Prechodné ustanovenie sa upravuje z dôvodu odkladu účinnosti opatrenia týkajúceho sa samozdanenia dovozu tovaru z tretích štátov platiteľom dane z 1. januára 2014 na 1. január 201</w:t>
      </w:r>
      <w:r>
        <w:rPr>
          <w:rStyle w:val="PlaceholderText"/>
          <w:color w:val="000000"/>
        </w:rPr>
        <w:t>7</w:t>
      </w:r>
      <w:r w:rsidRPr="00E0007B">
        <w:rPr>
          <w:rStyle w:val="PlaceholderText"/>
          <w:color w:val="000000"/>
        </w:rPr>
        <w:t xml:space="preserve">. </w:t>
      </w:r>
    </w:p>
    <w:p w:rsidR="007D4BD6" w:rsidRPr="00E0007B" w:rsidP="007D4BD6">
      <w:pPr>
        <w:widowControl/>
        <w:bidi w:val="0"/>
        <w:jc w:val="both"/>
        <w:rPr>
          <w:rStyle w:val="PlaceholderText"/>
          <w:color w:val="000000"/>
        </w:rPr>
      </w:pPr>
      <w:r w:rsidRPr="00E0007B">
        <w:rPr>
          <w:rStyle w:val="PlaceholderText"/>
          <w:b/>
          <w:color w:val="000000"/>
        </w:rPr>
        <w:t> </w:t>
      </w:r>
    </w:p>
    <w:p w:rsidR="007D4BD6" w:rsidRPr="00E0007B" w:rsidP="007D4BD6">
      <w:pPr>
        <w:widowControl/>
        <w:bidi w:val="0"/>
        <w:jc w:val="both"/>
        <w:rPr>
          <w:rStyle w:val="PlaceholderText"/>
          <w:color w:val="000000"/>
        </w:rPr>
      </w:pPr>
      <w:r w:rsidRPr="00E0007B">
        <w:rPr>
          <w:rStyle w:val="PlaceholderText"/>
          <w:b/>
          <w:color w:val="000000"/>
        </w:rPr>
        <w:t>K článku II</w:t>
      </w:r>
    </w:p>
    <w:p w:rsidR="007D4BD6" w:rsidRPr="00E0007B" w:rsidP="007D4BD6">
      <w:pPr>
        <w:widowControl/>
        <w:bidi w:val="0"/>
        <w:jc w:val="both"/>
        <w:rPr>
          <w:rStyle w:val="PlaceholderText"/>
          <w:color w:val="000000"/>
        </w:rPr>
      </w:pPr>
      <w:r w:rsidRPr="00E0007B">
        <w:rPr>
          <w:rStyle w:val="PlaceholderText"/>
          <w:color w:val="000000"/>
        </w:rPr>
        <w:t> </w:t>
      </w:r>
    </w:p>
    <w:p w:rsidR="007D4BD6" w:rsidRPr="00E0007B" w:rsidP="007D4BD6">
      <w:pPr>
        <w:widowControl/>
        <w:bidi w:val="0"/>
        <w:jc w:val="both"/>
        <w:rPr>
          <w:rStyle w:val="PlaceholderText"/>
          <w:color w:val="000000"/>
        </w:rPr>
      </w:pPr>
      <w:r w:rsidRPr="00E0007B">
        <w:rPr>
          <w:rStyle w:val="PlaceholderText"/>
          <w:color w:val="000000"/>
        </w:rPr>
        <w:t xml:space="preserve">Z dôvodu konsolidácie verejných financií </w:t>
      </w:r>
      <w:r>
        <w:rPr>
          <w:rStyle w:val="PlaceholderText"/>
          <w:color w:val="000000"/>
        </w:rPr>
        <w:t xml:space="preserve">a značne napätej situácie v príjmovej sčasti štátneho rozpočtu SR </w:t>
      </w:r>
      <w:r w:rsidRPr="00E0007B">
        <w:rPr>
          <w:rStyle w:val="PlaceholderText"/>
          <w:color w:val="000000"/>
        </w:rPr>
        <w:t>sa odkladá účinnosť opatrenia týkajúceho sa samozdanenia dovozu tovaru z tretích štátov platiteľom dane z 1. januára 2014 na 1. január 201</w:t>
      </w:r>
      <w:r>
        <w:rPr>
          <w:rStyle w:val="PlaceholderText"/>
          <w:color w:val="000000"/>
        </w:rPr>
        <w:t>7</w:t>
      </w:r>
      <w:r w:rsidRPr="00E0007B">
        <w:rPr>
          <w:rStyle w:val="PlaceholderText"/>
          <w:color w:val="000000"/>
        </w:rPr>
        <w:t>. Dôvodom odkladu zavedenia tohto opatrenia je aj príprava nového daňového systému a nového deklaračného systému pre dovoz tovaru s plánovaným uvedením do prevádzky od 1. júla 2015. Súčasný informačný systém finančnej správy neumožňuje spoľahlivo identifikovať splnenie zákonných podmienok na uplatňovanie samozdanenia dovozu tovaru platiteľom dane.</w:t>
      </w:r>
    </w:p>
    <w:p w:rsidR="007D4BD6" w:rsidRPr="00E0007B" w:rsidP="007D4BD6">
      <w:pPr>
        <w:widowControl/>
        <w:bidi w:val="0"/>
        <w:jc w:val="both"/>
        <w:rPr>
          <w:rStyle w:val="PlaceholderText"/>
          <w:color w:val="000000"/>
        </w:rPr>
      </w:pPr>
      <w:r w:rsidRPr="00E0007B">
        <w:rPr>
          <w:rStyle w:val="PlaceholderText"/>
          <w:color w:val="000000"/>
        </w:rPr>
        <w:t> </w:t>
      </w:r>
    </w:p>
    <w:p w:rsidR="007D4BD6" w:rsidRPr="00E0007B" w:rsidP="007D4BD6">
      <w:pPr>
        <w:keepNext/>
        <w:widowControl/>
        <w:bidi w:val="0"/>
        <w:jc w:val="both"/>
        <w:rPr>
          <w:rStyle w:val="PlaceholderText"/>
          <w:color w:val="000000"/>
        </w:rPr>
      </w:pPr>
      <w:r w:rsidRPr="00E0007B">
        <w:rPr>
          <w:rStyle w:val="PlaceholderText"/>
          <w:b/>
          <w:color w:val="000000"/>
        </w:rPr>
        <w:t>K článku III</w:t>
      </w:r>
    </w:p>
    <w:p w:rsidR="007D4BD6" w:rsidRPr="00E0007B" w:rsidP="007D4BD6">
      <w:pPr>
        <w:widowControl/>
        <w:bidi w:val="0"/>
        <w:jc w:val="both"/>
        <w:rPr>
          <w:rStyle w:val="PlaceholderText"/>
          <w:color w:val="000000"/>
        </w:rPr>
      </w:pPr>
      <w:r w:rsidRPr="00E0007B">
        <w:rPr>
          <w:rStyle w:val="PlaceholderText"/>
          <w:color w:val="000000"/>
        </w:rPr>
        <w:t> </w:t>
      </w:r>
    </w:p>
    <w:p w:rsidR="007D4BD6" w:rsidP="007D4BD6">
      <w:pPr>
        <w:widowControl/>
        <w:bidi w:val="0"/>
        <w:jc w:val="both"/>
        <w:rPr>
          <w:rStyle w:val="PlaceholderText"/>
          <w:color w:val="000000"/>
        </w:rPr>
      </w:pPr>
      <w:r w:rsidRPr="00E0007B">
        <w:rPr>
          <w:rStyle w:val="PlaceholderText"/>
          <w:color w:val="000000"/>
        </w:rPr>
        <w:t>Účinnosť zákona sa navrhuje od 1. januára 2014 okrem čl. II, pri ktorom sa z technických dôvodov navrhuje účinnosť od 31. decembra 2013.</w:t>
      </w:r>
    </w:p>
    <w:p w:rsidR="00DD4C14" w:rsidP="007D4BD6">
      <w:pPr>
        <w:bidi w:val="0"/>
        <w:ind w:firstLine="709"/>
        <w:jc w:val="both"/>
        <w:rPr>
          <w:rFonts w:ascii="Times New Roman" w:hAnsi="Times New Roman"/>
        </w:rPr>
      </w:pPr>
    </w:p>
    <w:p w:rsidR="007D4BD6" w:rsidP="007D4BD6">
      <w:pPr>
        <w:bidi w:val="0"/>
        <w:ind w:firstLine="709"/>
        <w:jc w:val="both"/>
        <w:rPr>
          <w:rFonts w:ascii="Times New Roman" w:hAnsi="Times New Roman"/>
        </w:rPr>
      </w:pPr>
      <w:r>
        <w:rPr>
          <w:rFonts w:ascii="Times New Roman" w:hAnsi="Times New Roman"/>
        </w:rPr>
        <w:t>Schválené na 67. rokovaní vlády Slovenskej republiky dňa 10. júla 2013.</w:t>
      </w:r>
    </w:p>
    <w:p w:rsidR="007D4BD6" w:rsidP="007D4BD6">
      <w:pPr>
        <w:bidi w:val="0"/>
        <w:jc w:val="both"/>
        <w:rPr>
          <w:rFonts w:ascii="Times New Roman" w:hAnsi="Times New Roman"/>
        </w:rPr>
      </w:pPr>
    </w:p>
    <w:p w:rsidR="007D4BD6" w:rsidP="007D4BD6">
      <w:pPr>
        <w:bidi w:val="0"/>
        <w:jc w:val="both"/>
        <w:rPr>
          <w:rFonts w:ascii="Times New Roman" w:hAnsi="Times New Roman"/>
        </w:rPr>
      </w:pPr>
    </w:p>
    <w:p w:rsidR="007D4BD6" w:rsidP="007D4BD6">
      <w:pPr>
        <w:bidi w:val="0"/>
        <w:jc w:val="both"/>
        <w:rPr>
          <w:rFonts w:ascii="Times New Roman" w:hAnsi="Times New Roman"/>
        </w:rPr>
      </w:pPr>
    </w:p>
    <w:p w:rsidR="007D4BD6" w:rsidP="007D4BD6">
      <w:pPr>
        <w:bidi w:val="0"/>
        <w:jc w:val="center"/>
        <w:rPr>
          <w:rFonts w:ascii="Times New Roman" w:hAnsi="Times New Roman"/>
        </w:rPr>
      </w:pPr>
    </w:p>
    <w:p w:rsidR="007D4BD6" w:rsidP="007D4BD6">
      <w:pPr>
        <w:bidi w:val="0"/>
        <w:jc w:val="center"/>
        <w:rPr>
          <w:rFonts w:ascii="Times New Roman" w:hAnsi="Times New Roman"/>
        </w:rPr>
      </w:pPr>
    </w:p>
    <w:p w:rsidR="007D4BD6" w:rsidP="007D4BD6">
      <w:pPr>
        <w:bidi w:val="0"/>
        <w:jc w:val="center"/>
        <w:rPr>
          <w:rFonts w:ascii="Times New Roman" w:hAnsi="Times New Roman"/>
        </w:rPr>
      </w:pPr>
    </w:p>
    <w:p w:rsidR="007D4BD6" w:rsidRPr="00B15A80" w:rsidP="007D4BD6">
      <w:pPr>
        <w:bidi w:val="0"/>
        <w:jc w:val="center"/>
        <w:rPr>
          <w:rFonts w:ascii="Times New Roman" w:hAnsi="Times New Roman"/>
          <w:b/>
        </w:rPr>
      </w:pPr>
      <w:r w:rsidRPr="00B15A80">
        <w:rPr>
          <w:rFonts w:ascii="Times New Roman" w:hAnsi="Times New Roman"/>
          <w:b/>
        </w:rPr>
        <w:t>Robert Fico</w:t>
      </w:r>
      <w:r>
        <w:rPr>
          <w:rFonts w:ascii="Times New Roman" w:hAnsi="Times New Roman"/>
          <w:b/>
        </w:rPr>
        <w:t xml:space="preserve"> v. r.</w:t>
      </w:r>
    </w:p>
    <w:p w:rsidR="007D4BD6" w:rsidP="007D4BD6">
      <w:pPr>
        <w:bidi w:val="0"/>
        <w:jc w:val="center"/>
        <w:rPr>
          <w:rFonts w:ascii="Times New Roman" w:hAnsi="Times New Roman"/>
        </w:rPr>
      </w:pPr>
    </w:p>
    <w:p w:rsidR="007D4BD6" w:rsidP="007D4BD6">
      <w:pPr>
        <w:bidi w:val="0"/>
        <w:jc w:val="center"/>
        <w:rPr>
          <w:rFonts w:ascii="Times New Roman" w:hAnsi="Times New Roman"/>
        </w:rPr>
      </w:pPr>
      <w:r>
        <w:rPr>
          <w:rFonts w:ascii="Times New Roman" w:hAnsi="Times New Roman"/>
        </w:rPr>
        <w:t>predseda vlády Slovenskej republiky</w:t>
      </w:r>
    </w:p>
    <w:p w:rsidR="007D4BD6" w:rsidP="007D4BD6">
      <w:pPr>
        <w:bidi w:val="0"/>
        <w:jc w:val="center"/>
        <w:rPr>
          <w:rFonts w:ascii="Times New Roman" w:hAnsi="Times New Roman"/>
        </w:rPr>
      </w:pPr>
    </w:p>
    <w:p w:rsidR="007D4BD6" w:rsidP="007D4BD6">
      <w:pPr>
        <w:bidi w:val="0"/>
        <w:jc w:val="center"/>
        <w:rPr>
          <w:rFonts w:ascii="Times New Roman" w:hAnsi="Times New Roman"/>
        </w:rPr>
      </w:pPr>
    </w:p>
    <w:p w:rsidR="007D4BD6" w:rsidP="007D4BD6">
      <w:pPr>
        <w:bidi w:val="0"/>
        <w:jc w:val="center"/>
        <w:rPr>
          <w:rFonts w:ascii="Times New Roman" w:hAnsi="Times New Roman"/>
        </w:rPr>
      </w:pPr>
    </w:p>
    <w:p w:rsidR="007D4BD6" w:rsidP="007D4BD6">
      <w:pPr>
        <w:bidi w:val="0"/>
        <w:jc w:val="center"/>
        <w:rPr>
          <w:rFonts w:ascii="Times New Roman" w:hAnsi="Times New Roman"/>
        </w:rPr>
      </w:pPr>
    </w:p>
    <w:p w:rsidR="007D4BD6" w:rsidP="007D4BD6">
      <w:pPr>
        <w:bidi w:val="0"/>
        <w:jc w:val="center"/>
        <w:rPr>
          <w:rFonts w:ascii="Times New Roman" w:hAnsi="Times New Roman"/>
        </w:rPr>
      </w:pPr>
    </w:p>
    <w:p w:rsidR="007D4BD6" w:rsidRPr="00B15A80" w:rsidP="007D4BD6">
      <w:pPr>
        <w:bidi w:val="0"/>
        <w:jc w:val="center"/>
        <w:rPr>
          <w:rFonts w:ascii="Times New Roman" w:hAnsi="Times New Roman"/>
          <w:b/>
        </w:rPr>
      </w:pPr>
      <w:r w:rsidRPr="00B15A80">
        <w:rPr>
          <w:rFonts w:ascii="Times New Roman" w:hAnsi="Times New Roman"/>
          <w:b/>
        </w:rPr>
        <w:t>Peter Kažimír</w:t>
      </w:r>
      <w:r>
        <w:rPr>
          <w:rFonts w:ascii="Times New Roman" w:hAnsi="Times New Roman"/>
          <w:b/>
        </w:rPr>
        <w:t xml:space="preserve"> v. r.</w:t>
      </w:r>
    </w:p>
    <w:p w:rsidR="007D4BD6" w:rsidP="007D4BD6">
      <w:pPr>
        <w:bidi w:val="0"/>
        <w:jc w:val="center"/>
        <w:rPr>
          <w:rFonts w:ascii="Times New Roman" w:hAnsi="Times New Roman"/>
        </w:rPr>
      </w:pPr>
    </w:p>
    <w:p w:rsidR="007D4BD6" w:rsidP="007D4BD6">
      <w:pPr>
        <w:bidi w:val="0"/>
        <w:jc w:val="center"/>
        <w:rPr>
          <w:rFonts w:ascii="Times New Roman" w:hAnsi="Times New Roman"/>
        </w:rPr>
      </w:pPr>
      <w:r>
        <w:rPr>
          <w:rFonts w:ascii="Times New Roman" w:hAnsi="Times New Roman"/>
        </w:rPr>
        <w:t xml:space="preserve">podpredseda vlády a minister financií </w:t>
      </w:r>
    </w:p>
    <w:p w:rsidR="007D4BD6" w:rsidP="007D4BD6">
      <w:pPr>
        <w:bidi w:val="0"/>
        <w:jc w:val="center"/>
        <w:rPr>
          <w:rFonts w:ascii="Times New Roman" w:hAnsi="Times New Roman"/>
        </w:rPr>
      </w:pPr>
      <w:r>
        <w:rPr>
          <w:rFonts w:ascii="Times New Roman" w:hAnsi="Times New Roman"/>
        </w:rPr>
        <w:t>Slovenskej republiky</w:t>
      </w:r>
    </w:p>
    <w:p w:rsidR="007D4BD6" w:rsidRPr="00E0007B" w:rsidP="007D4BD6">
      <w:pPr>
        <w:widowControl/>
        <w:bidi w:val="0"/>
        <w:jc w:val="both"/>
        <w:rPr>
          <w:rStyle w:val="PlaceholderText"/>
          <w:color w:val="000000"/>
        </w:rPr>
      </w:pPr>
    </w:p>
    <w:p w:rsidR="007D4BD6" w:rsidRPr="00E0007B" w:rsidP="007D4BD6">
      <w:pPr>
        <w:widowControl/>
        <w:bidi w:val="0"/>
        <w:jc w:val="both"/>
        <w:rPr>
          <w:rStyle w:val="PlaceholderText"/>
          <w:color w:val="000000"/>
        </w:rPr>
      </w:pPr>
      <w:r w:rsidRPr="00E0007B">
        <w:rPr>
          <w:rStyle w:val="PlaceholderText"/>
          <w:color w:val="000000"/>
        </w:rPr>
        <w:t> </w:t>
      </w:r>
    </w:p>
    <w:p w:rsidR="007D4BD6" w:rsidRPr="00E0007B" w:rsidP="007D4BD6">
      <w:pPr>
        <w:widowControl/>
        <w:bidi w:val="0"/>
        <w:rPr>
          <w:rStyle w:val="PlaceholderText"/>
          <w:color w:val="000000"/>
        </w:rPr>
      </w:pPr>
      <w:r w:rsidRPr="00E0007B">
        <w:rPr>
          <w:rStyle w:val="PlaceholderText"/>
          <w:color w:val="000000"/>
        </w:rPr>
        <w:t> </w:t>
      </w:r>
    </w:p>
    <w:p w:rsidR="007D4BD6" w:rsidRPr="00E0007B" w:rsidP="007D4BD6">
      <w:pPr>
        <w:widowControl/>
        <w:bidi w:val="0"/>
        <w:spacing w:after="280" w:afterAutospacing="1"/>
        <w:rPr>
          <w:rStyle w:val="PlaceholderText"/>
          <w:color w:val="000000"/>
        </w:rPr>
      </w:pPr>
      <w:r w:rsidRPr="00E0007B">
        <w:rPr>
          <w:rStyle w:val="PlaceholderText"/>
          <w:color w:val="000000"/>
        </w:rPr>
        <w:t> </w:t>
      </w:r>
    </w:p>
    <w:p w:rsidR="007D4BD6" w:rsidRPr="00E0007B" w:rsidP="007D4BD6">
      <w:pPr>
        <w:widowControl/>
        <w:bidi w:val="0"/>
        <w:spacing w:after="280" w:afterAutospacing="1"/>
        <w:rPr>
          <w:rStyle w:val="PlaceholderText"/>
          <w:color w:val="000000"/>
        </w:rPr>
      </w:pPr>
      <w:r w:rsidRPr="00E0007B">
        <w:rPr>
          <w:rStyle w:val="PlaceholderText"/>
          <w:color w:val="000000"/>
        </w:rPr>
        <w:t> </w:t>
      </w:r>
    </w:p>
    <w:p w:rsidR="007D4BD6" w:rsidP="006757B6">
      <w:pPr>
        <w:bidi w:val="0"/>
        <w:rPr>
          <w:rFonts w:ascii="Times New Roman" w:hAnsi="Times New Roman"/>
        </w:rPr>
      </w:pPr>
    </w:p>
    <w:sectPr>
      <w:pgSz w:w="12240" w:h="15840"/>
      <w:pgMar w:top="1440" w:right="1440" w:bottom="1440" w:left="1440"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Narrow"/>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Arial Narrow">
    <w:altName w:val="Arial Narrow"/>
    <w:panose1 w:val="00000000000000000000"/>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BC4" w:rsidP="00334BC4">
    <w:pPr>
      <w:pStyle w:val="Footer"/>
      <w:framePr w:wrap="around" w:vAnchor="text" w:hAnchor="margin" w:xAlign="center"/>
      <w:bidi w:val="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34BC4">
    <w:pPr>
      <w:pStyle w:val="Footer"/>
      <w:bidi w:v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BC4" w:rsidP="00334BC4">
    <w:pPr>
      <w:pStyle w:val="Footer"/>
      <w:framePr w:wrap="around" w:vAnchor="text" w:hAnchor="margin" w:xAlign="center"/>
      <w:bidi w:val="0"/>
      <w:rPr>
        <w:rStyle w:val="PageNumber"/>
      </w:rPr>
    </w:pPr>
    <w:r>
      <w:rPr>
        <w:rStyle w:val="PageNumber"/>
      </w:rPr>
      <w:fldChar w:fldCharType="begin"/>
    </w:r>
    <w:r>
      <w:rPr>
        <w:rStyle w:val="PageNumber"/>
      </w:rPr>
      <w:instrText xml:space="preserve">PAGE  </w:instrText>
    </w:r>
    <w:r>
      <w:rPr>
        <w:rStyle w:val="PageNumber"/>
      </w:rPr>
      <w:fldChar w:fldCharType="separate"/>
    </w:r>
    <w:r w:rsidR="000F02E5">
      <w:rPr>
        <w:rStyle w:val="PageNumber"/>
        <w:noProof/>
      </w:rPr>
      <w:t>25</w:t>
    </w:r>
    <w:r>
      <w:rPr>
        <w:rStyle w:val="PageNumber"/>
      </w:rPr>
      <w:fldChar w:fldCharType="end"/>
    </w:r>
  </w:p>
  <w:p w:rsidR="00334BC4">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3146C"/>
    <w:multiLevelType w:val="hybridMultilevel"/>
    <w:tmpl w:val="44528930"/>
    <w:lvl w:ilvl="0">
      <w:start w:val="1"/>
      <w:numFmt w:val="lowerLetter"/>
      <w:lvlText w:val="%1)"/>
      <w:lvlJc w:val="left"/>
      <w:pPr>
        <w:tabs>
          <w:tab w:val="num" w:pos="785"/>
        </w:tabs>
        <w:ind w:left="785" w:hanging="360"/>
      </w:pPr>
      <w:rPr>
        <w:rFonts w:cs="Times New Roman" w:hint="default"/>
        <w:rtl w:val="0"/>
        <w:cs w:val="0"/>
      </w:rPr>
    </w:lvl>
    <w:lvl w:ilvl="1">
      <w:start w:val="1"/>
      <w:numFmt w:val="lowerLetter"/>
      <w:lvlText w:val="%2."/>
      <w:lvlJc w:val="left"/>
      <w:pPr>
        <w:tabs>
          <w:tab w:val="num" w:pos="1505"/>
        </w:tabs>
        <w:ind w:left="1505" w:hanging="360"/>
      </w:pPr>
      <w:rPr>
        <w:rFonts w:cs="Times New Roman"/>
        <w:rtl w:val="0"/>
        <w:cs w:val="0"/>
      </w:rPr>
    </w:lvl>
    <w:lvl w:ilvl="2">
      <w:start w:val="1"/>
      <w:numFmt w:val="lowerRoman"/>
      <w:lvlText w:val="%3."/>
      <w:lvlJc w:val="right"/>
      <w:pPr>
        <w:tabs>
          <w:tab w:val="num" w:pos="2225"/>
        </w:tabs>
        <w:ind w:left="2225" w:hanging="180"/>
      </w:pPr>
      <w:rPr>
        <w:rFonts w:cs="Times New Roman"/>
        <w:rtl w:val="0"/>
        <w:cs w:val="0"/>
      </w:rPr>
    </w:lvl>
    <w:lvl w:ilvl="3">
      <w:start w:val="1"/>
      <w:numFmt w:val="decimal"/>
      <w:lvlText w:val="%4."/>
      <w:lvlJc w:val="left"/>
      <w:pPr>
        <w:tabs>
          <w:tab w:val="num" w:pos="2945"/>
        </w:tabs>
        <w:ind w:left="2945" w:hanging="360"/>
      </w:pPr>
      <w:rPr>
        <w:rFonts w:cs="Times New Roman"/>
        <w:rtl w:val="0"/>
        <w:cs w:val="0"/>
      </w:rPr>
    </w:lvl>
    <w:lvl w:ilvl="4">
      <w:start w:val="1"/>
      <w:numFmt w:val="lowerLetter"/>
      <w:lvlText w:val="%5."/>
      <w:lvlJc w:val="left"/>
      <w:pPr>
        <w:tabs>
          <w:tab w:val="num" w:pos="3665"/>
        </w:tabs>
        <w:ind w:left="3665" w:hanging="360"/>
      </w:pPr>
      <w:rPr>
        <w:rFonts w:cs="Times New Roman"/>
        <w:rtl w:val="0"/>
        <w:cs w:val="0"/>
      </w:rPr>
    </w:lvl>
    <w:lvl w:ilvl="5">
      <w:start w:val="1"/>
      <w:numFmt w:val="lowerRoman"/>
      <w:lvlText w:val="%6."/>
      <w:lvlJc w:val="right"/>
      <w:pPr>
        <w:tabs>
          <w:tab w:val="num" w:pos="4385"/>
        </w:tabs>
        <w:ind w:left="4385" w:hanging="180"/>
      </w:pPr>
      <w:rPr>
        <w:rFonts w:cs="Times New Roman"/>
        <w:rtl w:val="0"/>
        <w:cs w:val="0"/>
      </w:rPr>
    </w:lvl>
    <w:lvl w:ilvl="6">
      <w:start w:val="1"/>
      <w:numFmt w:val="decimal"/>
      <w:lvlText w:val="%7."/>
      <w:lvlJc w:val="left"/>
      <w:pPr>
        <w:tabs>
          <w:tab w:val="num" w:pos="5105"/>
        </w:tabs>
        <w:ind w:left="5105" w:hanging="360"/>
      </w:pPr>
      <w:rPr>
        <w:rFonts w:cs="Times New Roman"/>
        <w:rtl w:val="0"/>
        <w:cs w:val="0"/>
      </w:rPr>
    </w:lvl>
    <w:lvl w:ilvl="7">
      <w:start w:val="1"/>
      <w:numFmt w:val="lowerLetter"/>
      <w:lvlText w:val="%8."/>
      <w:lvlJc w:val="left"/>
      <w:pPr>
        <w:tabs>
          <w:tab w:val="num" w:pos="5825"/>
        </w:tabs>
        <w:ind w:left="5825" w:hanging="360"/>
      </w:pPr>
      <w:rPr>
        <w:rFonts w:cs="Times New Roman"/>
        <w:rtl w:val="0"/>
        <w:cs w:val="0"/>
      </w:rPr>
    </w:lvl>
    <w:lvl w:ilvl="8">
      <w:start w:val="1"/>
      <w:numFmt w:val="lowerRoman"/>
      <w:lvlText w:val="%9."/>
      <w:lvlJc w:val="right"/>
      <w:pPr>
        <w:tabs>
          <w:tab w:val="num" w:pos="6545"/>
        </w:tabs>
        <w:ind w:left="6545" w:hanging="180"/>
      </w:pPr>
      <w:rPr>
        <w:rFonts w:cs="Times New Roman"/>
        <w:rtl w:val="0"/>
        <w:cs w:val="0"/>
      </w:rPr>
    </w:lvl>
  </w:abstractNum>
  <w:abstractNum w:abstractNumId="1">
    <w:nsid w:val="05A66FD1"/>
    <w:multiLevelType w:val="hybridMultilevel"/>
    <w:tmpl w:val="9CAC1160"/>
    <w:lvl w:ilvl="0">
      <w:start w:val="6"/>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749197D"/>
    <w:multiLevelType w:val="multilevel"/>
    <w:tmpl w:val="10FA859E"/>
    <w:lvl w:ilvl="0">
      <w:start w:val="6"/>
      <w:numFmt w:val="bullet"/>
      <w:lvlText w:val="-"/>
      <w:lvlJc w:val="left"/>
      <w:pPr>
        <w:ind w:left="851" w:hanging="425"/>
      </w:pPr>
      <w:rPr>
        <w:rFonts w:ascii="Times New Roman" w:eastAsia="Times New Roman" w:hAnsi="Times New Roman" w:hint="default"/>
        <w:b/>
      </w:rPr>
    </w:lvl>
    <w:lvl w:ilvl="1">
      <w:start w:val="1"/>
      <w:numFmt w:val="lowerLetter"/>
      <w:lvlText w:val="%2)"/>
      <w:legacy w:legacy="1" w:legacySpace="0" w:legacyIndent="425"/>
      <w:lvlJc w:val="left"/>
      <w:pPr>
        <w:ind w:left="1276" w:hanging="425"/>
      </w:pPr>
      <w:rPr>
        <w:rFonts w:cs="Times New Roman"/>
        <w:rtl w:val="0"/>
        <w:cs w:val="0"/>
      </w:rPr>
    </w:lvl>
    <w:lvl w:ilvl="2">
      <w:start w:val="1"/>
      <w:numFmt w:val="decimal"/>
      <w:lvlText w:val="%3.)"/>
      <w:legacy w:legacy="1" w:legacySpace="0" w:legacyIndent="425"/>
      <w:lvlJc w:val="left"/>
      <w:pPr>
        <w:ind w:left="1701" w:hanging="425"/>
      </w:pPr>
      <w:rPr>
        <w:rFonts w:cs="Times New Roman"/>
        <w:rtl w:val="0"/>
        <w:cs w:val="0"/>
      </w:rPr>
    </w:lvl>
    <w:lvl w:ilvl="3">
      <w:start w:val="1"/>
      <w:numFmt w:val="lowerLetter"/>
      <w:lvlText w:val="%4)"/>
      <w:legacy w:legacy="1" w:legacySpace="0" w:legacyIndent="708"/>
      <w:lvlJc w:val="left"/>
      <w:pPr>
        <w:ind w:left="2409" w:hanging="708"/>
      </w:pPr>
      <w:rPr>
        <w:rFonts w:cs="Times New Roman"/>
        <w:rtl w:val="0"/>
        <w:cs w:val="0"/>
      </w:rPr>
    </w:lvl>
    <w:lvl w:ilvl="4">
      <w:start w:val="1"/>
      <w:numFmt w:val="decimal"/>
      <w:lvlText w:val="(%5)"/>
      <w:legacy w:legacy="1" w:legacySpace="0" w:legacyIndent="708"/>
      <w:lvlJc w:val="left"/>
      <w:pPr>
        <w:ind w:left="3117" w:hanging="708"/>
      </w:pPr>
      <w:rPr>
        <w:rFonts w:cs="Times New Roman"/>
        <w:rtl w:val="0"/>
        <w:cs w:val="0"/>
      </w:rPr>
    </w:lvl>
    <w:lvl w:ilvl="5">
      <w:start w:val="1"/>
      <w:numFmt w:val="lowerLetter"/>
      <w:lvlText w:val="(%6)"/>
      <w:legacy w:legacy="1" w:legacySpace="0" w:legacyIndent="708"/>
      <w:lvlJc w:val="left"/>
      <w:pPr>
        <w:ind w:left="3825" w:hanging="708"/>
      </w:pPr>
      <w:rPr>
        <w:rFonts w:cs="Times New Roman"/>
        <w:rtl w:val="0"/>
        <w:cs w:val="0"/>
      </w:rPr>
    </w:lvl>
    <w:lvl w:ilvl="6">
      <w:start w:val="1"/>
      <w:numFmt w:val="lowerRoman"/>
      <w:lvlText w:val="(%7)"/>
      <w:legacy w:legacy="1" w:legacySpace="0" w:legacyIndent="708"/>
      <w:lvlJc w:val="left"/>
      <w:pPr>
        <w:ind w:left="4533" w:hanging="708"/>
      </w:pPr>
      <w:rPr>
        <w:rFonts w:cs="Times New Roman"/>
        <w:rtl w:val="0"/>
        <w:cs w:val="0"/>
      </w:rPr>
    </w:lvl>
    <w:lvl w:ilvl="7">
      <w:start w:val="1"/>
      <w:numFmt w:val="lowerLetter"/>
      <w:lvlText w:val="(%8)"/>
      <w:legacy w:legacy="1" w:legacySpace="0" w:legacyIndent="708"/>
      <w:lvlJc w:val="left"/>
      <w:pPr>
        <w:ind w:left="5241" w:hanging="708"/>
      </w:pPr>
      <w:rPr>
        <w:rFonts w:cs="Times New Roman"/>
        <w:rtl w:val="0"/>
        <w:cs w:val="0"/>
      </w:rPr>
    </w:lvl>
    <w:lvl w:ilvl="8">
      <w:start w:val="1"/>
      <w:numFmt w:val="lowerRoman"/>
      <w:lvlText w:val="(%9)"/>
      <w:legacy w:legacy="1" w:legacySpace="0" w:legacyIndent="708"/>
      <w:lvlJc w:val="left"/>
      <w:pPr>
        <w:ind w:left="5949" w:hanging="708"/>
      </w:pPr>
      <w:rPr>
        <w:rFonts w:cs="Times New Roman"/>
        <w:rtl w:val="0"/>
        <w:cs w:val="0"/>
      </w:rPr>
    </w:lvl>
  </w:abstractNum>
  <w:abstractNum w:abstractNumId="3">
    <w:nsid w:val="18010AB4"/>
    <w:multiLevelType w:val="hybridMultilevel"/>
    <w:tmpl w:val="8A7672E0"/>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D3F2D1F"/>
    <w:multiLevelType w:val="hybridMultilevel"/>
    <w:tmpl w:val="70BEC1A0"/>
    <w:lvl w:ilvl="0">
      <w:start w:val="6"/>
      <w:numFmt w:val="bullet"/>
      <w:lvlText w:val="-"/>
      <w:lvlJc w:val="left"/>
      <w:pPr>
        <w:tabs>
          <w:tab w:val="num" w:pos="900"/>
        </w:tabs>
        <w:ind w:left="90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8D82185"/>
    <w:multiLevelType w:val="hybridMultilevel"/>
    <w:tmpl w:val="68A4C2D2"/>
    <w:lvl w:ilvl="0">
      <w:start w:val="6"/>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40BB08A6"/>
    <w:multiLevelType w:val="hybridMultilevel"/>
    <w:tmpl w:val="1FB241BC"/>
    <w:lvl w:ilvl="0">
      <w:start w:val="6"/>
      <w:numFmt w:val="bullet"/>
      <w:lvlText w:val="-"/>
      <w:lvlJc w:val="left"/>
      <w:pPr>
        <w:tabs>
          <w:tab w:val="num" w:pos="900"/>
        </w:tabs>
        <w:ind w:left="90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7">
    <w:nsid w:val="58E34E1E"/>
    <w:multiLevelType w:val="hybridMultilevel"/>
    <w:tmpl w:val="0FE07606"/>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5C9B77D4"/>
    <w:multiLevelType w:val="multilevel"/>
    <w:tmpl w:val="31CA9A1E"/>
    <w:lvl w:ilvl="0">
      <w:start w:val="1"/>
      <w:numFmt w:val="decimal"/>
      <w:lvlText w:val="%1."/>
      <w:legacy w:legacy="1" w:legacySpace="0" w:legacyIndent="425"/>
      <w:lvlJc w:val="left"/>
      <w:pPr>
        <w:ind w:left="425" w:hanging="425"/>
      </w:pPr>
      <w:rPr>
        <w:rFonts w:cs="Times New Roman"/>
        <w:b/>
        <w:bCs/>
        <w:rtl w:val="0"/>
        <w:cs w:val="0"/>
      </w:rPr>
    </w:lvl>
    <w:lvl w:ilvl="1">
      <w:start w:val="1"/>
      <w:numFmt w:val="lowerLetter"/>
      <w:lvlText w:val="%2)"/>
      <w:legacy w:legacy="1" w:legacySpace="0" w:legacyIndent="425"/>
      <w:lvlJc w:val="left"/>
      <w:pPr>
        <w:ind w:left="850" w:hanging="425"/>
      </w:pPr>
      <w:rPr>
        <w:rFonts w:cs="Times New Roman"/>
        <w:rtl w:val="0"/>
        <w:cs w:val="0"/>
      </w:rPr>
    </w:lvl>
    <w:lvl w:ilvl="2">
      <w:start w:val="1"/>
      <w:numFmt w:val="decimal"/>
      <w:lvlText w:val="%3.)"/>
      <w:legacy w:legacy="1" w:legacySpace="0" w:legacyIndent="425"/>
      <w:lvlJc w:val="left"/>
      <w:pPr>
        <w:ind w:left="1275" w:hanging="425"/>
      </w:pPr>
      <w:rPr>
        <w:rFonts w:cs="Times New Roman"/>
        <w:rtl w:val="0"/>
        <w:cs w:val="0"/>
      </w:rPr>
    </w:lvl>
    <w:lvl w:ilvl="3">
      <w:start w:val="1"/>
      <w:numFmt w:val="lowerLetter"/>
      <w:lvlText w:val="%4)"/>
      <w:legacy w:legacy="1" w:legacySpace="0" w:legacyIndent="708"/>
      <w:lvlJc w:val="left"/>
      <w:pPr>
        <w:ind w:left="1983" w:hanging="708"/>
      </w:pPr>
      <w:rPr>
        <w:rFonts w:cs="Times New Roman"/>
        <w:rtl w:val="0"/>
        <w:cs w:val="0"/>
      </w:rPr>
    </w:lvl>
    <w:lvl w:ilvl="4">
      <w:start w:val="1"/>
      <w:numFmt w:val="decimal"/>
      <w:lvlText w:val="(%5)"/>
      <w:legacy w:legacy="1" w:legacySpace="0" w:legacyIndent="708"/>
      <w:lvlJc w:val="left"/>
      <w:pPr>
        <w:ind w:left="2691" w:hanging="708"/>
      </w:pPr>
      <w:rPr>
        <w:rFonts w:cs="Times New Roman"/>
        <w:rtl w:val="0"/>
        <w:cs w:val="0"/>
      </w:rPr>
    </w:lvl>
    <w:lvl w:ilvl="5">
      <w:start w:val="1"/>
      <w:numFmt w:val="lowerLetter"/>
      <w:lvlText w:val="(%6)"/>
      <w:legacy w:legacy="1" w:legacySpace="0" w:legacyIndent="708"/>
      <w:lvlJc w:val="left"/>
      <w:pPr>
        <w:ind w:left="3399" w:hanging="708"/>
      </w:pPr>
      <w:rPr>
        <w:rFonts w:cs="Times New Roman"/>
        <w:rtl w:val="0"/>
        <w:cs w:val="0"/>
      </w:rPr>
    </w:lvl>
    <w:lvl w:ilvl="6">
      <w:start w:val="1"/>
      <w:numFmt w:val="lowerRoman"/>
      <w:lvlText w:val="(%7)"/>
      <w:legacy w:legacy="1" w:legacySpace="0" w:legacyIndent="708"/>
      <w:lvlJc w:val="left"/>
      <w:pPr>
        <w:ind w:left="4107" w:hanging="708"/>
      </w:pPr>
      <w:rPr>
        <w:rFonts w:cs="Times New Roman"/>
        <w:rtl w:val="0"/>
        <w:cs w:val="0"/>
      </w:rPr>
    </w:lvl>
    <w:lvl w:ilvl="7">
      <w:start w:val="1"/>
      <w:numFmt w:val="lowerLetter"/>
      <w:lvlText w:val="(%8)"/>
      <w:legacy w:legacy="1" w:legacySpace="0" w:legacyIndent="708"/>
      <w:lvlJc w:val="left"/>
      <w:pPr>
        <w:ind w:left="4815" w:hanging="708"/>
      </w:pPr>
      <w:rPr>
        <w:rFonts w:cs="Times New Roman"/>
        <w:rtl w:val="0"/>
        <w:cs w:val="0"/>
      </w:rPr>
    </w:lvl>
    <w:lvl w:ilvl="8">
      <w:start w:val="1"/>
      <w:numFmt w:val="lowerRoman"/>
      <w:lvlText w:val="(%9)"/>
      <w:legacy w:legacy="1" w:legacySpace="0" w:legacyIndent="708"/>
      <w:lvlJc w:val="left"/>
      <w:pPr>
        <w:ind w:left="5523" w:hanging="708"/>
      </w:pPr>
      <w:rPr>
        <w:rFonts w:cs="Times New Roman"/>
        <w:rtl w:val="0"/>
        <w:cs w:val="0"/>
      </w:rPr>
    </w:lvl>
  </w:abstractNum>
  <w:num w:numId="1">
    <w:abstractNumId w:val="7"/>
  </w:num>
  <w:num w:numId="2">
    <w:abstractNumId w:val="3"/>
  </w:num>
  <w:num w:numId="3">
    <w:abstractNumId w:val="8"/>
  </w:num>
  <w:num w:numId="4">
    <w:abstractNumId w:val="6"/>
  </w:num>
  <w:num w:numId="5">
    <w:abstractNumId w:val="4"/>
  </w:num>
  <w:num w:numId="6">
    <w:abstractNumId w:val="0"/>
  </w:num>
  <w:num w:numId="7">
    <w:abstractNumId w:val="2"/>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oNotTrackMoves/>
  <w:defaultTabStop w:val="720"/>
  <w:hyphenationZone w:val="425"/>
  <w:characterSpacingControl w:val="doNotCompress"/>
  <w:doNotValidateAgainstSchema/>
  <w:compat>
    <w:doNotUseIndentAsNumberingTabStop/>
    <w:allowSpaceOfSameStyleInTable/>
    <w:splitPgBreakAndParaMark/>
    <w:useAnsiKerningPairs/>
  </w:compat>
  <w:rsids>
    <w:rsidRoot w:val="00CB4E5A"/>
    <w:rsid w:val="00055D91"/>
    <w:rsid w:val="00084764"/>
    <w:rsid w:val="000F02E5"/>
    <w:rsid w:val="00163D4C"/>
    <w:rsid w:val="00244512"/>
    <w:rsid w:val="00334BC4"/>
    <w:rsid w:val="00386D98"/>
    <w:rsid w:val="004C5468"/>
    <w:rsid w:val="005B299A"/>
    <w:rsid w:val="005D4996"/>
    <w:rsid w:val="005D7C3C"/>
    <w:rsid w:val="00603051"/>
    <w:rsid w:val="006757B6"/>
    <w:rsid w:val="007D4BD6"/>
    <w:rsid w:val="00886A25"/>
    <w:rsid w:val="008B25A6"/>
    <w:rsid w:val="009773CF"/>
    <w:rsid w:val="00A34A0E"/>
    <w:rsid w:val="00A64D2D"/>
    <w:rsid w:val="00B15A80"/>
    <w:rsid w:val="00BF510C"/>
    <w:rsid w:val="00C0489E"/>
    <w:rsid w:val="00CB4E5A"/>
    <w:rsid w:val="00CB6753"/>
    <w:rsid w:val="00DD1AA5"/>
    <w:rsid w:val="00DD4C14"/>
    <w:rsid w:val="00E0007B"/>
    <w:rsid w:val="00E86903"/>
    <w:rsid w:val="00F77DA8"/>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Strong" w:semiHidden="0" w:uiPriority="22"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5A6"/>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8B25A6"/>
    <w:rPr>
      <w:rFonts w:ascii="Times New Roman" w:hAnsi="Times New Roman" w:cs="Times New Roman"/>
      <w:color w:val="808080"/>
      <w:rtl w:val="0"/>
      <w:cs w:val="0"/>
    </w:rPr>
  </w:style>
  <w:style w:type="paragraph" w:styleId="BalloonText">
    <w:name w:val="Balloon Text"/>
    <w:basedOn w:val="Normal"/>
    <w:link w:val="TextbublinyChar"/>
    <w:uiPriority w:val="99"/>
    <w:semiHidden/>
    <w:unhideWhenUsed/>
    <w:rsid w:val="008B25A6"/>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8B25A6"/>
    <w:rPr>
      <w:rFonts w:ascii="Tahoma" w:hAnsi="Tahoma" w:cs="Tahoma"/>
      <w:sz w:val="16"/>
      <w:szCs w:val="16"/>
      <w:rtl w:val="0"/>
      <w:cs w:val="0"/>
      <w:lang w:val="sk-SK" w:eastAsia="sk-SK"/>
    </w:rPr>
  </w:style>
  <w:style w:type="paragraph" w:styleId="Footer">
    <w:name w:val="footer"/>
    <w:basedOn w:val="Normal"/>
    <w:link w:val="PtaChar"/>
    <w:uiPriority w:val="99"/>
    <w:unhideWhenUsed/>
    <w:rsid w:val="006757B6"/>
    <w:pPr>
      <w:widowControl/>
      <w:tabs>
        <w:tab w:val="center" w:pos="4536"/>
        <w:tab w:val="right" w:pos="9072"/>
      </w:tabs>
      <w:adjustRightInd/>
      <w:spacing w:after="200" w:line="276" w:lineRule="auto"/>
      <w:jc w:val="left"/>
    </w:pPr>
    <w:rPr>
      <w:rFonts w:ascii="Calibri" w:hAnsi="Calibri"/>
      <w:sz w:val="22"/>
      <w:szCs w:val="22"/>
      <w:lang w:eastAsia="en-US"/>
    </w:rPr>
  </w:style>
  <w:style w:type="character" w:customStyle="1" w:styleId="PtaChar">
    <w:name w:val="Päta Char"/>
    <w:basedOn w:val="DefaultParagraphFont"/>
    <w:link w:val="Footer"/>
    <w:uiPriority w:val="99"/>
    <w:locked/>
    <w:rsid w:val="006757B6"/>
    <w:rPr>
      <w:rFonts w:cs="Times New Roman"/>
      <w:rtl w:val="0"/>
      <w:cs w:val="0"/>
      <w:lang w:val="x-none" w:eastAsia="en-US"/>
    </w:rPr>
  </w:style>
  <w:style w:type="character" w:styleId="PageNumber">
    <w:name w:val="page number"/>
    <w:basedOn w:val="DefaultParagraphFont"/>
    <w:uiPriority w:val="99"/>
    <w:rsid w:val="006757B6"/>
    <w:rPr>
      <w:rFonts w:cs="Times New Roman"/>
      <w:rtl w:val="0"/>
      <w:cs w:val="0"/>
    </w:rPr>
  </w:style>
  <w:style w:type="paragraph" w:styleId="NormalWeb">
    <w:name w:val="Normal (Web)"/>
    <w:aliases w:val="webb"/>
    <w:basedOn w:val="Normal"/>
    <w:uiPriority w:val="99"/>
    <w:unhideWhenUsed/>
    <w:rsid w:val="006757B6"/>
    <w:pPr>
      <w:widowControl/>
      <w:adjustRightInd/>
      <w:spacing w:before="75" w:after="90"/>
      <w:ind w:left="30"/>
      <w:jc w:val="left"/>
    </w:pPr>
    <w:rPr>
      <w:color w:val="444444"/>
    </w:rPr>
  </w:style>
  <w:style w:type="paragraph" w:customStyle="1" w:styleId="Default">
    <w:name w:val="Default"/>
    <w:rsid w:val="006757B6"/>
    <w:pPr>
      <w:framePr w:wrap="auto"/>
      <w:widowControl/>
      <w:autoSpaceDE w:val="0"/>
      <w:autoSpaceDN w:val="0"/>
      <w:adjustRightInd w:val="0"/>
      <w:ind w:left="0" w:right="0"/>
      <w:jc w:val="left"/>
      <w:textAlignment w:val="auto"/>
    </w:pPr>
    <w:rPr>
      <w:rFonts w:ascii="Arial" w:hAnsi="Arial" w:cs="Arial"/>
      <w:color w:val="000000"/>
      <w:sz w:val="24"/>
      <w:szCs w:val="24"/>
      <w:rtl w:val="0"/>
      <w:cs w:val="0"/>
      <w:lang w:val="sk-SK" w:eastAsia="sk-SK" w:bidi="ar-SA"/>
    </w:rPr>
  </w:style>
  <w:style w:type="paragraph" w:styleId="BodyTextIndent">
    <w:name w:val="Body Text Indent"/>
    <w:basedOn w:val="Normal"/>
    <w:link w:val="ZarkazkladnhotextuChar"/>
    <w:uiPriority w:val="99"/>
    <w:rsid w:val="006757B6"/>
    <w:pPr>
      <w:widowControl/>
      <w:adjustRightInd/>
      <w:ind w:firstLine="709"/>
      <w:jc w:val="both"/>
    </w:pPr>
  </w:style>
  <w:style w:type="character" w:customStyle="1" w:styleId="ZarkazkladnhotextuChar">
    <w:name w:val="Zarážka základného textu Char"/>
    <w:basedOn w:val="DefaultParagraphFont"/>
    <w:link w:val="BodyTextIndent"/>
    <w:uiPriority w:val="99"/>
    <w:locked/>
    <w:rsid w:val="006757B6"/>
    <w:rPr>
      <w:rFonts w:ascii="Times New Roman" w:hAnsi="Times New Roman" w:cs="Times New Roman"/>
      <w:sz w:val="24"/>
      <w:szCs w:val="24"/>
      <w:rtl w:val="0"/>
      <w:cs w:val="0"/>
    </w:rPr>
  </w:style>
  <w:style w:type="paragraph" w:styleId="Title">
    <w:name w:val="Title"/>
    <w:basedOn w:val="Normal"/>
    <w:link w:val="NzovChar"/>
    <w:uiPriority w:val="10"/>
    <w:qFormat/>
    <w:locked/>
    <w:rsid w:val="006757B6"/>
    <w:pPr>
      <w:widowControl/>
      <w:adjustRightInd/>
      <w:jc w:val="center"/>
    </w:pPr>
    <w:rPr>
      <w:b/>
      <w:bCs/>
    </w:rPr>
  </w:style>
  <w:style w:type="character" w:customStyle="1" w:styleId="NzovChar">
    <w:name w:val="Názov Char"/>
    <w:basedOn w:val="DefaultParagraphFont"/>
    <w:link w:val="Title"/>
    <w:uiPriority w:val="10"/>
    <w:locked/>
    <w:rsid w:val="006757B6"/>
    <w:rPr>
      <w:rFonts w:ascii="Times New Roman" w:hAnsi="Times New Roman" w:cs="Times New Roman"/>
      <w:b/>
      <w:bCs/>
      <w:sz w:val="24"/>
      <w:szCs w:val="24"/>
      <w:rtl w:val="0"/>
      <w:cs w:val="0"/>
    </w:rPr>
  </w:style>
  <w:style w:type="paragraph" w:styleId="BodyText">
    <w:name w:val="Body Text"/>
    <w:basedOn w:val="Normal"/>
    <w:link w:val="ZkladntextChar"/>
    <w:uiPriority w:val="99"/>
    <w:rsid w:val="006757B6"/>
    <w:pPr>
      <w:widowControl/>
      <w:adjustRightInd/>
      <w:spacing w:after="120"/>
      <w:jc w:val="left"/>
    </w:pPr>
    <w:rPr>
      <w:lang w:eastAsia="cs-CZ"/>
    </w:rPr>
  </w:style>
  <w:style w:type="character" w:customStyle="1" w:styleId="ZkladntextChar">
    <w:name w:val="Základný text Char"/>
    <w:basedOn w:val="DefaultParagraphFont"/>
    <w:link w:val="BodyText"/>
    <w:uiPriority w:val="99"/>
    <w:locked/>
    <w:rsid w:val="006757B6"/>
    <w:rPr>
      <w:rFonts w:ascii="Times New Roman" w:hAnsi="Times New Roman" w:cs="Times New Roman"/>
      <w:sz w:val="24"/>
      <w:szCs w:val="24"/>
      <w:rtl w:val="0"/>
      <w:cs w:val="0"/>
      <w:lang w:val="x-none" w:eastAsia="cs-CZ"/>
    </w:rPr>
  </w:style>
  <w:style w:type="character" w:styleId="Emphasis">
    <w:name w:val="Emphasis"/>
    <w:basedOn w:val="DefaultParagraphFont"/>
    <w:uiPriority w:val="20"/>
    <w:qFormat/>
    <w:locked/>
    <w:rsid w:val="006757B6"/>
    <w:rPr>
      <w:rFonts w:cs="Times New Roman"/>
      <w:i/>
      <w:rtl w:val="0"/>
      <w:cs w:val="0"/>
    </w:rPr>
  </w:style>
  <w:style w:type="paragraph" w:customStyle="1" w:styleId="Zkladntext">
    <w:name w:val="Základní text"/>
    <w:uiPriority w:val="99"/>
    <w:rsid w:val="006757B6"/>
    <w:pPr>
      <w:framePr w:wrap="auto"/>
      <w:widowControl w:val="0"/>
      <w:autoSpaceDE/>
      <w:autoSpaceDN/>
      <w:adjustRightInd/>
      <w:snapToGrid w:val="0"/>
      <w:ind w:left="0" w:right="0"/>
      <w:jc w:val="left"/>
      <w:textAlignment w:val="auto"/>
    </w:pPr>
    <w:rPr>
      <w:rFonts w:cs="Times New Roman"/>
      <w:color w:val="000000"/>
      <w:sz w:val="24"/>
      <w:szCs w:val="20"/>
      <w:rtl w:val="0"/>
      <w:cs w:val="0"/>
      <w:lang w:val="sk-SK" w:eastAsia="sk-SK" w:bidi="ar-SA"/>
    </w:rPr>
  </w:style>
  <w:style w:type="paragraph" w:styleId="ListParagraph">
    <w:name w:val="List Paragraph"/>
    <w:basedOn w:val="Normal"/>
    <w:uiPriority w:val="34"/>
    <w:locked/>
    <w:rsid w:val="006757B6"/>
    <w:pPr>
      <w:widowControl/>
      <w:adjustRightInd/>
      <w:ind w:left="720"/>
      <w:contextualSpacing/>
      <w:jc w:val="left"/>
    </w:pPr>
    <w:rPr>
      <w:lang w:val="cs-CZ" w:eastAsia="cs-CZ"/>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25</Pages>
  <Words>9000</Words>
  <Characters>51300</Characters>
  <Application>Microsoft Office Word</Application>
  <DocSecurity>0</DocSecurity>
  <Lines>0</Lines>
  <Paragraphs>0</Paragraphs>
  <ScaleCrop>false</ScaleCrop>
  <Company>Abyss</Company>
  <LinksUpToDate>false</LinksUpToDate>
  <CharactersWithSpaces>60180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Rybansky Ludovit</cp:lastModifiedBy>
  <cp:revision>2</cp:revision>
  <cp:lastPrinted>2013-07-10T14:37:00Z</cp:lastPrinted>
  <dcterms:created xsi:type="dcterms:W3CDTF">2013-07-10T14:54:00Z</dcterms:created>
  <dcterms:modified xsi:type="dcterms:W3CDTF">2013-07-10T14:54:00Z</dcterms:modified>
</cp:coreProperties>
</file>