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F57C55">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9F6658">
        <w:t>797</w:t>
      </w:r>
      <w:r w:rsidR="003D6EDC">
        <w:t>/</w:t>
      </w:r>
      <w:r w:rsidR="009F1034">
        <w:t>20</w:t>
      </w:r>
      <w:r w:rsidR="00CD2A22">
        <w:t>1</w:t>
      </w:r>
      <w:r w:rsidR="009F6658">
        <w:t>3</w:t>
      </w:r>
      <w:r>
        <w:tab/>
        <w:tab/>
        <w:tab/>
        <w:tab/>
      </w:r>
    </w:p>
    <w:p w:rsidR="00233A93"/>
    <w:p w:rsidR="00E63E78"/>
    <w:p w:rsidR="00233A93" w:rsidP="00F57C55">
      <w:pPr>
        <w:jc w:val="center"/>
        <w:rPr>
          <w:b/>
          <w:bCs/>
          <w:sz w:val="28"/>
        </w:rPr>
      </w:pPr>
      <w:r w:rsidR="009F6658">
        <w:rPr>
          <w:b/>
          <w:bCs/>
          <w:sz w:val="28"/>
        </w:rPr>
        <w:t>462</w:t>
      </w:r>
      <w:r>
        <w:rPr>
          <w:b/>
          <w:bCs/>
          <w:sz w:val="28"/>
        </w:rPr>
        <w:t>a</w:t>
      </w:r>
    </w:p>
    <w:p w:rsidR="00233A93">
      <w:pPr>
        <w:rPr>
          <w:b/>
          <w:bCs/>
        </w:rPr>
      </w:pPr>
    </w:p>
    <w:p w:rsidR="00233A93">
      <w:pPr>
        <w:pStyle w:val="Heading1"/>
      </w:pPr>
      <w:r>
        <w:t xml:space="preserve">S p o l o č n á    s p r á v a </w:t>
      </w:r>
    </w:p>
    <w:p w:rsidR="00593BF8" w:rsidP="00E63E78">
      <w:pPr>
        <w:pStyle w:val="BodyText"/>
      </w:pPr>
    </w:p>
    <w:p w:rsidR="00233A93" w:rsidRPr="009F6658" w:rsidP="009F6658">
      <w:pPr>
        <w:jc w:val="both"/>
        <w:rPr>
          <w:b/>
        </w:rPr>
      </w:pPr>
      <w:r w:rsidRPr="009F6658" w:rsidR="000D5484">
        <w:rPr>
          <w:b/>
        </w:rPr>
        <w:t>výborov Národnej rady Slovenskej republiky o výsledku preroko</w:t>
      </w:r>
      <w:r w:rsidRPr="009F6658" w:rsidR="000D5484">
        <w:rPr>
          <w:b/>
        </w:rPr>
        <w:t>vania</w:t>
      </w:r>
      <w:r w:rsidRPr="009F6658" w:rsidR="009F6658">
        <w:rPr>
          <w:b/>
        </w:rPr>
        <w:t xml:space="preserve"> vládn</w:t>
      </w:r>
      <w:r w:rsidR="009F6658">
        <w:rPr>
          <w:b/>
        </w:rPr>
        <w:t>eho</w:t>
      </w:r>
      <w:r w:rsidRPr="009F6658" w:rsidR="009F6658">
        <w:rPr>
          <w:b/>
        </w:rPr>
        <w:t xml:space="preserve"> návrhu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r w:rsidRPr="009F6658" w:rsidR="000D5484">
        <w:rPr>
          <w:b/>
          <w:bCs/>
          <w:iCs/>
        </w:rPr>
        <w:t xml:space="preserve"> </w:t>
      </w:r>
      <w:r w:rsidRPr="009F6658">
        <w:rPr>
          <w:b/>
        </w:rPr>
        <w:t xml:space="preserve">v druhom čítaní </w:t>
      </w:r>
    </w:p>
    <w:p w:rsidR="00233A93" w:rsidP="000D5484">
      <w:pPr>
        <w:jc w:val="both"/>
        <w:rPr>
          <w:b/>
        </w:rPr>
      </w:pPr>
      <w:r w:rsidRPr="00846B8E">
        <w:rPr>
          <w:b/>
        </w:rPr>
        <w:t>____________________________________________________________</w:t>
      </w:r>
      <w:r w:rsidR="000D5484">
        <w:rPr>
          <w:b/>
        </w:rPr>
        <w:t>___________________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w:t>
      </w:r>
      <w:r>
        <w:t>ej rady Slovenskej republiky o prerokovaní vyššie uvedeného</w:t>
      </w:r>
      <w:r w:rsidR="001D62BD">
        <w:t xml:space="preserve"> </w:t>
      </w:r>
      <w:r w:rsidR="009F6658">
        <w:t xml:space="preserve">vládneho </w:t>
      </w:r>
      <w:r>
        <w:t>návrhu zákona.</w:t>
      </w:r>
    </w:p>
    <w:p w:rsidR="000D5484" w:rsidP="00D32315">
      <w:pPr>
        <w:jc w:val="both"/>
        <w:rPr>
          <w:b/>
          <w:bCs/>
        </w:rPr>
      </w:pPr>
      <w:r w:rsidR="00233A93">
        <w:tab/>
        <w:tab/>
        <w:tab/>
        <w:tab/>
        <w:tab/>
      </w: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E63E78">
        <w:t xml:space="preserve"> </w:t>
      </w:r>
      <w:r w:rsidR="009F6658">
        <w:t>575</w:t>
      </w:r>
      <w:r w:rsidRPr="0091798A" w:rsidR="00737319">
        <w:t xml:space="preserve"> </w:t>
      </w:r>
      <w:r w:rsidRPr="0091798A">
        <w:t>z</w:t>
      </w:r>
      <w:r w:rsidRPr="0091798A" w:rsidR="00893F40">
        <w:t xml:space="preserve"> </w:t>
      </w:r>
      <w:r w:rsidR="009F6658">
        <w:t>15</w:t>
      </w:r>
      <w:r w:rsidRPr="0091798A">
        <w:t xml:space="preserve">. </w:t>
      </w:r>
      <w:r w:rsidR="009F6658">
        <w:t>júna</w:t>
      </w:r>
      <w:r w:rsidR="00CD2A22">
        <w:t xml:space="preserve"> </w:t>
      </w:r>
      <w:r w:rsidRPr="0091798A">
        <w:t>20</w:t>
      </w:r>
      <w:r w:rsidR="00CD2A22">
        <w:t>1</w:t>
      </w:r>
      <w:r w:rsidR="009F6658">
        <w:t>3</w:t>
      </w:r>
      <w:r w:rsidRPr="0091798A" w:rsidR="009F77AE">
        <w:t xml:space="preserve"> </w:t>
      </w:r>
      <w:r w:rsidRPr="0091798A">
        <w:t>pridelila</w:t>
      </w:r>
      <w:r w:rsidRPr="00353558" w:rsidR="00353558">
        <w:rPr>
          <w:b/>
        </w:rPr>
        <w:t xml:space="preserve"> </w:t>
      </w:r>
      <w:r w:rsidRPr="009F6658" w:rsidR="009F6658">
        <w:t>vládny návrh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r w:rsidR="009F6658">
        <w:t xml:space="preserve"> </w:t>
      </w:r>
      <w:r w:rsidRPr="00DF21AE">
        <w:t>týmto výbor</w:t>
      </w:r>
      <w:r w:rsidRPr="00DF21AE">
        <w:t>om Národnej rady Slovenskej republiky</w:t>
      </w:r>
      <w:r w:rsidRPr="00DF21AE" w:rsidR="00184003">
        <w:t xml:space="preserve"> </w:t>
      </w:r>
      <w:r w:rsidRPr="00DF21AE">
        <w:t>:</w:t>
      </w:r>
    </w:p>
    <w:p w:rsidR="0017621D">
      <w:pPr>
        <w:pStyle w:val="BodyText2"/>
        <w:jc w:val="left"/>
      </w:pPr>
    </w:p>
    <w:p w:rsidR="00D32315"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republiky</w:t>
      </w:r>
    </w:p>
    <w:p w:rsidR="00FF4E6F" w:rsidP="00227BF3">
      <w:pPr>
        <w:pStyle w:val="BodyText2"/>
        <w:numPr>
          <w:ilvl w:val="0"/>
          <w:numId w:val="1"/>
        </w:numPr>
      </w:pPr>
      <w:r>
        <w:t xml:space="preserve">Výboru Národnej rady Slovenskej republiky pre </w:t>
      </w:r>
      <w:r w:rsidR="009F6658">
        <w:t>verejnú správu a regionálny rozvoj</w:t>
      </w:r>
      <w:r w:rsidR="000D5484">
        <w:t xml:space="preserve"> </w:t>
      </w:r>
    </w:p>
    <w:p w:rsidR="009F6658" w:rsidP="00227BF3">
      <w:pPr>
        <w:pStyle w:val="BodyText2"/>
        <w:numPr>
          <w:ilvl w:val="0"/>
          <w:numId w:val="1"/>
        </w:numPr>
      </w:pPr>
      <w:r>
        <w:t xml:space="preserve">Výboru </w:t>
      </w:r>
      <w:r>
        <w:t>Národnej rady Slovenskej republiky pre sociálne veci</w:t>
      </w:r>
    </w:p>
    <w:p w:rsidR="00DF21AE" w:rsidP="004F7FF6">
      <w:pPr>
        <w:pStyle w:val="BodyText2"/>
        <w:ind w:left="705"/>
      </w:pPr>
    </w:p>
    <w:p w:rsidR="009F6658" w:rsidP="004F7FF6">
      <w:pPr>
        <w:pStyle w:val="BodyText2"/>
        <w:ind w:left="705"/>
      </w:pPr>
    </w:p>
    <w:p w:rsidR="00434E93" w:rsidP="00434E93">
      <w:pPr>
        <w:pStyle w:val="BodyText2"/>
      </w:pPr>
      <w:r w:rsidR="00233A93">
        <w:t>Uvedené výbory prerokovali predmetný ná</w:t>
      </w:r>
      <w:r w:rsidR="00B057B4">
        <w:t>vrh zá</w:t>
      </w:r>
      <w:r w:rsidR="00492C2E">
        <w:t>kona v stanovenom termíne okrem</w:t>
      </w:r>
      <w:r>
        <w:t xml:space="preserve"> </w:t>
      </w:r>
      <w:r w:rsidRPr="00D32315">
        <w:rPr>
          <w:b/>
        </w:rPr>
        <w:t>Výboru NR SR pre sociálne veci</w:t>
      </w:r>
      <w:r>
        <w:t>,</w:t>
      </w:r>
      <w:r w:rsidRPr="00434E93">
        <w:t xml:space="preserve"> </w:t>
      </w:r>
      <w:r>
        <w:t xml:space="preserve">nakoľko rokovanie výboru sa uskutočnilo </w:t>
      </w:r>
      <w:r w:rsidR="00BA33CD">
        <w:rPr>
          <w:b/>
        </w:rPr>
        <w:t>dňa 17</w:t>
      </w:r>
      <w:r w:rsidRPr="00D32315">
        <w:rPr>
          <w:b/>
        </w:rPr>
        <w:t>. 6. 2013</w:t>
      </w:r>
      <w:r>
        <w:t>.</w:t>
      </w:r>
    </w:p>
    <w:p w:rsidR="000965A1" w:rsidP="002B2710">
      <w:pPr>
        <w:ind w:firstLine="705"/>
        <w:jc w:val="both"/>
        <w:rPr>
          <w:b/>
          <w:sz w:val="28"/>
        </w:rPr>
      </w:pPr>
    </w:p>
    <w:p w:rsidR="00737319">
      <w:pPr>
        <w:pStyle w:val="BodyText2"/>
        <w:rPr>
          <w:b/>
          <w:sz w:val="28"/>
        </w:rPr>
      </w:pPr>
    </w:p>
    <w:p w:rsidR="00233A93">
      <w:pPr>
        <w:pStyle w:val="BodyText2"/>
        <w:jc w:val="center"/>
        <w:rPr>
          <w:b/>
        </w:rPr>
      </w:pPr>
      <w:r>
        <w:rPr>
          <w:b/>
        </w:rPr>
        <w:t>II.</w:t>
      </w:r>
    </w:p>
    <w:p w:rsidR="00233A93">
      <w:pPr>
        <w:pStyle w:val="BodyText2"/>
        <w:jc w:val="center"/>
        <w:rPr>
          <w:b/>
          <w:sz w:val="28"/>
        </w:rPr>
      </w:pPr>
    </w:p>
    <w:p w:rsidR="009F6658" w:rsidP="005B4301">
      <w:pPr>
        <w:tabs>
          <w:tab w:val="left" w:pos="5040"/>
        </w:tabs>
        <w:jc w:val="both"/>
      </w:pPr>
      <w:r w:rsidR="00233A93">
        <w:t>Gestorský výbor nedostal do začatia rokovania</w:t>
      </w:r>
      <w:r w:rsidR="00AF0941">
        <w:t xml:space="preserve"> o</w:t>
      </w:r>
      <w:r w:rsidRPr="00B057C9" w:rsidR="00B057C9">
        <w:t xml:space="preserve"> </w:t>
      </w:r>
      <w:r w:rsidRPr="009F6658">
        <w:t>vládn</w:t>
      </w:r>
      <w:r>
        <w:t>om</w:t>
      </w:r>
      <w:r w:rsidRPr="009F6658">
        <w:t xml:space="preserve"> návrh</w:t>
      </w:r>
      <w:r>
        <w:t>u</w:t>
      </w:r>
      <w:r w:rsidRPr="009F6658">
        <w:t xml:space="preserve">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p>
    <w:p w:rsidR="00233A93" w:rsidP="005B4301">
      <w:pPr>
        <w:tabs>
          <w:tab w:val="left" w:pos="5040"/>
        </w:tabs>
        <w:jc w:val="both"/>
      </w:pPr>
      <w:r>
        <w:t>stanoviská  poslancov Národnej rady Slovenskej republiky podané v súlade s § 75 ods. 2 zákona NR SR č. 350/1996 Z. z. o rokovacom poriadku Národnej rady Slovens</w:t>
      </w:r>
      <w:r>
        <w:t>kej republiky v znení neskorších predpisov.</w:t>
      </w:r>
    </w:p>
    <w:p w:rsidR="00173451" w:rsidP="00324934">
      <w:pPr>
        <w:jc w:val="both"/>
      </w:pPr>
    </w:p>
    <w:p w:rsidR="000D5484" w:rsidP="00324934">
      <w:pPr>
        <w:jc w:val="both"/>
      </w:pPr>
    </w:p>
    <w:p w:rsidR="000D54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0D5484" w:rsidP="000D5484">
      <w:pPr>
        <w:pStyle w:val="BodyText2"/>
        <w:numPr>
          <w:ilvl w:val="0"/>
          <w:numId w:val="4"/>
        </w:numPr>
        <w:rPr>
          <w:b/>
          <w:bCs/>
        </w:rPr>
      </w:pPr>
      <w:r w:rsidR="00301D8C">
        <w:t xml:space="preserve">Odporúčanie pre Národnú radu Slovenskej republiky návrh </w:t>
      </w:r>
      <w:r w:rsidR="00301D8C">
        <w:rPr>
          <w:b/>
          <w:bCs/>
        </w:rPr>
        <w:t xml:space="preserve">schváliť </w:t>
      </w:r>
      <w:r>
        <w:rPr>
          <w:b/>
          <w:bCs/>
        </w:rPr>
        <w:t>s pozmeňujúcimi a doplňujúcimi návrhmi</w:t>
      </w:r>
    </w:p>
    <w:p w:rsidR="00301D8C" w:rsidP="00301D8C">
      <w:pPr>
        <w:pStyle w:val="BodyText2"/>
        <w:ind w:left="1080"/>
        <w:rPr>
          <w:b/>
          <w:bCs/>
        </w:rPr>
      </w:pPr>
    </w:p>
    <w:p w:rsidR="00301D8C" w:rsidP="00301D8C">
      <w:pPr>
        <w:pStyle w:val="BodyText2"/>
        <w:numPr>
          <w:ilvl w:val="0"/>
          <w:numId w:val="1"/>
        </w:numPr>
        <w:tabs>
          <w:tab w:val="clear" w:pos="1065"/>
          <w:tab w:val="num" w:pos="1425"/>
        </w:tabs>
        <w:ind w:left="1425"/>
      </w:pPr>
      <w:r>
        <w:t>Vý</w:t>
      </w:r>
      <w:r>
        <w:t>bor Národnej rady Sl</w:t>
      </w:r>
      <w:r w:rsidR="00401761">
        <w:t xml:space="preserve">ovenskej republiky pre financie a </w:t>
      </w:r>
      <w:r>
        <w:t>rozpočet</w:t>
      </w:r>
      <w:r w:rsidR="00E24C65">
        <w:t xml:space="preserve">                          (</w:t>
      </w:r>
      <w:r w:rsidR="00671AF9">
        <w:t>uzn. č. 175</w:t>
      </w:r>
      <w:r w:rsidR="00250D21">
        <w:t xml:space="preserve"> </w:t>
      </w:r>
      <w:r w:rsidR="00B40188">
        <w:t xml:space="preserve"> zo dňa </w:t>
      </w:r>
      <w:r w:rsidR="00401761">
        <w:t>1</w:t>
      </w:r>
      <w:r w:rsidR="000D5484">
        <w:t>3</w:t>
      </w:r>
      <w:r>
        <w:t xml:space="preserve">. </w:t>
      </w:r>
      <w:r w:rsidR="00E63E78">
        <w:t>júna</w:t>
      </w:r>
      <w:r w:rsidR="00CD2A22">
        <w:t xml:space="preserve"> 201</w:t>
      </w:r>
      <w:r w:rsidR="009F6658">
        <w:t>3</w:t>
      </w:r>
      <w:r>
        <w:t>)</w:t>
      </w:r>
    </w:p>
    <w:p w:rsidR="00B51F92" w:rsidP="00B51F92">
      <w:pPr>
        <w:pStyle w:val="BodyText2"/>
        <w:ind w:left="1425"/>
      </w:pPr>
    </w:p>
    <w:p w:rsidR="00201E09" w:rsidRPr="00B51F92" w:rsidP="00B51F92">
      <w:pPr>
        <w:pStyle w:val="BodyText2"/>
        <w:numPr>
          <w:ilvl w:val="0"/>
          <w:numId w:val="4"/>
        </w:numPr>
      </w:pPr>
      <w:r w:rsidR="00B51F92">
        <w:t xml:space="preserve">Odporúčanie pre Národnú radu Slovenskej republiky návrh </w:t>
      </w:r>
      <w:r w:rsidRPr="00B51F92" w:rsidR="00B51F92">
        <w:rPr>
          <w:b/>
        </w:rPr>
        <w:t xml:space="preserve">schváliť </w:t>
      </w:r>
    </w:p>
    <w:p w:rsidR="00B51F92" w:rsidP="00B51F92">
      <w:pPr>
        <w:pStyle w:val="BodyText2"/>
        <w:ind w:left="1080"/>
      </w:pPr>
    </w:p>
    <w:p w:rsidR="00B51F92" w:rsidP="00B51F92">
      <w:pPr>
        <w:pStyle w:val="BodyText2"/>
        <w:numPr>
          <w:ilvl w:val="0"/>
          <w:numId w:val="1"/>
        </w:numPr>
        <w:ind w:firstLine="69"/>
      </w:pPr>
      <w:r w:rsidR="00E63E78">
        <w:t>Ústavnoprávny výbor Národnej rady Slovenskej republiky</w:t>
      </w:r>
      <w:r w:rsidRPr="00DF21AE" w:rsidR="002A75EF">
        <w:t xml:space="preserve"> </w:t>
      </w:r>
      <w:r w:rsidR="002A75EF">
        <w:t>(uzn. č.</w:t>
      </w:r>
      <w:r w:rsidR="000D5484">
        <w:t xml:space="preserve"> </w:t>
      </w:r>
      <w:r w:rsidR="009F6658">
        <w:t>251</w:t>
      </w:r>
      <w:r w:rsidR="002A75EF">
        <w:t xml:space="preserve"> zo dň</w:t>
      </w:r>
      <w:r w:rsidR="00CC65FE">
        <w:t xml:space="preserve">a </w:t>
      </w:r>
      <w:r w:rsidR="00B10FA8">
        <w:t>1</w:t>
      </w:r>
      <w:r w:rsidR="009F6658">
        <w:t>1</w:t>
      </w:r>
      <w:r w:rsidR="002A75EF">
        <w:t xml:space="preserve">. </w:t>
      </w:r>
      <w:r>
        <w:t xml:space="preserve"> </w:t>
      </w:r>
    </w:p>
    <w:p w:rsidR="002A75EF" w:rsidP="00B51F92">
      <w:pPr>
        <w:pStyle w:val="BodyText2"/>
        <w:ind w:left="1134"/>
      </w:pPr>
      <w:r w:rsidR="00B51F92">
        <w:t xml:space="preserve">     </w:t>
      </w:r>
      <w:r w:rsidR="00E63E78">
        <w:t>júna</w:t>
      </w:r>
      <w:r w:rsidR="00CD2A22">
        <w:t xml:space="preserve"> 201</w:t>
      </w:r>
      <w:r w:rsidR="009F6658">
        <w:t>3</w:t>
      </w:r>
      <w:r>
        <w:t>)</w:t>
      </w:r>
    </w:p>
    <w:p w:rsidR="00FF4E6F" w:rsidP="00FF4E6F">
      <w:pPr>
        <w:pStyle w:val="BodyText2"/>
        <w:ind w:left="1065"/>
      </w:pPr>
    </w:p>
    <w:p w:rsidR="00B51F92" w:rsidP="00B51F92">
      <w:pPr>
        <w:pStyle w:val="BodyText2"/>
        <w:numPr>
          <w:ilvl w:val="0"/>
          <w:numId w:val="1"/>
        </w:numPr>
        <w:ind w:firstLine="69"/>
      </w:pPr>
      <w:r w:rsidR="00FF4E6F">
        <w:t xml:space="preserve">Výbor Národnej rady Slovenskej republiky pre </w:t>
      </w:r>
      <w:r w:rsidR="009F6658">
        <w:t>verejnú správu a regionálny rozvoj</w:t>
      </w:r>
      <w:r w:rsidR="000D5484">
        <w:t xml:space="preserve"> </w:t>
      </w:r>
      <w:r w:rsidR="00FF4E6F">
        <w:t xml:space="preserve"> </w:t>
      </w:r>
      <w:r>
        <w:t xml:space="preserve">   </w:t>
      </w:r>
    </w:p>
    <w:p w:rsidR="00FF4E6F" w:rsidP="00B51F92">
      <w:pPr>
        <w:pStyle w:val="BodyText2"/>
        <w:ind w:left="1134"/>
      </w:pPr>
      <w:r w:rsidR="00B51F92">
        <w:t xml:space="preserve">     </w:t>
      </w:r>
      <w:r>
        <w:t xml:space="preserve">(uzn. č. </w:t>
      </w:r>
      <w:r w:rsidR="009F6658">
        <w:t>99</w:t>
      </w:r>
      <w:r w:rsidR="000D5484">
        <w:t xml:space="preserve"> zo dňa </w:t>
      </w:r>
      <w:r w:rsidR="00492C2E">
        <w:t>4</w:t>
      </w:r>
      <w:r w:rsidR="000D5484">
        <w:t xml:space="preserve">. </w:t>
      </w:r>
      <w:r w:rsidR="009F6658">
        <w:t>j</w:t>
      </w:r>
      <w:r w:rsidR="00492C2E">
        <w:t>úna</w:t>
      </w:r>
      <w:r w:rsidR="000D5484">
        <w:t xml:space="preserve"> 201</w:t>
      </w:r>
      <w:r w:rsidR="009F6658">
        <w:t>3</w:t>
      </w:r>
      <w:r>
        <w:t>)</w:t>
      </w:r>
    </w:p>
    <w:p w:rsidR="00492C2E" w:rsidP="00492C2E">
      <w:pPr>
        <w:pStyle w:val="BodyText2"/>
      </w:pPr>
    </w:p>
    <w:p w:rsidR="003D7154" w:rsidP="00492C2E">
      <w:pPr>
        <w:pStyle w:val="BodyText2"/>
        <w:numPr>
          <w:ilvl w:val="0"/>
          <w:numId w:val="4"/>
        </w:numPr>
      </w:pPr>
      <w:r w:rsidR="00492C2E">
        <w:t xml:space="preserve">Výbor Národnej rady Slovenskej republiky pre sociálne veci </w:t>
      </w:r>
      <w:r w:rsidR="009F3720">
        <w:t xml:space="preserve">predloží výsledok rokovania výboru </w:t>
      </w:r>
      <w:r w:rsidRPr="007C6807" w:rsidR="009F3720">
        <w:rPr>
          <w:b/>
        </w:rPr>
        <w:t>dodatočne.</w:t>
      </w:r>
    </w:p>
    <w:p w:rsidR="00492C2E" w:rsidP="00492C2E">
      <w:pPr>
        <w:pStyle w:val="BodyText2"/>
        <w:ind w:left="705"/>
      </w:pPr>
    </w:p>
    <w:p w:rsidR="005D15B1">
      <w:pPr>
        <w:pStyle w:val="BodyText2"/>
        <w:ind w:firstLine="720"/>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3D7154">
        <w:t>ia</w:t>
      </w:r>
      <w:r w:rsidRPr="00AC16EF">
        <w:t xml:space="preserve"> výbor</w:t>
      </w:r>
      <w:r w:rsidR="003D7154">
        <w:t>u</w:t>
      </w:r>
      <w:r>
        <w:t xml:space="preserve"> Národnej ra</w:t>
      </w:r>
      <w:r w:rsidR="008E1580">
        <w:t>dy Slovenskej republ</w:t>
      </w:r>
      <w:r w:rsidR="0085078D">
        <w:t xml:space="preserve">iky </w:t>
      </w:r>
      <w:r w:rsidR="003D7154">
        <w:t>uvedeného</w:t>
      </w:r>
      <w:r w:rsidRPr="00AC16EF">
        <w:t xml:space="preserve"> pod bodom</w:t>
      </w:r>
      <w:r w:rsidR="00F2536F">
        <w:t xml:space="preserve"> III. tejto </w:t>
      </w:r>
      <w:r w:rsidR="00B10FA8">
        <w:t xml:space="preserve">spoločnej </w:t>
      </w:r>
      <w:r w:rsidR="00F2536F">
        <w:t>správy vyplynul</w:t>
      </w:r>
      <w:r w:rsidR="007D5D65">
        <w:t>i</w:t>
      </w:r>
      <w:r>
        <w:t xml:space="preserve"> </w:t>
      </w:r>
      <w:r w:rsidR="003D7154">
        <w:t>tieto</w:t>
      </w:r>
      <w:r>
        <w:t xml:space="preserve"> </w:t>
      </w:r>
      <w:r w:rsidR="00115AB5">
        <w:t>p</w:t>
      </w:r>
      <w:r w:rsidR="00D3131A">
        <w:t>ozmeňujúc</w:t>
      </w:r>
      <w:r w:rsidR="007D5D65">
        <w:t>e</w:t>
      </w:r>
      <w:r w:rsidR="00D3131A">
        <w:t xml:space="preserve"> </w:t>
      </w:r>
      <w:r w:rsidR="003D7154">
        <w:t xml:space="preserve">a doplňujúce </w:t>
      </w:r>
      <w:r w:rsidR="00D3131A">
        <w:t>návrh</w:t>
      </w:r>
      <w:r w:rsidR="007D5D65">
        <w:t>y</w:t>
      </w:r>
      <w:r w:rsidR="00B10FA8">
        <w:t>:</w:t>
      </w:r>
    </w:p>
    <w:p w:rsidR="00700EC2" w:rsidP="00700EC2">
      <w:pPr>
        <w:jc w:val="both"/>
        <w:rPr>
          <w:b/>
        </w:rPr>
      </w:pPr>
    </w:p>
    <w:p w:rsidR="00E71996" w:rsidRPr="00E71996" w:rsidP="00E71996">
      <w:pPr>
        <w:numPr>
          <w:ilvl w:val="0"/>
          <w:numId w:val="49"/>
        </w:numPr>
        <w:jc w:val="both"/>
        <w:rPr>
          <w:b/>
          <w:lang w:eastAsia="en-US"/>
        </w:rPr>
      </w:pPr>
      <w:r w:rsidRPr="00E71996">
        <w:rPr>
          <w:b/>
          <w:lang w:eastAsia="en-US"/>
        </w:rPr>
        <w:t>K názvu</w:t>
      </w:r>
    </w:p>
    <w:p w:rsidR="00E71996" w:rsidRPr="00E71996" w:rsidP="00E71996">
      <w:pPr>
        <w:ind w:left="708"/>
        <w:jc w:val="both"/>
        <w:rPr>
          <w:bCs/>
          <w:lang w:eastAsia="en-US"/>
        </w:rPr>
      </w:pPr>
      <w:r w:rsidRPr="00E71996">
        <w:rPr>
          <w:lang w:eastAsia="en-US"/>
        </w:rPr>
        <w:t>V názve zákona sa slová „</w:t>
      </w:r>
      <w:r w:rsidRPr="00E71996">
        <w:rPr>
          <w:bCs/>
          <w:lang w:eastAsia="en-US"/>
        </w:rPr>
        <w:t>mení a dopĺňa zákon č. 566/2001 Z. z. o cenných papieroch a investičných službách a o zmene a doplnení niektorých zákonov (zákon o cenných papieroch) v znení neskorších predpisov“ nahrádzajú slovami „menia a dopĺňajú niektoré zákony“.</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lang w:eastAsia="en-US"/>
        </w:rPr>
      </w:pPr>
    </w:p>
    <w:p w:rsidR="00E71996" w:rsidRPr="00E71996" w:rsidP="00E71996">
      <w:pPr>
        <w:jc w:val="both"/>
        <w:rPr>
          <w:lang w:eastAsia="en-US"/>
        </w:rPr>
      </w:pPr>
    </w:p>
    <w:p w:rsidR="00E71996" w:rsidRPr="00E71996" w:rsidP="00E71996">
      <w:pPr>
        <w:numPr>
          <w:ilvl w:val="0"/>
          <w:numId w:val="49"/>
        </w:numPr>
        <w:contextualSpacing/>
        <w:jc w:val="both"/>
        <w:rPr>
          <w:b/>
        </w:rPr>
      </w:pPr>
      <w:r w:rsidRPr="00E71996">
        <w:rPr>
          <w:b/>
        </w:rPr>
        <w:t>K čl. I bod 7 ( § 3 písm. d))</w:t>
      </w:r>
    </w:p>
    <w:p w:rsidR="00E71996" w:rsidRPr="00E71996" w:rsidP="00E71996">
      <w:pPr>
        <w:ind w:firstLine="567"/>
        <w:jc w:val="both"/>
        <w:rPr>
          <w:bCs/>
        </w:rPr>
      </w:pPr>
      <w:r w:rsidRPr="00E71996">
        <w:rPr>
          <w:bCs/>
        </w:rPr>
        <w:t xml:space="preserve">   V § 3 písm. d) sa  pred slová „cenných papierov“ vkladajú slová „ na nadobudnutie“.</w:t>
      </w:r>
    </w:p>
    <w:p w:rsidR="00E71996" w:rsidRPr="00E71996" w:rsidP="00E71996">
      <w:pPr>
        <w:tabs>
          <w:tab w:val="left" w:pos="2835"/>
        </w:tabs>
        <w:ind w:left="2835"/>
        <w:jc w:val="both"/>
        <w:rPr>
          <w:bCs/>
        </w:rPr>
      </w:pPr>
    </w:p>
    <w:p w:rsidR="00E71996" w:rsidRPr="00E71996" w:rsidP="00E71996">
      <w:pPr>
        <w:tabs>
          <w:tab w:val="left" w:pos="2835"/>
        </w:tabs>
        <w:rPr>
          <w:bCs/>
        </w:rPr>
      </w:pPr>
      <w:r>
        <w:rPr>
          <w:bCs/>
        </w:rPr>
        <w:tab/>
      </w:r>
      <w:r w:rsidRPr="00E71996">
        <w:rPr>
          <w:bCs/>
        </w:rPr>
        <w:t>Ide o významové spresnenie navrhovaného znenia § 3 písm. d).</w:t>
      </w:r>
    </w:p>
    <w:p w:rsidR="00E71996" w:rsidRPr="00700EC2" w:rsidP="00E71996">
      <w:pPr>
        <w:spacing w:before="120"/>
        <w:ind w:left="2124" w:firstLine="708"/>
        <w:jc w:val="both"/>
        <w:rPr>
          <w:b/>
        </w:rPr>
      </w:pPr>
      <w:r w:rsidRPr="00700EC2">
        <w:rPr>
          <w:b/>
        </w:rPr>
        <w:t xml:space="preserve">Výbor NR SR pre financie a rozpočet                    </w:t>
      </w:r>
      <w:r w:rsidRPr="00700EC2">
        <w:rPr>
          <w:b/>
        </w:rPr>
        <w:t xml:space="preserve">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
          <w:bCs/>
          <w:lang w:eastAsia="en-US"/>
        </w:rPr>
      </w:pPr>
    </w:p>
    <w:p w:rsidR="00E71996" w:rsidRPr="00E71996" w:rsidP="00E71996">
      <w:pPr>
        <w:numPr>
          <w:ilvl w:val="0"/>
          <w:numId w:val="49"/>
        </w:numPr>
        <w:spacing w:after="200" w:line="276" w:lineRule="auto"/>
        <w:jc w:val="both"/>
        <w:rPr>
          <w:bCs/>
          <w:lang w:eastAsia="en-US"/>
        </w:rPr>
      </w:pPr>
      <w:r w:rsidRPr="00E71996">
        <w:rPr>
          <w:b/>
          <w:bCs/>
          <w:lang w:eastAsia="en-US"/>
        </w:rPr>
        <w:t>K čl. I v</w:t>
      </w:r>
      <w:r w:rsidRPr="00E71996">
        <w:rPr>
          <w:bCs/>
          <w:lang w:eastAsia="en-US"/>
        </w:rPr>
        <w:t> </w:t>
      </w:r>
      <w:r w:rsidRPr="00E71996">
        <w:rPr>
          <w:b/>
          <w:bCs/>
          <w:lang w:eastAsia="en-US"/>
        </w:rPr>
        <w:t>bode 33</w:t>
      </w:r>
      <w:r w:rsidRPr="00E71996">
        <w:rPr>
          <w:bCs/>
          <w:lang w:eastAsia="en-US"/>
        </w:rPr>
        <w:t xml:space="preserve"> v § 26b ods. 5 sa na konci pripájajú tieto slová: „v tomto konaní“. </w:t>
      </w:r>
    </w:p>
    <w:p w:rsidR="00E71996" w:rsidRPr="00E71996" w:rsidP="00E71996">
      <w:pPr>
        <w:jc w:val="both"/>
        <w:rPr>
          <w:bCs/>
          <w:lang w:eastAsia="en-US"/>
        </w:rPr>
      </w:pPr>
    </w:p>
    <w:p w:rsidR="00E71996" w:rsidRPr="00E71996" w:rsidP="00E71996">
      <w:pPr>
        <w:tabs>
          <w:tab w:val="left" w:pos="2835"/>
          <w:tab w:val="left" w:pos="4253"/>
        </w:tabs>
        <w:jc w:val="both"/>
        <w:rPr>
          <w:bCs/>
          <w:lang w:eastAsia="en-US"/>
        </w:rPr>
      </w:pPr>
      <w:r>
        <w:rPr>
          <w:bCs/>
          <w:lang w:eastAsia="en-US"/>
        </w:rPr>
        <w:tab/>
      </w:r>
      <w:r w:rsidRPr="00E71996">
        <w:rPr>
          <w:bCs/>
          <w:lang w:eastAsia="en-US"/>
        </w:rPr>
        <w:t>Ide o spresnenie dikcie navrhovaného znenia.</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
          <w:bCs/>
          <w:lang w:eastAsia="en-US"/>
        </w:rPr>
      </w:pPr>
    </w:p>
    <w:p w:rsidR="00E71996" w:rsidRPr="00E71996" w:rsidP="00E71996">
      <w:pPr>
        <w:jc w:val="both"/>
        <w:rPr>
          <w:b/>
          <w:bCs/>
          <w:lang w:eastAsia="en-US"/>
        </w:rPr>
      </w:pPr>
    </w:p>
    <w:p w:rsidR="00E71996" w:rsidRPr="00E71996" w:rsidP="00E71996">
      <w:pPr>
        <w:numPr>
          <w:ilvl w:val="0"/>
          <w:numId w:val="49"/>
        </w:numPr>
        <w:contextualSpacing/>
        <w:jc w:val="both"/>
        <w:rPr>
          <w:b/>
        </w:rPr>
      </w:pPr>
      <w:r w:rsidRPr="00E71996">
        <w:rPr>
          <w:b/>
        </w:rPr>
        <w:t>K čl. I bod 33 (§ 26c ods. 5)</w:t>
      </w:r>
    </w:p>
    <w:p w:rsidR="00E71996" w:rsidRPr="00E71996" w:rsidP="00E71996">
      <w:pPr>
        <w:ind w:firstLine="708"/>
        <w:jc w:val="both"/>
        <w:rPr>
          <w:bCs/>
        </w:rPr>
      </w:pPr>
      <w:r w:rsidRPr="00E71996">
        <w:rPr>
          <w:bCs/>
        </w:rPr>
        <w:t>V § 26c ods. 5  sa vypúšťajú slová  „6 a“.</w:t>
      </w:r>
    </w:p>
    <w:p w:rsidR="00E71996" w:rsidP="00E71996">
      <w:pPr>
        <w:ind w:left="2835"/>
        <w:jc w:val="both"/>
        <w:rPr>
          <w:bCs/>
        </w:rPr>
      </w:pPr>
    </w:p>
    <w:p w:rsidR="00E71996" w:rsidRPr="00E71996" w:rsidP="00E71996">
      <w:pPr>
        <w:ind w:left="2835"/>
        <w:jc w:val="both"/>
        <w:rPr>
          <w:bCs/>
        </w:rPr>
      </w:pPr>
      <w:r w:rsidRPr="00E71996">
        <w:rPr>
          <w:bCs/>
        </w:rPr>
        <w:t>Navrhované znenie šiestej časti zákona v § 26a až 26c upravuje tuzemské subjekty kolektívneho investovania s právnou subjektivitou. V rámci tohto vymedzenia je v § 26c  upravené postavenie, práva a povinnosti samosprávneho alternatívneho investičného fondu. Podľa dikcie navrhovaného znenia § 26c ods. 2 samosprávny alternatívny investičný fond nemôže vykonávať inú činnosť ako sú činnosti podľa § 27 ods. 4 a 5. Z uvedeného dôvodu pri vymedzení primeranosti vlastných zdrojov samosprávneho alternatívneho investičného fondu v § 26c ods. 5 je  nesprávny vnútorný odkaz na § 47 ods. 6. Podľa  navrhovaného znenia § 47 ods. 6 je totiž správcovská spoločnosť povinná dodržiavať požiadavku na vlastné zdroje podľa osobitného predpisu (§ 74 ods. 4 zákona č. 566/2001 Z. z. o cenných papieroch), len ak vykonáva činnosti podľa § 27 ods. 3 písm. a) alebo ods. 6 písm. a).</w:t>
      </w:r>
    </w:p>
    <w:p w:rsidR="00E71996" w:rsidRPr="00E71996" w:rsidP="00E71996">
      <w:pPr>
        <w:ind w:left="2835"/>
        <w:jc w:val="both"/>
        <w:rPr>
          <w:bC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2835"/>
        <w:jc w:val="both"/>
        <w:rPr>
          <w:bCs/>
        </w:rPr>
      </w:pPr>
    </w:p>
    <w:p w:rsidR="00E71996" w:rsidRPr="00E71996" w:rsidP="00E71996">
      <w:pPr>
        <w:numPr>
          <w:ilvl w:val="0"/>
          <w:numId w:val="49"/>
        </w:numPr>
        <w:ind w:left="284" w:firstLine="142"/>
        <w:contextualSpacing/>
        <w:jc w:val="both"/>
        <w:rPr>
          <w:b/>
        </w:rPr>
      </w:pPr>
      <w:r w:rsidRPr="00E71996">
        <w:rPr>
          <w:b/>
        </w:rPr>
        <w:t>K čl. I bod 34 (§ 27 ods. 2 písm. b) 8. bodu)</w:t>
      </w:r>
    </w:p>
    <w:p w:rsidR="00E71996" w:rsidRPr="00E71996" w:rsidP="00E71996">
      <w:pPr>
        <w:ind w:left="708"/>
        <w:jc w:val="both"/>
        <w:rPr>
          <w:bCs/>
        </w:rPr>
      </w:pPr>
      <w:r w:rsidRPr="00E71996">
        <w:rPr>
          <w:bCs/>
        </w:rPr>
        <w:t>V § 27 ods. 2 písm. b) 8. bode sa za slová „podielových listov“ vkladajú slová  „štandardných podielových fondov“.</w:t>
      </w:r>
    </w:p>
    <w:p w:rsidR="00E71996" w:rsidRPr="00E71996" w:rsidP="00E71996">
      <w:pPr>
        <w:ind w:left="2835"/>
        <w:jc w:val="both"/>
        <w:rPr>
          <w:bCs/>
        </w:rPr>
      </w:pPr>
    </w:p>
    <w:p w:rsidR="00E71996" w:rsidRPr="00E71996" w:rsidP="00E71996">
      <w:pPr>
        <w:ind w:left="2835"/>
        <w:jc w:val="both"/>
        <w:rPr>
          <w:bCs/>
        </w:rPr>
      </w:pPr>
      <w:r w:rsidRPr="00E71996">
        <w:rPr>
          <w:bCs/>
        </w:rPr>
        <w:t>Ide o významové precizovanie navrhovaného znenia   s cieľom zabezpečenia  pojmovej jednoznačnosti.</w:t>
      </w:r>
    </w:p>
    <w:p w:rsidR="00E71996" w:rsidRPr="00E71996" w:rsidP="00E71996">
      <w:pPr>
        <w:ind w:left="2835"/>
        <w:jc w:val="both"/>
        <w:rPr>
          <w:bC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2835"/>
        <w:jc w:val="both"/>
        <w:rPr>
          <w:bCs/>
        </w:rPr>
      </w:pPr>
    </w:p>
    <w:p w:rsidR="00E71996" w:rsidRPr="00E71996" w:rsidP="00E71996">
      <w:pPr>
        <w:numPr>
          <w:ilvl w:val="0"/>
          <w:numId w:val="49"/>
        </w:numPr>
        <w:ind w:left="284" w:firstLine="142"/>
        <w:contextualSpacing/>
        <w:jc w:val="both"/>
        <w:rPr>
          <w:b/>
        </w:rPr>
      </w:pPr>
      <w:r w:rsidRPr="00E71996">
        <w:rPr>
          <w:b/>
        </w:rPr>
        <w:t>K čl. I bod 45 (§ 28a ods. 2 písm. a))</w:t>
      </w:r>
    </w:p>
    <w:p w:rsidR="00E71996" w:rsidRPr="00E71996" w:rsidP="00E71996">
      <w:pPr>
        <w:ind w:firstLine="708"/>
        <w:jc w:val="both"/>
        <w:rPr>
          <w:bCs/>
        </w:rPr>
      </w:pPr>
      <w:r w:rsidRPr="00E71996">
        <w:rPr>
          <w:bCs/>
        </w:rPr>
        <w:t xml:space="preserve">V §  28a ods. 2 písm. a) na konci  sa za slová „47“ pripájajú slová „ods. 1“.  </w:t>
      </w:r>
      <w:r w:rsidRPr="00E71996">
        <w:rPr>
          <w:bCs/>
        </w:rPr>
        <w:t xml:space="preserve"> </w:t>
      </w:r>
    </w:p>
    <w:p w:rsidR="00E71996" w:rsidRPr="00E71996" w:rsidP="00E71996">
      <w:pPr>
        <w:ind w:left="2835"/>
        <w:jc w:val="both"/>
        <w:rPr>
          <w:bCs/>
        </w:rPr>
      </w:pPr>
    </w:p>
    <w:p w:rsidR="00E71996" w:rsidRPr="00E71996" w:rsidP="00E71996">
      <w:pPr>
        <w:ind w:left="2835"/>
        <w:jc w:val="both"/>
        <w:rPr>
          <w:bCs/>
        </w:rPr>
      </w:pPr>
      <w:r w:rsidRPr="00E71996">
        <w:rPr>
          <w:bCs/>
        </w:rPr>
        <w:t>Ide o spresnenie vnútorného odkazu na § 47 ods. 1, v ktorom je ustanovená požiadavka  na výšku základného imania.</w:t>
      </w:r>
    </w:p>
    <w:p w:rsidR="00E71996" w:rsidRPr="00E71996" w:rsidP="00E71996">
      <w:pPr>
        <w:jc w:val="both"/>
        <w:rPr>
          <w:b/>
          <w:bCs/>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
          <w:bCs/>
          <w:lang w:eastAsia="en-US"/>
        </w:rPr>
      </w:pPr>
    </w:p>
    <w:p w:rsidR="00E71996" w:rsidRPr="00E71996" w:rsidP="00E71996">
      <w:pPr>
        <w:numPr>
          <w:ilvl w:val="0"/>
          <w:numId w:val="49"/>
        </w:numPr>
        <w:spacing w:after="200" w:line="276" w:lineRule="auto"/>
        <w:jc w:val="both"/>
        <w:rPr>
          <w:lang w:eastAsia="en-US"/>
        </w:rPr>
      </w:pPr>
      <w:r w:rsidRPr="00E71996">
        <w:rPr>
          <w:b/>
          <w:lang w:eastAsia="en-US"/>
        </w:rPr>
        <w:t>K čl. I v bode 51</w:t>
      </w:r>
      <w:r w:rsidRPr="00E71996">
        <w:rPr>
          <w:lang w:eastAsia="en-US"/>
        </w:rPr>
        <w:t xml:space="preserve"> poznámky pod čiarou k odkazom 22a až 22c znejú: </w:t>
      </w:r>
    </w:p>
    <w:p w:rsidR="00E71996" w:rsidRPr="00E71996" w:rsidP="00E71996">
      <w:pPr>
        <w:ind w:left="709"/>
        <w:jc w:val="both"/>
        <w:rPr>
          <w:lang w:eastAsia="en-US"/>
        </w:rPr>
      </w:pPr>
      <w:r w:rsidRPr="00E71996">
        <w:rPr>
          <w:lang w:eastAsia="en-US"/>
        </w:rPr>
        <w:t>„</w:t>
      </w:r>
      <w:r w:rsidRPr="00E71996">
        <w:rPr>
          <w:vertAlign w:val="superscript"/>
          <w:lang w:eastAsia="en-US"/>
        </w:rPr>
        <w:t>22a</w:t>
      </w:r>
      <w:r w:rsidRPr="00E71996">
        <w:rPr>
          <w:lang w:eastAsia="en-US"/>
        </w:rPr>
        <w:t>)</w:t>
      </w:r>
      <w:r w:rsidRPr="00E71996">
        <w:rPr>
          <w:vertAlign w:val="superscript"/>
          <w:lang w:eastAsia="en-US"/>
        </w:rPr>
        <w:t xml:space="preserve"> </w:t>
      </w:r>
      <w:r w:rsidRPr="00E71996">
        <w:rPr>
          <w:lang w:eastAsia="en-US"/>
        </w:rPr>
        <w:t xml:space="preserve">Čl. 2 delegovaného nariadenia Komisie (EÚ) č. 231/2013 z </w:t>
      </w:r>
      <w:r w:rsidRPr="00E71996">
        <w:t>19. decembra 2012 , ktorým sa dopĺňa smernica Európskeho parlamentu a Rady 2011/61/EÚ, pokiaľ ide o výnimky, všeobecné podmienky výkonu činnosti, depozitárov, pákový efekt, transparentnosť a dohľad</w:t>
      </w:r>
      <w:r w:rsidRPr="00E71996">
        <w:rPr>
          <w:lang w:eastAsia="en-US"/>
        </w:rPr>
        <w:t xml:space="preserve"> (</w:t>
      </w:r>
      <w:r w:rsidRPr="00E71996">
        <w:rPr>
          <w:iCs/>
          <w:lang w:eastAsia="en-US"/>
        </w:rPr>
        <w:t>Ú. v. EÚ L 83, 22. 3. 2013</w:t>
      </w:r>
      <w:r w:rsidRPr="00E71996">
        <w:rPr>
          <w:lang w:eastAsia="en-US"/>
        </w:rPr>
        <w:t>).</w:t>
      </w:r>
    </w:p>
    <w:p w:rsidR="00E71996" w:rsidRPr="00E71996" w:rsidP="00E71996">
      <w:pPr>
        <w:ind w:firstLine="709"/>
        <w:jc w:val="both"/>
        <w:rPr>
          <w:lang w:eastAsia="en-US"/>
        </w:rPr>
      </w:pPr>
      <w:r w:rsidRPr="00E71996">
        <w:rPr>
          <w:vertAlign w:val="superscript"/>
          <w:lang w:eastAsia="en-US"/>
        </w:rPr>
        <w:t>22b</w:t>
      </w:r>
      <w:r w:rsidRPr="00E71996">
        <w:rPr>
          <w:lang w:eastAsia="en-US"/>
        </w:rPr>
        <w:t>)</w:t>
      </w:r>
      <w:r w:rsidRPr="00E71996">
        <w:rPr>
          <w:vertAlign w:val="superscript"/>
          <w:lang w:eastAsia="en-US"/>
        </w:rPr>
        <w:t xml:space="preserve"> </w:t>
      </w:r>
      <w:r w:rsidRPr="00E71996">
        <w:rPr>
          <w:lang w:eastAsia="en-US"/>
        </w:rPr>
        <w:t xml:space="preserve">Čl. 5 delegovaného nariadenia (EÚ) č. 231/2013. </w:t>
      </w:r>
    </w:p>
    <w:p w:rsidR="00E71996" w:rsidRPr="00E71996" w:rsidP="00E71996">
      <w:pPr>
        <w:ind w:firstLine="709"/>
        <w:jc w:val="both"/>
        <w:rPr>
          <w:lang w:eastAsia="en-US"/>
        </w:rPr>
      </w:pPr>
      <w:r w:rsidRPr="00E71996">
        <w:rPr>
          <w:vertAlign w:val="superscript"/>
          <w:lang w:eastAsia="en-US"/>
        </w:rPr>
        <w:t>22c</w:t>
      </w:r>
      <w:r w:rsidRPr="00E71996">
        <w:rPr>
          <w:lang w:eastAsia="en-US"/>
        </w:rPr>
        <w:t>)</w:t>
      </w:r>
      <w:r w:rsidRPr="00E71996">
        <w:rPr>
          <w:vertAlign w:val="superscript"/>
          <w:lang w:eastAsia="en-US"/>
        </w:rPr>
        <w:t xml:space="preserve"> </w:t>
      </w:r>
      <w:r w:rsidRPr="00E71996">
        <w:rPr>
          <w:lang w:eastAsia="en-US"/>
        </w:rPr>
        <w:t>Čl. 5 ods. 5 delegovaného nariadenia (EÚ) č. 231/2013.“.</w:t>
      </w:r>
    </w:p>
    <w:p w:rsidR="00E71996" w:rsidRPr="00E71996" w:rsidP="00E71996">
      <w:pPr>
        <w:jc w:val="both"/>
        <w:rPr>
          <w:lang w:eastAsia="en-US"/>
        </w:rPr>
      </w:pPr>
    </w:p>
    <w:p w:rsidR="00E71996" w:rsidRPr="00E71996" w:rsidP="00E71996">
      <w:pPr>
        <w:widowControl w:val="0"/>
        <w:autoSpaceDE w:val="0"/>
        <w:autoSpaceDN w:val="0"/>
        <w:adjustRightInd w:val="0"/>
        <w:ind w:left="2832"/>
        <w:jc w:val="both"/>
        <w:rPr>
          <w:lang w:eastAsia="en-US"/>
        </w:rPr>
      </w:pPr>
      <w:r w:rsidRPr="00E71996">
        <w:rPr>
          <w:lang w:eastAsia="en-US"/>
        </w:rPr>
        <w:t>V čl. I doterajšom bode 51 (</w:t>
      </w:r>
      <w:r w:rsidRPr="00E71996">
        <w:rPr>
          <w:i/>
          <w:iCs/>
          <w:lang w:eastAsia="en-US"/>
        </w:rPr>
        <w:t>ktorým sa do zákona o kolektívnom investovaní dopĺňajú nové § 31a a § 31b</w:t>
      </w:r>
      <w:r w:rsidRPr="00E71996">
        <w:rPr>
          <w:lang w:eastAsia="en-US"/>
        </w:rPr>
        <w:t>) sa navrhuje legislatívno-technické spresnenie poznámok pod čiarou k odkazom 22a až 22c, ktoré zohľadňuje reálne dáta o uverejnení delegovaného nariadenia Komisie (EÚ) č. 231/2013 z </w:t>
      </w:r>
      <w:r w:rsidRPr="00E71996">
        <w:t>19. decembra 2012 , ktorým sa dopĺňa smernica Európskeho parlamentu a Rady 2011/61/EÚ, pokiaľ ide o výnimky, všeobecné podmienky výkonu činnosti, depozitárov, pákový efekt, transparentnosť a dohľad</w:t>
      </w:r>
      <w:r w:rsidRPr="00E71996">
        <w:rPr>
          <w:lang w:eastAsia="en-US"/>
        </w:rPr>
        <w:t xml:space="preserve"> (</w:t>
      </w:r>
      <w:r w:rsidRPr="00E71996">
        <w:rPr>
          <w:i/>
          <w:iCs/>
          <w:lang w:eastAsia="en-US"/>
        </w:rPr>
        <w:t>Ú. v. EÚ L 83, 22. 3. 2013</w:t>
      </w:r>
      <w:r w:rsidRPr="00E71996">
        <w:rPr>
          <w:lang w:eastAsia="en-US"/>
        </w:rPr>
        <w:t xml:space="preserve">), v Úradnom vestníku Európskej únie a taktiež táto úprava vyplynula aj z </w:t>
      </w:r>
      <w:r w:rsidRPr="00E71996">
        <w:rPr>
          <w:bCs/>
          <w:lang w:eastAsia="en-US"/>
        </w:rPr>
        <w:t>pripom</w:t>
      </w:r>
      <w:r w:rsidRPr="00E71996">
        <w:rPr>
          <w:bCs/>
          <w:lang w:eastAsia="en-US"/>
        </w:rPr>
        <w:t xml:space="preserve">ienky Odboru legislatívy a aproximácie práva NR SR. </w:t>
      </w:r>
    </w:p>
    <w:p w:rsidR="00E71996" w:rsidRPr="00E71996" w:rsidP="00E71996">
      <w:pPr>
        <w:jc w:val="both"/>
        <w:rPr>
          <w:bCs/>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numPr>
          <w:ilvl w:val="0"/>
          <w:numId w:val="49"/>
        </w:numPr>
        <w:contextualSpacing/>
        <w:jc w:val="both"/>
        <w:rPr>
          <w:b/>
        </w:rPr>
      </w:pPr>
      <w:r w:rsidRPr="00E71996">
        <w:rPr>
          <w:b/>
        </w:rPr>
        <w:t>K čl. I bod 53 (§ 33 ods. 11 písm. a))</w:t>
      </w:r>
    </w:p>
    <w:p w:rsidR="00E71996" w:rsidRPr="00E71996" w:rsidP="00E71996">
      <w:pPr>
        <w:ind w:firstLine="708"/>
        <w:jc w:val="both"/>
        <w:rPr>
          <w:bCs/>
        </w:rPr>
      </w:pPr>
      <w:r w:rsidRPr="00E71996">
        <w:rPr>
          <w:bCs/>
        </w:rPr>
        <w:t>V § 33 ods. 11 písm. a) sa slovo „odovzdáva“ nahrádza slovom „pos</w:t>
      </w:r>
      <w:r w:rsidRPr="00E71996">
        <w:rPr>
          <w:bCs/>
        </w:rPr>
        <w:t>kytuje“.</w:t>
      </w:r>
    </w:p>
    <w:p w:rsidR="00E71996" w:rsidRPr="00E71996" w:rsidP="00E71996">
      <w:pPr>
        <w:ind w:left="2835"/>
        <w:jc w:val="both"/>
        <w:rPr>
          <w:bCs/>
        </w:rPr>
      </w:pPr>
    </w:p>
    <w:p w:rsidR="00E71996" w:rsidRPr="00E71996" w:rsidP="00E71996">
      <w:pPr>
        <w:ind w:left="2835"/>
        <w:jc w:val="both"/>
        <w:rPr>
          <w:bCs/>
        </w:rPr>
      </w:pPr>
      <w:r w:rsidRPr="00E71996">
        <w:rPr>
          <w:bCs/>
        </w:rPr>
        <w:t>Ide o zjednotenie používaných pojmov  pri vymedzení zásad odmeňovania v návrhu zákona.</w:t>
      </w:r>
    </w:p>
    <w:p w:rsidR="00E71996" w:rsidRPr="00E71996" w:rsidP="00E71996">
      <w:pPr>
        <w:ind w:left="2835"/>
        <w:jc w:val="both"/>
        <w:rPr>
          <w:bCs/>
        </w:rPr>
      </w:pPr>
    </w:p>
    <w:p w:rsidR="00E71996" w:rsidRPr="00700EC2" w:rsidP="00E71996">
      <w:pPr>
        <w:spacing w:before="120"/>
        <w:ind w:left="2127"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2835"/>
        <w:jc w:val="both"/>
        <w:rPr>
          <w:bCs/>
        </w:rPr>
      </w:pPr>
    </w:p>
    <w:p w:rsidR="00E71996" w:rsidRPr="00E71996" w:rsidP="00E71996">
      <w:pPr>
        <w:numPr>
          <w:ilvl w:val="0"/>
          <w:numId w:val="49"/>
        </w:numPr>
        <w:ind w:left="284" w:firstLine="142"/>
        <w:contextualSpacing/>
        <w:jc w:val="both"/>
        <w:rPr>
          <w:b/>
        </w:rPr>
      </w:pPr>
      <w:r w:rsidRPr="00E71996">
        <w:rPr>
          <w:b/>
        </w:rPr>
        <w:t>K čl. I bod 53 (§ 33 ods. 12 písm. a))</w:t>
      </w:r>
    </w:p>
    <w:p w:rsidR="00E71996" w:rsidRPr="00E71996" w:rsidP="00E71996">
      <w:pPr>
        <w:ind w:firstLine="708"/>
        <w:jc w:val="both"/>
        <w:rPr>
          <w:bCs/>
        </w:rPr>
      </w:pPr>
      <w:r w:rsidRPr="00E71996">
        <w:rPr>
          <w:bCs/>
        </w:rPr>
        <w:t xml:space="preserve">V § 33 ods. 12 písm. </w:t>
      </w:r>
      <w:r w:rsidRPr="00E71996">
        <w:rPr>
          <w:bCs/>
        </w:rPr>
        <w:t>a)  sa slová „v § 3 písm. aj)“ nahrádzajú slovami „v § 3 písm. ak)“.</w:t>
      </w:r>
    </w:p>
    <w:p w:rsidR="00E71996" w:rsidRPr="00E71996" w:rsidP="00E71996">
      <w:pPr>
        <w:ind w:left="2835"/>
        <w:jc w:val="both"/>
        <w:rPr>
          <w:bCs/>
        </w:rPr>
      </w:pPr>
    </w:p>
    <w:p w:rsidR="00E71996" w:rsidRPr="00E71996" w:rsidP="00E71996">
      <w:pPr>
        <w:ind w:left="2835"/>
        <w:jc w:val="both"/>
        <w:rPr>
          <w:bCs/>
        </w:rPr>
      </w:pPr>
      <w:r w:rsidRPr="00E71996">
        <w:rPr>
          <w:bCs/>
        </w:rPr>
        <w:t>Ide o nahradenie nesprávneho  vnútorného odkazu na § 3 písm. aj)  odkazom na § 3 písm. ak), v ktorom návrh definuje inštitút odplaty za zhodnotenie.</w:t>
      </w:r>
    </w:p>
    <w:p w:rsidR="00E71996" w:rsidRPr="00E71996" w:rsidP="00E71996">
      <w:pPr>
        <w:jc w:val="both"/>
        <w:rPr>
          <w:bCs/>
          <w:lang w:eastAsia="en-US"/>
        </w:rPr>
      </w:pPr>
    </w:p>
    <w:p w:rsidR="00E71996" w:rsidRPr="00700EC2" w:rsidP="00E71996">
      <w:pPr>
        <w:spacing w:before="120"/>
        <w:ind w:left="2124" w:firstLine="708"/>
        <w:jc w:val="both"/>
        <w:rPr>
          <w:b/>
        </w:rPr>
      </w:pPr>
      <w:r w:rsidRPr="00700EC2">
        <w:rPr>
          <w:b/>
        </w:rPr>
        <w:t xml:space="preserve">Výbor NR SR pre financie a rozpočet </w:t>
      </w:r>
      <w:r w:rsidRPr="00700EC2">
        <w:rPr>
          <w:b/>
        </w:rPr>
        <w:t xml:space="preserve">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spacing w:after="200" w:line="276" w:lineRule="auto"/>
        <w:jc w:val="both"/>
        <w:rPr>
          <w:lang w:eastAsia="en-US"/>
        </w:rPr>
      </w:pPr>
      <w:r w:rsidRPr="00E71996">
        <w:rPr>
          <w:b/>
          <w:lang w:eastAsia="en-US"/>
        </w:rPr>
        <w:t>K čl. I v bodoch</w:t>
      </w:r>
      <w:r w:rsidRPr="00E71996">
        <w:rPr>
          <w:lang w:eastAsia="en-US"/>
        </w:rPr>
        <w:t xml:space="preserve"> 53, 59, 69, 70, 71, 75, 77, 85, 93, 99, 101, 103, 105, 107, 164, 174, 178, 180, 205, 206 a 214 v poznámkach pod čiarou k odkazom 25a, 25c až 25n, 33b až 33f, 34a, 34b, 40a až 40k, 44b, 47a, 47b, 48, 49a, 49d, 49e až 49h, 55a, 67b, 68b až 68e, 68g, 77a až 77c, 77e, 89a  sa text „nariadenia (EÚ) č. .../..“ nahrádza textom  „delegovaného nariadenia (EÚ) č. 231/2013“.</w:t>
      </w:r>
    </w:p>
    <w:p w:rsidR="00E71996" w:rsidRPr="00E71996" w:rsidP="00E71996">
      <w:pPr>
        <w:ind w:left="2832"/>
        <w:jc w:val="both"/>
        <w:rPr>
          <w:u w:val="single"/>
          <w:lang w:eastAsia="en-US"/>
        </w:rPr>
      </w:pPr>
      <w:r w:rsidRPr="00E71996">
        <w:rPr>
          <w:lang w:eastAsia="en-US"/>
        </w:rPr>
        <w:t>Navrhovaná úprava je v nadväznosti na pripomienku</w:t>
      </w:r>
      <w:r>
        <w:rPr>
          <w:lang w:eastAsia="en-US"/>
        </w:rPr>
        <w:t xml:space="preserve"> </w:t>
      </w:r>
      <w:r w:rsidRPr="00E71996">
        <w:rPr>
          <w:bCs/>
          <w:lang w:eastAsia="en-US"/>
        </w:rPr>
        <w:t>Odboru legislat</w:t>
      </w:r>
      <w:r w:rsidRPr="00E71996">
        <w:rPr>
          <w:bCs/>
          <w:lang w:eastAsia="en-US"/>
        </w:rPr>
        <w:t>ívy a aproximácie práva NR SR. Ide</w:t>
      </w:r>
      <w:r>
        <w:rPr>
          <w:bCs/>
          <w:lang w:eastAsia="en-US"/>
        </w:rPr>
        <w:t xml:space="preserve"> </w:t>
      </w:r>
      <w:r w:rsidRPr="00E71996">
        <w:rPr>
          <w:bCs/>
          <w:lang w:eastAsia="en-US"/>
        </w:rPr>
        <w:t>o spresnenie citácie predmetného nariadenia EÚ.</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4254" w:hanging="285"/>
        <w:jc w:val="both"/>
        <w:rPr>
          <w:u w:val="single"/>
          <w:lang w:eastAsia="en-US"/>
        </w:rPr>
      </w:pPr>
    </w:p>
    <w:p w:rsidR="00E71996" w:rsidRPr="00E71996" w:rsidP="00E71996">
      <w:pPr>
        <w:numPr>
          <w:ilvl w:val="0"/>
          <w:numId w:val="49"/>
        </w:numPr>
        <w:spacing w:after="200" w:line="276" w:lineRule="auto"/>
        <w:jc w:val="both"/>
        <w:rPr>
          <w:lang w:eastAsia="en-US"/>
        </w:rPr>
      </w:pPr>
      <w:r w:rsidRPr="00E71996">
        <w:rPr>
          <w:b/>
          <w:lang w:eastAsia="en-US"/>
        </w:rPr>
        <w:t>K čl. I v bode 67</w:t>
      </w:r>
      <w:r w:rsidRPr="00E71996">
        <w:rPr>
          <w:lang w:eastAsia="en-US"/>
        </w:rPr>
        <w:t xml:space="preserve"> poznámka pod čiarou k odkazu 33a znie:</w:t>
      </w:r>
    </w:p>
    <w:p w:rsidR="00E71996" w:rsidRPr="00E71996" w:rsidP="00E71996">
      <w:pPr>
        <w:ind w:firstLine="709"/>
        <w:jc w:val="both"/>
        <w:rPr>
          <w:lang w:eastAsia="en-US"/>
        </w:rPr>
      </w:pPr>
      <w:r w:rsidRPr="00E71996">
        <w:rPr>
          <w:lang w:eastAsia="en-US"/>
        </w:rPr>
        <w:t>„33a) Delegované nariadenie (EÚ) č. 231/2013.“.</w:t>
      </w:r>
    </w:p>
    <w:p w:rsidR="00E71996" w:rsidRPr="00E71996" w:rsidP="00E71996">
      <w:pPr>
        <w:jc w:val="both"/>
        <w:rPr>
          <w:lang w:eastAsia="en-US"/>
        </w:rPr>
      </w:pPr>
    </w:p>
    <w:p w:rsidR="00E71996" w:rsidRPr="00E71996" w:rsidP="00E71996">
      <w:pPr>
        <w:ind w:left="2832"/>
        <w:jc w:val="both"/>
        <w:rPr>
          <w:u w:val="single"/>
          <w:lang w:eastAsia="en-US"/>
        </w:rPr>
      </w:pPr>
      <w:r w:rsidRPr="00E71996">
        <w:rPr>
          <w:lang w:eastAsia="en-US"/>
        </w:rPr>
        <w:t>Navrhovaná úprava je v nadväznosti na pripomienku</w:t>
      </w:r>
      <w:r>
        <w:rPr>
          <w:lang w:eastAsia="en-US"/>
        </w:rPr>
        <w:t xml:space="preserve"> </w:t>
      </w:r>
      <w:r w:rsidRPr="00E71996">
        <w:rPr>
          <w:bCs/>
          <w:lang w:eastAsia="en-US"/>
        </w:rPr>
        <w:t>Odboru legislatívy a aproximácie práva NR SR. Ide</w:t>
      </w:r>
      <w:r>
        <w:rPr>
          <w:bCs/>
          <w:lang w:eastAsia="en-US"/>
        </w:rPr>
        <w:t xml:space="preserve"> </w:t>
      </w:r>
      <w:r w:rsidRPr="00E71996">
        <w:rPr>
          <w:bCs/>
          <w:lang w:eastAsia="en-US"/>
        </w:rPr>
        <w:t>o spresnenie citácie predmetného nariadenia EÚ.</w:t>
      </w:r>
    </w:p>
    <w:p w:rsidR="00E71996" w:rsidRPr="00E71996" w:rsidP="00E71996">
      <w:pPr>
        <w:jc w:val="both"/>
        <w:rPr>
          <w:bCs/>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numPr>
          <w:ilvl w:val="0"/>
          <w:numId w:val="49"/>
        </w:numPr>
        <w:contextualSpacing/>
        <w:jc w:val="both"/>
        <w:rPr>
          <w:b/>
        </w:rPr>
      </w:pPr>
      <w:r w:rsidRPr="00E71996">
        <w:rPr>
          <w:b/>
        </w:rPr>
        <w:t>K čl. I bod 87 ( § 66c ods. 5 )</w:t>
      </w:r>
    </w:p>
    <w:p w:rsidR="00E71996" w:rsidRPr="00E71996" w:rsidP="00E71996">
      <w:pPr>
        <w:ind w:firstLine="708"/>
        <w:jc w:val="both"/>
        <w:rPr>
          <w:bCs/>
        </w:rPr>
      </w:pPr>
      <w:r w:rsidRPr="00E71996">
        <w:rPr>
          <w:bCs/>
        </w:rPr>
        <w:t>V § 66c ods. 5 v treťom riadku sa slová „písm. b)“ nahrádzajú slovami „písm. c)“.</w:t>
      </w:r>
    </w:p>
    <w:p w:rsidR="00E71996" w:rsidRPr="00E71996" w:rsidP="00E71996">
      <w:pPr>
        <w:ind w:left="2835"/>
        <w:jc w:val="both"/>
        <w:rPr>
          <w:bCs/>
        </w:rPr>
      </w:pPr>
    </w:p>
    <w:p w:rsidR="00E71996" w:rsidRPr="00E71996" w:rsidP="00E71996">
      <w:pPr>
        <w:ind w:left="2832"/>
        <w:jc w:val="both"/>
        <w:rPr>
          <w:bCs/>
        </w:rPr>
      </w:pPr>
      <w:r w:rsidRPr="00E71996">
        <w:rPr>
          <w:bCs/>
        </w:rPr>
        <w:t>Ide o nahradenie nesprávneho vnútorného odkazu  na § 66c ods. 3 písm. b) odkazom na § 66c ods. 3 písm. c), v ktorom je ako jednou z náležitostí žiadosti o povolenie na činnosť neeurópskej správcovskej spoločnosti uvedený 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numPr>
          <w:ilvl w:val="0"/>
          <w:numId w:val="49"/>
        </w:numPr>
        <w:spacing w:after="200" w:line="276" w:lineRule="auto"/>
        <w:jc w:val="both"/>
        <w:rPr>
          <w:bCs/>
          <w:lang w:eastAsia="en-US"/>
        </w:rPr>
      </w:pPr>
      <w:r w:rsidRPr="00E71996">
        <w:rPr>
          <w:b/>
          <w:bCs/>
          <w:lang w:eastAsia="en-US"/>
        </w:rPr>
        <w:t>K čl. I v bode 87</w:t>
      </w:r>
      <w:r w:rsidRPr="00E71996">
        <w:rPr>
          <w:bCs/>
          <w:lang w:eastAsia="en-US"/>
        </w:rPr>
        <w:t xml:space="preserve"> poznámka pod čiarou k odkazu 45a znie:</w:t>
      </w:r>
    </w:p>
    <w:p w:rsidR="00E71996" w:rsidRPr="00E71996" w:rsidP="00E71996">
      <w:pPr>
        <w:ind w:left="709"/>
        <w:jc w:val="both"/>
        <w:rPr>
          <w:iCs/>
          <w:lang w:eastAsia="en-US"/>
        </w:rPr>
      </w:pPr>
      <w:r w:rsidRPr="00E71996">
        <w:rPr>
          <w:bCs/>
          <w:lang w:eastAsia="en-US"/>
        </w:rPr>
        <w:t>„</w:t>
      </w:r>
      <w:r w:rsidRPr="00E71996">
        <w:rPr>
          <w:bCs/>
          <w:vertAlign w:val="superscript"/>
          <w:lang w:eastAsia="en-US"/>
        </w:rPr>
        <w:t>45a</w:t>
      </w:r>
      <w:r w:rsidRPr="00E71996">
        <w:rPr>
          <w:bCs/>
          <w:lang w:eastAsia="en-US"/>
        </w:rPr>
        <w:t>) Čl. 16 nariadenia Európskeho parlamentu a Rady (EÚ) č. 1095/2010 z 24. novembra 2010, ktorým sa zriaďuje Európsky orgán dohľadu (Európsky orgán pre cenné papiere a trhy) a ktorým sa mení a dopĺňa rozhodnutie č. 716/2009/ES a zrušuje rozhodnutie Komisie 2009/77/ES (</w:t>
      </w:r>
      <w:r w:rsidRPr="00E71996">
        <w:rPr>
          <w:iCs/>
          <w:lang w:eastAsia="en-US"/>
        </w:rPr>
        <w:t>Ú. v. EÚ L 331, 15.12.2010) v platnom znení.“.</w:t>
      </w:r>
    </w:p>
    <w:p w:rsidR="00E71996" w:rsidRPr="00E71996" w:rsidP="00E71996">
      <w:pPr>
        <w:jc w:val="both"/>
        <w:rPr>
          <w:iCs/>
          <w:lang w:eastAsia="en-US"/>
        </w:rPr>
      </w:pPr>
    </w:p>
    <w:p w:rsidR="00E71996" w:rsidRPr="00E71996" w:rsidP="00E71996">
      <w:pPr>
        <w:tabs>
          <w:tab w:val="left" w:pos="2835"/>
        </w:tabs>
        <w:jc w:val="both"/>
        <w:rPr>
          <w:iCs/>
          <w:lang w:eastAsia="en-US"/>
        </w:rPr>
      </w:pPr>
      <w:r>
        <w:rPr>
          <w:iCs/>
          <w:lang w:eastAsia="en-US"/>
        </w:rPr>
        <w:tab/>
      </w:r>
      <w:r w:rsidRPr="00E71996">
        <w:rPr>
          <w:iCs/>
          <w:lang w:eastAsia="en-US"/>
        </w:rPr>
        <w:t>Ide o spresnenie poznámky pod čiarou.</w:t>
      </w:r>
    </w:p>
    <w:p w:rsidR="00E71996" w:rsidP="00E71996">
      <w:pPr>
        <w:jc w:val="both"/>
        <w:rPr>
          <w:bCs/>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spacing w:after="200" w:line="276" w:lineRule="auto"/>
        <w:jc w:val="both"/>
        <w:rPr>
          <w:bCs/>
          <w:lang w:eastAsia="en-US"/>
        </w:rPr>
      </w:pPr>
      <w:r w:rsidRPr="00E71996">
        <w:rPr>
          <w:b/>
          <w:bCs/>
          <w:lang w:eastAsia="en-US"/>
        </w:rPr>
        <w:t>K čl. I v bode 91</w:t>
      </w:r>
      <w:r w:rsidRPr="00E71996">
        <w:rPr>
          <w:bCs/>
          <w:lang w:eastAsia="en-US"/>
        </w:rPr>
        <w:t xml:space="preserve"> v § 70 ods. 4 písm. e) sa slová „§ 82a ods. 2 až 4“ nahrádzajú slovami „§ 80a ods. 2 až 4“.</w:t>
      </w:r>
    </w:p>
    <w:p w:rsidR="00E71996" w:rsidRPr="00E71996" w:rsidP="00E71996">
      <w:pPr>
        <w:tabs>
          <w:tab w:val="left" w:pos="2835"/>
        </w:tabs>
        <w:jc w:val="both"/>
        <w:rPr>
          <w:bCs/>
          <w:lang w:eastAsia="en-US"/>
        </w:rPr>
      </w:pPr>
      <w:r>
        <w:rPr>
          <w:bCs/>
          <w:lang w:eastAsia="en-US"/>
        </w:rPr>
        <w:tab/>
      </w:r>
      <w:r w:rsidRPr="00E71996">
        <w:rPr>
          <w:bCs/>
          <w:lang w:eastAsia="en-US"/>
        </w:rPr>
        <w:t>Ide o spresnenie vnútorného odkazu.</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spacing w:after="200" w:line="276" w:lineRule="auto"/>
        <w:jc w:val="both"/>
        <w:rPr>
          <w:bCs/>
          <w:lang w:eastAsia="en-US"/>
        </w:rPr>
      </w:pPr>
      <w:r w:rsidRPr="00E71996">
        <w:rPr>
          <w:b/>
          <w:bCs/>
          <w:lang w:eastAsia="en-US"/>
        </w:rPr>
        <w:t>K čl. I v bode 119</w:t>
      </w:r>
      <w:r w:rsidRPr="00E71996">
        <w:rPr>
          <w:bCs/>
          <w:lang w:eastAsia="en-US"/>
        </w:rPr>
        <w:t xml:space="preserve"> v § 94 ods. 2 sa slová „</w:t>
      </w:r>
      <w:r w:rsidRPr="00E71996">
        <w:rPr>
          <w:lang w:eastAsia="en-US"/>
        </w:rPr>
        <w:t>iných nástrojov“ nahrádzajú slovami „obdobných zahraničných finančných nástrojov“.</w:t>
      </w:r>
    </w:p>
    <w:p w:rsidR="00E71996" w:rsidRPr="00E71996" w:rsidP="00E71996">
      <w:pPr>
        <w:ind w:left="3969"/>
        <w:jc w:val="both"/>
        <w:rPr>
          <w:u w:val="single"/>
          <w:lang w:eastAsia="en-US"/>
        </w:rPr>
      </w:pPr>
    </w:p>
    <w:p w:rsidR="00E71996" w:rsidRPr="00E71996" w:rsidP="00E71996">
      <w:pPr>
        <w:ind w:left="2835"/>
        <w:jc w:val="both"/>
        <w:rPr>
          <w:lang w:eastAsia="en-US"/>
        </w:rPr>
      </w:pPr>
      <w:r w:rsidRPr="00E71996">
        <w:rPr>
          <w:lang w:eastAsia="en-US"/>
        </w:rPr>
        <w:t xml:space="preserve">Navrhovaný zákaz obchádzania pravidiel a limitov na obmedzenie a rozloženie rizika je relevantný len vo vzťahu k cenným papierom podielových fondov špeciálnych podielových fondov kvalifikovaných investorov a obdobným zahraničným finančným nástrojom, ako sú napríklad obdobné zahraničné alternatívne investičné fondy. Tento zákaz nie je relevantný vo vzťahu k štandardným podielovým fondom, verejným špeciálnym podielovým fondom a vo vzťahu k iným nástrojom, ktorých podkladové portfóliá sú diverzifikované. </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3969"/>
        <w:jc w:val="both"/>
        <w:rPr>
          <w:lang w:eastAsia="en-US"/>
        </w:rPr>
      </w:pPr>
    </w:p>
    <w:p w:rsidR="00E71996" w:rsidRPr="00E71996" w:rsidP="00E71996">
      <w:pPr>
        <w:numPr>
          <w:ilvl w:val="0"/>
          <w:numId w:val="49"/>
        </w:numPr>
        <w:autoSpaceDE w:val="0"/>
        <w:autoSpaceDN w:val="0"/>
        <w:adjustRightInd w:val="0"/>
        <w:spacing w:after="200" w:line="276" w:lineRule="auto"/>
        <w:jc w:val="both"/>
        <w:rPr>
          <w:bCs/>
          <w:lang w:eastAsia="en-US"/>
        </w:rPr>
      </w:pPr>
      <w:r w:rsidRPr="00E71996">
        <w:rPr>
          <w:b/>
          <w:bCs/>
          <w:lang w:eastAsia="en-US"/>
        </w:rPr>
        <w:t>K čl. I za dotera</w:t>
      </w:r>
      <w:r w:rsidRPr="00E71996">
        <w:rPr>
          <w:b/>
          <w:bCs/>
          <w:lang w:eastAsia="en-US"/>
        </w:rPr>
        <w:t>jší bod 146</w:t>
      </w:r>
      <w:r w:rsidRPr="00E71996">
        <w:rPr>
          <w:bCs/>
          <w:lang w:eastAsia="en-US"/>
        </w:rPr>
        <w:t xml:space="preserve"> sa vkladajú nové body 147 až 149, ktoré znejú:</w:t>
      </w:r>
    </w:p>
    <w:p w:rsidR="00E71996" w:rsidRPr="00E71996" w:rsidP="00E71996">
      <w:pPr>
        <w:autoSpaceDE w:val="0"/>
        <w:autoSpaceDN w:val="0"/>
        <w:adjustRightInd w:val="0"/>
        <w:ind w:firstLine="709"/>
        <w:jc w:val="both"/>
        <w:rPr>
          <w:color w:val="231F20"/>
          <w:lang w:eastAsia="en-US"/>
        </w:rPr>
      </w:pPr>
      <w:r w:rsidRPr="00E71996">
        <w:rPr>
          <w:bCs/>
          <w:lang w:eastAsia="en-US"/>
        </w:rPr>
        <w:t xml:space="preserve">„147. </w:t>
      </w:r>
      <w:r w:rsidRPr="00E71996">
        <w:rPr>
          <w:color w:val="231F20"/>
          <w:lang w:eastAsia="en-US"/>
        </w:rPr>
        <w:t>V § 129 ods. 1 sa vypúšťa písmeno a).</w:t>
      </w:r>
    </w:p>
    <w:p w:rsidR="00E71996" w:rsidRPr="00E71996" w:rsidP="00E71996">
      <w:pPr>
        <w:autoSpaceDE w:val="0"/>
        <w:autoSpaceDN w:val="0"/>
        <w:adjustRightInd w:val="0"/>
        <w:jc w:val="both"/>
        <w:rPr>
          <w:color w:val="231F20"/>
          <w:lang w:eastAsia="en-US"/>
        </w:rPr>
      </w:pPr>
      <w:r w:rsidRPr="00E71996">
        <w:rPr>
          <w:color w:val="231F20"/>
          <w:lang w:eastAsia="en-US"/>
        </w:rPr>
        <w:t xml:space="preserve"> </w:t>
      </w:r>
    </w:p>
    <w:p w:rsidR="00E71996" w:rsidRPr="00E71996" w:rsidP="00E71996">
      <w:pPr>
        <w:autoSpaceDE w:val="0"/>
        <w:autoSpaceDN w:val="0"/>
        <w:adjustRightInd w:val="0"/>
        <w:ind w:firstLine="709"/>
        <w:jc w:val="both"/>
        <w:rPr>
          <w:color w:val="231F20"/>
          <w:lang w:eastAsia="en-US"/>
        </w:rPr>
      </w:pPr>
      <w:r w:rsidRPr="00E71996">
        <w:rPr>
          <w:color w:val="231F20"/>
          <w:lang w:eastAsia="en-US"/>
        </w:rPr>
        <w:t>Doterajšie písmená  b) až e)  sa označujú ako písmená a) až d).</w:t>
      </w:r>
    </w:p>
    <w:p w:rsidR="00E71996" w:rsidP="00E71996">
      <w:pPr>
        <w:jc w:val="both"/>
        <w:rPr>
          <w:bCs/>
          <w:lang w:eastAsia="en-US"/>
        </w:rPr>
      </w:pPr>
    </w:p>
    <w:p w:rsidR="00E71996" w:rsidRPr="00E71996" w:rsidP="00E71996">
      <w:pPr>
        <w:ind w:left="2832"/>
        <w:jc w:val="both"/>
        <w:rPr>
          <w:bCs/>
          <w:lang w:eastAsia="en-US"/>
        </w:rPr>
      </w:pPr>
      <w:r w:rsidRPr="00E71996">
        <w:rPr>
          <w:bCs/>
          <w:lang w:eastAsia="en-US"/>
        </w:rPr>
        <w:t>Ide o nevyh</w:t>
      </w:r>
      <w:r>
        <w:rPr>
          <w:bCs/>
          <w:lang w:eastAsia="en-US"/>
        </w:rPr>
        <w:t xml:space="preserve">ovujúcu a prekonanú požiadavku </w:t>
      </w:r>
      <w:r w:rsidRPr="00E71996">
        <w:rPr>
          <w:bCs/>
          <w:lang w:eastAsia="en-US"/>
        </w:rPr>
        <w:t>v podmienkach realitného trhu.</w:t>
      </w:r>
    </w:p>
    <w:p w:rsidR="00E71996" w:rsidRPr="00E71996" w:rsidP="00E71996">
      <w:pPr>
        <w:ind w:left="3545"/>
        <w:jc w:val="both"/>
        <w:rPr>
          <w:bCs/>
          <w:lang w:eastAsia="en-US"/>
        </w:rPr>
      </w:pPr>
    </w:p>
    <w:p w:rsidR="00E71996" w:rsidRPr="00E71996" w:rsidP="00E71996">
      <w:pPr>
        <w:ind w:firstLine="709"/>
        <w:jc w:val="both"/>
        <w:rPr>
          <w:lang w:eastAsia="en-US"/>
        </w:rPr>
      </w:pPr>
      <w:r w:rsidRPr="00E71996">
        <w:rPr>
          <w:lang w:eastAsia="en-US"/>
        </w:rPr>
        <w:t>148. V § 129</w:t>
      </w:r>
      <w:r w:rsidRPr="00E71996">
        <w:rPr>
          <w:lang w:eastAsia="en-US"/>
        </w:rPr>
        <w:t xml:space="preserve"> odsek 2 znie: </w:t>
      </w:r>
    </w:p>
    <w:p w:rsidR="00E71996" w:rsidRPr="00E71996" w:rsidP="00E71996">
      <w:pPr>
        <w:ind w:left="709"/>
        <w:jc w:val="both"/>
        <w:rPr>
          <w:lang w:eastAsia="en-US"/>
        </w:rPr>
      </w:pPr>
      <w:r w:rsidRPr="00E71996">
        <w:rPr>
          <w:lang w:eastAsia="en-US"/>
        </w:rPr>
        <w:t>„(2)</w:t>
      </w:r>
      <w:r w:rsidRPr="00E71996">
        <w:rPr>
          <w:color w:val="231F20"/>
          <w:lang w:eastAsia="en-US"/>
        </w:rPr>
        <w:t xml:space="preserve"> Ustanovenie odseku 1 písm. a) sa nepoužije, ak sa do majetku špeciálneho podielového fondu nehnuteľností upisujú akcie novovznikajúcej realitnej spoločnosti a táto realitná spoločnosť zatiaľ nemá v majetku žiadnu nehnuteľnosť</w:t>
      </w:r>
      <w:r w:rsidRPr="00E71996">
        <w:rPr>
          <w:lang w:eastAsia="en-US"/>
        </w:rPr>
        <w:t>.“.</w:t>
      </w:r>
    </w:p>
    <w:p w:rsidR="00E71996" w:rsidRPr="00E71996" w:rsidP="00E71996">
      <w:pPr>
        <w:ind w:left="3545"/>
        <w:jc w:val="both"/>
        <w:rPr>
          <w:bCs/>
          <w:u w:val="single"/>
          <w:lang w:eastAsia="en-US"/>
        </w:rPr>
      </w:pPr>
      <w:r w:rsidRPr="00E71996">
        <w:rPr>
          <w:bCs/>
          <w:lang w:eastAsia="en-US"/>
        </w:rPr>
        <w:t xml:space="preserve">   </w:t>
      </w:r>
    </w:p>
    <w:p w:rsidR="00E71996" w:rsidRPr="00E71996" w:rsidP="00E71996">
      <w:pPr>
        <w:ind w:left="2124" w:firstLine="708"/>
        <w:jc w:val="both"/>
        <w:rPr>
          <w:bCs/>
          <w:lang w:eastAsia="en-US"/>
        </w:rPr>
      </w:pPr>
      <w:r w:rsidRPr="00E71996">
        <w:rPr>
          <w:bCs/>
          <w:lang w:eastAsia="en-US"/>
        </w:rPr>
        <w:t>Na</w:t>
      </w:r>
      <w:r w:rsidRPr="00E71996">
        <w:rPr>
          <w:bCs/>
          <w:lang w:eastAsia="en-US"/>
        </w:rPr>
        <w:t>vrhovaná zmena súvisí s navrhovanou zmenou § 129 ods. 1.</w:t>
      </w:r>
    </w:p>
    <w:p w:rsidR="00E71996" w:rsidRPr="00E71996" w:rsidP="00E71996">
      <w:pPr>
        <w:ind w:left="3545"/>
        <w:jc w:val="both"/>
        <w:rPr>
          <w:bCs/>
          <w:lang w:eastAsia="en-US"/>
        </w:rPr>
      </w:pPr>
      <w:r w:rsidRPr="00E71996">
        <w:rPr>
          <w:bCs/>
          <w:lang w:eastAsia="en-US"/>
        </w:rPr>
        <w:tab/>
      </w:r>
    </w:p>
    <w:p w:rsidR="00E71996" w:rsidRPr="00E71996" w:rsidP="00E71996">
      <w:pPr>
        <w:autoSpaceDE w:val="0"/>
        <w:autoSpaceDN w:val="0"/>
        <w:adjustRightInd w:val="0"/>
        <w:ind w:left="709"/>
        <w:jc w:val="both"/>
        <w:rPr>
          <w:color w:val="231F20"/>
          <w:lang w:eastAsia="en-US"/>
        </w:rPr>
      </w:pPr>
      <w:r w:rsidRPr="00E71996">
        <w:rPr>
          <w:bCs/>
          <w:lang w:eastAsia="en-US"/>
        </w:rPr>
        <w:t xml:space="preserve">149. </w:t>
      </w:r>
      <w:r w:rsidRPr="00E71996">
        <w:rPr>
          <w:color w:val="231F20"/>
          <w:lang w:eastAsia="en-US"/>
        </w:rPr>
        <w:t>V § 129 ods. 4 sa slová „v odseku 1 písm. c) a e)“ nahrádzajú slovami „v odseku 1 písm. b) a d)“.“.</w:t>
      </w:r>
    </w:p>
    <w:p w:rsidR="00E71996" w:rsidRPr="00E71996" w:rsidP="00E71996">
      <w:pPr>
        <w:ind w:left="3545"/>
        <w:jc w:val="both"/>
        <w:rPr>
          <w:bCs/>
          <w:u w:val="single"/>
          <w:lang w:eastAsia="en-US"/>
        </w:rPr>
      </w:pPr>
      <w:r w:rsidRPr="00E71996">
        <w:rPr>
          <w:bCs/>
          <w:lang w:eastAsia="en-US"/>
        </w:rPr>
        <w:t xml:space="preserve">       </w:t>
      </w:r>
    </w:p>
    <w:p w:rsidR="00E71996" w:rsidRPr="00E71996" w:rsidP="00E71996">
      <w:pPr>
        <w:ind w:left="2124" w:firstLine="708"/>
        <w:jc w:val="both"/>
        <w:rPr>
          <w:bCs/>
          <w:lang w:eastAsia="en-US"/>
        </w:rPr>
      </w:pPr>
      <w:r w:rsidRPr="00E71996">
        <w:rPr>
          <w:bCs/>
          <w:lang w:eastAsia="en-US"/>
        </w:rPr>
        <w:t xml:space="preserve">Navrhovaná zmena súvisí s navrhovanou zmenou § 129 ods. 1. </w:t>
      </w:r>
    </w:p>
    <w:p w:rsidR="00E71996" w:rsidRPr="00E71996" w:rsidP="00E71996">
      <w:pPr>
        <w:jc w:val="both"/>
        <w:rPr>
          <w:bCs/>
          <w:lang w:eastAsia="en-US"/>
        </w:rPr>
      </w:pPr>
    </w:p>
    <w:p w:rsidR="00E71996" w:rsidRPr="00E71996" w:rsidP="00E71996">
      <w:pPr>
        <w:ind w:left="66" w:firstLine="643"/>
        <w:jc w:val="both"/>
        <w:rPr>
          <w:lang w:eastAsia="en-US"/>
        </w:rPr>
      </w:pPr>
      <w:r w:rsidRPr="00E71996">
        <w:rPr>
          <w:lang w:eastAsia="en-US"/>
        </w:rPr>
        <w:t>Doterajšie body 147 až 228 je potrebné primerane prečíslovať.</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contextualSpacing/>
        <w:jc w:val="both"/>
        <w:rPr>
          <w:b/>
        </w:rPr>
      </w:pPr>
      <w:r w:rsidRPr="00E71996">
        <w:rPr>
          <w:b/>
        </w:rPr>
        <w:t xml:space="preserve">K čl. I bod 174 (§ 159a ods. 1 písm. g) </w:t>
      </w:r>
    </w:p>
    <w:p w:rsidR="00E71996" w:rsidRPr="00E71996" w:rsidP="00E71996">
      <w:pPr>
        <w:ind w:firstLine="567"/>
        <w:jc w:val="both"/>
        <w:rPr>
          <w:bCs/>
        </w:rPr>
      </w:pPr>
      <w:r w:rsidRPr="00E71996">
        <w:rPr>
          <w:bCs/>
        </w:rPr>
        <w:t xml:space="preserve"> </w:t>
        <w:tab/>
        <w:t xml:space="preserve">V § 159a ods. 1 písm. g) sa slová „§ 37b“ nahrádzajú slovami „§ 37c“. </w:t>
      </w:r>
    </w:p>
    <w:p w:rsidR="00E71996" w:rsidRPr="00E71996" w:rsidP="00E71996">
      <w:pPr>
        <w:ind w:left="2835"/>
        <w:jc w:val="both"/>
        <w:rPr>
          <w:bCs/>
        </w:rPr>
      </w:pPr>
    </w:p>
    <w:p w:rsidR="00E71996" w:rsidRPr="00E71996" w:rsidP="00E71996">
      <w:pPr>
        <w:ind w:left="2832"/>
        <w:jc w:val="both"/>
        <w:rPr>
          <w:bCs/>
        </w:rPr>
      </w:pPr>
      <w:r w:rsidRPr="00E71996">
        <w:rPr>
          <w:bCs/>
        </w:rPr>
        <w:t>Ide o precizovanie navrhovaného znenia § 159a ods. 1 písm. g)  spresnením  vnútorného odkazu  na ustanovenie § 37c návrhu zákona, v ktorom sa upravujú postupy a spôsoby určovania hodnoty majetku tuzemského subjektu kolektívneho investovania vrátane metód používaných pri určovaní hodnoty ťažko oceniteľných aktív.</w:t>
      </w:r>
    </w:p>
    <w:p w:rsidR="00E71996" w:rsidRPr="00E71996" w:rsidP="00E71996">
      <w:pPr>
        <w:ind w:left="2835"/>
        <w:jc w:val="both"/>
        <w:rPr>
          <w:bC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2835"/>
        <w:jc w:val="both"/>
        <w:rPr>
          <w:bCs/>
        </w:rPr>
      </w:pPr>
    </w:p>
    <w:p w:rsidR="00E71996" w:rsidRPr="00E71996" w:rsidP="00E71996">
      <w:pPr>
        <w:ind w:left="2835"/>
        <w:jc w:val="both"/>
        <w:rPr>
          <w:bCs/>
        </w:rPr>
      </w:pPr>
    </w:p>
    <w:p w:rsidR="00E71996" w:rsidRPr="00E71996" w:rsidP="00E71996">
      <w:pPr>
        <w:numPr>
          <w:ilvl w:val="0"/>
          <w:numId w:val="49"/>
        </w:numPr>
        <w:tabs>
          <w:tab w:val="left" w:pos="709"/>
        </w:tabs>
        <w:contextualSpacing/>
        <w:jc w:val="both"/>
        <w:rPr>
          <w:b/>
        </w:rPr>
      </w:pPr>
      <w:r w:rsidRPr="00E71996">
        <w:rPr>
          <w:b/>
        </w:rPr>
        <w:t>K čl. I bod 178 (§ 160a ods. 2)</w:t>
      </w:r>
    </w:p>
    <w:p w:rsidR="00E71996" w:rsidRPr="00E71996" w:rsidP="00E71996">
      <w:pPr>
        <w:ind w:left="708"/>
        <w:jc w:val="both"/>
        <w:rPr>
          <w:bCs/>
        </w:rPr>
      </w:pPr>
      <w:r w:rsidRPr="00E71996">
        <w:rPr>
          <w:bCs/>
        </w:rPr>
        <w:t>V § 160a ods. 2 v treťom a piatom riadku  sa slová „osobitného zákona</w:t>
      </w:r>
      <w:r w:rsidRPr="00E71996">
        <w:rPr>
          <w:bCs/>
        </w:rPr>
        <w:t xml:space="preserve">“ nahrádzajú slovami „osobitného predpisu“. </w:t>
      </w:r>
    </w:p>
    <w:p w:rsidR="00E71996" w:rsidRPr="00E71996" w:rsidP="00E71996">
      <w:pPr>
        <w:ind w:left="2835"/>
        <w:jc w:val="both"/>
        <w:rPr>
          <w:bCs/>
        </w:rPr>
      </w:pPr>
    </w:p>
    <w:p w:rsidR="00E71996" w:rsidRPr="00E71996" w:rsidP="00E71996">
      <w:pPr>
        <w:ind w:left="2832"/>
        <w:jc w:val="both"/>
        <w:rPr>
          <w:bCs/>
        </w:rPr>
      </w:pPr>
      <w:r w:rsidRPr="00E71996">
        <w:rPr>
          <w:bCs/>
        </w:rPr>
        <w:t>Ide o legislatívno-technickú  úpravu v súlade s 18. bodom Legislatívnotechnických pokynov (Príloha č. 2 k legislatívnym pravidlám tvorby zákonov  č. 19/1997 Z. z.)</w:t>
      </w:r>
    </w:p>
    <w:p w:rsidR="00E71996" w:rsidRPr="00700EC2" w:rsidP="00E71996">
      <w:pPr>
        <w:spacing w:before="120"/>
        <w:ind w:left="2124" w:firstLine="708"/>
        <w:jc w:val="both"/>
        <w:rPr>
          <w:b/>
        </w:rPr>
      </w:pPr>
      <w:r w:rsidRPr="00700EC2">
        <w:rPr>
          <w:b/>
        </w:rPr>
        <w:t xml:space="preserve">Výbor NR SR pre financie a rozpočet           </w:t>
      </w:r>
      <w:r w:rsidRPr="00700EC2">
        <w:rPr>
          <w:b/>
        </w:rPr>
        <w:t xml:space="preserve">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numPr>
          <w:ilvl w:val="0"/>
          <w:numId w:val="49"/>
        </w:numPr>
        <w:spacing w:after="200" w:line="276" w:lineRule="auto"/>
        <w:jc w:val="both"/>
        <w:rPr>
          <w:iCs/>
          <w:lang w:eastAsia="en-US"/>
        </w:rPr>
      </w:pPr>
      <w:r w:rsidRPr="00E71996">
        <w:rPr>
          <w:b/>
          <w:bCs/>
          <w:lang w:eastAsia="en-US"/>
        </w:rPr>
        <w:t>K čl. I z</w:t>
      </w:r>
      <w:r w:rsidRPr="00E71996">
        <w:rPr>
          <w:b/>
          <w:iCs/>
          <w:lang w:eastAsia="en-US"/>
        </w:rPr>
        <w:t>a doterajší bod 211</w:t>
      </w:r>
      <w:r w:rsidRPr="00E71996">
        <w:rPr>
          <w:iCs/>
          <w:lang w:eastAsia="en-US"/>
        </w:rPr>
        <w:t xml:space="preserve"> sa vkladá nový bod 212, ktorý znie:</w:t>
      </w:r>
    </w:p>
    <w:p w:rsidR="00E71996" w:rsidRPr="00E71996" w:rsidP="00E71996">
      <w:pPr>
        <w:ind w:firstLine="709"/>
        <w:jc w:val="both"/>
        <w:rPr>
          <w:bCs/>
          <w:lang w:eastAsia="en-US"/>
        </w:rPr>
      </w:pPr>
      <w:r w:rsidRPr="00E71996">
        <w:rPr>
          <w:bCs/>
          <w:lang w:eastAsia="en-US"/>
        </w:rPr>
        <w:t>„212. Poznámka pod čiarou k odkazu 88 znie:</w:t>
      </w:r>
    </w:p>
    <w:p w:rsidR="00E71996" w:rsidRPr="00E71996" w:rsidP="00E71996">
      <w:pPr>
        <w:ind w:firstLine="709"/>
        <w:jc w:val="both"/>
        <w:rPr>
          <w:bCs/>
          <w:lang w:eastAsia="en-US"/>
        </w:rPr>
      </w:pPr>
      <w:r w:rsidRPr="00E71996">
        <w:rPr>
          <w:bCs/>
          <w:lang w:eastAsia="en-US"/>
        </w:rPr>
        <w:t>„</w:t>
      </w:r>
      <w:r w:rsidRPr="00E71996">
        <w:rPr>
          <w:bCs/>
          <w:vertAlign w:val="superscript"/>
          <w:lang w:eastAsia="en-US"/>
        </w:rPr>
        <w:t>88</w:t>
      </w:r>
      <w:r w:rsidRPr="00E71996">
        <w:rPr>
          <w:bCs/>
          <w:lang w:eastAsia="en-US"/>
        </w:rPr>
        <w:t>) Čl. 19 nariadenia (EÚ) č. 1095/2010.“.“.</w:t>
      </w:r>
    </w:p>
    <w:p w:rsidR="00E71996" w:rsidRPr="00E71996" w:rsidP="00E71996">
      <w:pPr>
        <w:jc w:val="both"/>
        <w:rPr>
          <w:bCs/>
          <w:lang w:eastAsia="en-US"/>
        </w:rPr>
      </w:pPr>
    </w:p>
    <w:p w:rsidR="00E71996" w:rsidRPr="00E71996" w:rsidP="00E71996">
      <w:pPr>
        <w:rPr>
          <w:iCs/>
          <w:lang w:eastAsia="en-US"/>
        </w:rPr>
      </w:pPr>
      <w:r>
        <w:rPr>
          <w:bCs/>
          <w:lang w:eastAsia="en-US"/>
        </w:rPr>
        <w:tab/>
        <w:tab/>
        <w:tab/>
        <w:tab/>
      </w:r>
      <w:r w:rsidRPr="00E71996">
        <w:rPr>
          <w:iCs/>
          <w:lang w:eastAsia="en-US"/>
        </w:rPr>
        <w:t>Ide o úpravu poznámky pod čiarou v nadväznos</w:t>
      </w:r>
      <w:r w:rsidRPr="00E71996">
        <w:rPr>
          <w:iCs/>
          <w:lang w:eastAsia="en-US"/>
        </w:rPr>
        <w:t>ti na bod 5.</w:t>
      </w:r>
    </w:p>
    <w:p w:rsidR="00E71996" w:rsidRPr="00E71996" w:rsidP="00E71996">
      <w:pPr>
        <w:ind w:left="66"/>
        <w:jc w:val="both"/>
        <w:rPr>
          <w:iCs/>
          <w:lang w:eastAsia="en-US"/>
        </w:rPr>
      </w:pPr>
    </w:p>
    <w:p w:rsidR="00E71996" w:rsidRPr="00E71996" w:rsidP="00E71996">
      <w:pPr>
        <w:ind w:left="66" w:firstLine="642"/>
        <w:jc w:val="both"/>
        <w:rPr>
          <w:lang w:eastAsia="en-US"/>
        </w:rPr>
      </w:pPr>
      <w:r w:rsidRPr="00E71996">
        <w:rPr>
          <w:lang w:eastAsia="en-US"/>
        </w:rPr>
        <w:t>Doterajšie body 212 až 228 je potrebné primerane prečíslovať.</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spacing w:after="200" w:line="276" w:lineRule="auto"/>
        <w:jc w:val="both"/>
        <w:rPr>
          <w:bCs/>
          <w:lang w:eastAsia="en-US"/>
        </w:rPr>
      </w:pPr>
      <w:r w:rsidRPr="00E71996">
        <w:rPr>
          <w:b/>
          <w:bCs/>
          <w:lang w:eastAsia="en-US"/>
        </w:rPr>
        <w:t>K čl. I za doterajší bod 215</w:t>
      </w:r>
      <w:r w:rsidRPr="00E71996">
        <w:rPr>
          <w:bCs/>
          <w:lang w:eastAsia="en-US"/>
        </w:rPr>
        <w:t xml:space="preserve"> sa vkladá nový bod 216, ktorý znie:</w:t>
      </w:r>
    </w:p>
    <w:p w:rsidR="00E71996" w:rsidRPr="00E71996" w:rsidP="00E71996">
      <w:pPr>
        <w:ind w:left="709"/>
        <w:jc w:val="both"/>
        <w:rPr>
          <w:lang w:eastAsia="en-US"/>
        </w:rPr>
      </w:pPr>
      <w:r w:rsidRPr="00E71996">
        <w:rPr>
          <w:lang w:eastAsia="en-US"/>
        </w:rPr>
        <w:t>„216. V § 202 ods. 6 sa za štvrtú vetu vkladá nová piata veta, ktorá znie: „Premlčacie lehoty podľa prvej až štvrtej vety sa prerušujú, keď nastala skutočnosť zakladajúca prerušenie lehoty podľa osobitného zákona,</w:t>
      </w:r>
      <w:r w:rsidRPr="00E71996">
        <w:rPr>
          <w:vertAlign w:val="superscript"/>
          <w:lang w:eastAsia="en-US"/>
        </w:rPr>
        <w:t>90a</w:t>
      </w:r>
      <w:r w:rsidRPr="00E71996">
        <w:rPr>
          <w:lang w:eastAsia="en-US"/>
        </w:rPr>
        <w:t>) pričom od prerušenia premlčania začína plynúť nová premlčacia lehota.“.</w:t>
      </w:r>
    </w:p>
    <w:p w:rsidR="00E71996" w:rsidRPr="00E71996" w:rsidP="00E71996">
      <w:pPr>
        <w:ind w:firstLine="709"/>
        <w:jc w:val="both"/>
        <w:rPr>
          <w:lang w:eastAsia="en-US"/>
        </w:rPr>
      </w:pPr>
      <w:r w:rsidRPr="00E71996">
        <w:rPr>
          <w:lang w:eastAsia="en-US"/>
        </w:rPr>
        <w:t xml:space="preserve">Poznámka pod čiarou k odkazu 90a znie: </w:t>
      </w:r>
    </w:p>
    <w:p w:rsidR="00E71996" w:rsidRPr="00E71996" w:rsidP="00E71996">
      <w:pPr>
        <w:ind w:firstLine="709"/>
        <w:jc w:val="both"/>
        <w:rPr>
          <w:lang w:eastAsia="en-US"/>
        </w:rPr>
      </w:pPr>
      <w:r w:rsidRPr="00E71996">
        <w:rPr>
          <w:lang w:eastAsia="en-US"/>
        </w:rPr>
        <w:t>„</w:t>
      </w:r>
      <w:r w:rsidRPr="00E71996">
        <w:rPr>
          <w:vertAlign w:val="superscript"/>
          <w:lang w:eastAsia="en-US"/>
        </w:rPr>
        <w:t>90a</w:t>
      </w:r>
      <w:r w:rsidRPr="00E71996">
        <w:rPr>
          <w:lang w:eastAsia="en-US"/>
        </w:rPr>
        <w:t>) § 19 ods. 4 zákona č. 747/2004 Z. z. v znení neskorších predpisov.“.</w:t>
      </w:r>
    </w:p>
    <w:p w:rsidR="00E71996" w:rsidRPr="00E71996" w:rsidP="00E71996">
      <w:pPr>
        <w:ind w:left="3545"/>
        <w:jc w:val="both"/>
        <w:rPr>
          <w:bCs/>
          <w:u w:val="single"/>
          <w:lang w:eastAsia="en-US"/>
        </w:rPr>
      </w:pPr>
      <w:r w:rsidRPr="00E71996">
        <w:rPr>
          <w:bCs/>
          <w:lang w:eastAsia="en-US"/>
        </w:rPr>
        <w:t xml:space="preserve">       </w:t>
      </w:r>
    </w:p>
    <w:p w:rsidR="00E71996" w:rsidRPr="00E71996" w:rsidP="00E71996">
      <w:pPr>
        <w:widowControl w:val="0"/>
        <w:autoSpaceDE w:val="0"/>
        <w:autoSpaceDN w:val="0"/>
        <w:adjustRightInd w:val="0"/>
        <w:ind w:left="2832"/>
        <w:jc w:val="both"/>
        <w:rPr>
          <w:lang w:eastAsia="en-US"/>
        </w:rPr>
      </w:pPr>
      <w:r w:rsidRPr="00E71996">
        <w:rPr>
          <w:lang w:eastAsia="en-US"/>
        </w:rPr>
        <w:t>Navrhovaným doplnením § 202 ods. 6 zákona o kolektívnom investovaní sa zabezpečuje harmonizácia a zjednotenie ustanovení tohto zákona s obdobnými ustanoveniami ďalších zákonov v oblasti finančného trhu [napríklad s ustanoveniami § 50 ods. 10 zákona o bankách (</w:t>
      </w:r>
      <w:r w:rsidRPr="00E71996">
        <w:rPr>
          <w:i/>
          <w:iCs/>
          <w:lang w:eastAsia="en-US"/>
        </w:rPr>
        <w:t>zákona č. 483/2001 Z. z. v znení zákona č. 132/2013 Z. z.</w:t>
      </w:r>
      <w:r w:rsidRPr="00E71996">
        <w:rPr>
          <w:lang w:eastAsia="en-US"/>
        </w:rPr>
        <w:t xml:space="preserve">), § 144 ods. 15 zákona </w:t>
      </w:r>
      <w:r w:rsidRPr="00E71996">
        <w:rPr>
          <w:color w:val="231F20"/>
          <w:lang w:eastAsia="en-US"/>
        </w:rPr>
        <w:t>o cenných papieroch a investičných službách</w:t>
      </w:r>
      <w:r w:rsidRPr="00E71996">
        <w:rPr>
          <w:lang w:eastAsia="en-US"/>
        </w:rPr>
        <w:t xml:space="preserve"> (</w:t>
      </w:r>
      <w:r w:rsidRPr="00E71996">
        <w:rPr>
          <w:i/>
          <w:iCs/>
          <w:lang w:eastAsia="en-US"/>
        </w:rPr>
        <w:t>zákona č. 566/2001 Z. z. v znení zákona č. 132/2013 Z. z.</w:t>
      </w:r>
      <w:r w:rsidRPr="00E71996">
        <w:rPr>
          <w:lang w:eastAsia="en-US"/>
        </w:rPr>
        <w:t>), § 67 ods. 10 zákona o poisťovníctve (</w:t>
      </w:r>
      <w:r w:rsidRPr="00E71996">
        <w:rPr>
          <w:i/>
          <w:iCs/>
          <w:lang w:eastAsia="en-US"/>
        </w:rPr>
        <w:t>zákona č. 8/2008 Z. z. v znení zákona č. 132/2013 Z. z.</w:t>
      </w:r>
      <w:r w:rsidRPr="00E71996">
        <w:rPr>
          <w:lang w:eastAsia="en-US"/>
        </w:rPr>
        <w:t xml:space="preserve">) a </w:t>
      </w:r>
      <w:r w:rsidRPr="00E71996">
        <w:rPr>
          <w:color w:val="000000"/>
          <w:lang w:eastAsia="en-US"/>
        </w:rPr>
        <w:t>§ 39 ods. 2 z</w:t>
      </w:r>
      <w:r w:rsidRPr="00E71996">
        <w:rPr>
          <w:lang w:eastAsia="en-US"/>
        </w:rPr>
        <w:t>ákona o finančnom sprostredkovaní a finančnom poradenstve (</w:t>
      </w:r>
      <w:r w:rsidRPr="00E71996">
        <w:rPr>
          <w:i/>
          <w:iCs/>
          <w:lang w:eastAsia="en-US"/>
        </w:rPr>
        <w:t>zákona č. 186/2009 Z. z. v znení zákona č. 132/2013 Z. z.</w:t>
      </w:r>
      <w:r w:rsidRPr="00E71996">
        <w:rPr>
          <w:lang w:eastAsia="en-US"/>
        </w:rPr>
        <w:t>)], pričom sa zároveň prispieva k zdokonaleniu legislatívnych predpokladov na zabezpečenie efektívneho a účinného výkonu dohľadu nad finančným trhom (vrátane dohľadu v oblasti kolektívneho investovania), čo patrí medzi principiálne požiadavky podľa európskych právnych noriem, ktoré sa týkajú finančných inštitúcií a dohľadu nad finančnými inštitúciami v jednotlivých oblastiach (sektoroch) finančného trhu. Navrhovaná legislatívna úprava je tiež inšpirovaná právnymi nástrojmi dohľadu podľa delegovaného nariadenia Komisie (EÚ) č.</w:t>
      </w:r>
      <w:r w:rsidRPr="00E71996">
        <w:rPr>
          <w:rFonts w:ascii="Times New Roman" w:hAnsi="Times New Roman"/>
          <w:lang w:eastAsia="en-US"/>
        </w:rPr>
        <w:t> </w:t>
      </w:r>
      <w:r w:rsidRPr="00E71996">
        <w:rPr>
          <w:lang w:eastAsia="en-US"/>
        </w:rPr>
        <w:t>946/2012 z 12.</w:t>
      </w:r>
      <w:r w:rsidRPr="00E71996">
        <w:rPr>
          <w:rFonts w:ascii="Times New Roman" w:hAnsi="Times New Roman"/>
          <w:lang w:eastAsia="en-US"/>
        </w:rPr>
        <w:t> </w:t>
      </w:r>
      <w:r w:rsidRPr="00E71996">
        <w:rPr>
          <w:lang w:eastAsia="en-US"/>
        </w:rPr>
        <w:t>7.</w:t>
      </w:r>
      <w:r w:rsidRPr="00E71996">
        <w:rPr>
          <w:rFonts w:ascii="Times New Roman" w:hAnsi="Times New Roman"/>
          <w:lang w:eastAsia="en-US"/>
        </w:rPr>
        <w:t> </w:t>
      </w:r>
      <w:r w:rsidRPr="00E71996">
        <w:rPr>
          <w:lang w:eastAsia="en-US"/>
        </w:rPr>
        <w:t>2012 (Ú.</w:t>
      </w:r>
      <w:r w:rsidRPr="00E71996">
        <w:rPr>
          <w:rFonts w:ascii="Times New Roman" w:hAnsi="Times New Roman"/>
          <w:lang w:eastAsia="en-US"/>
        </w:rPr>
        <w:t> </w:t>
      </w:r>
      <w:r w:rsidRPr="00E71996">
        <w:rPr>
          <w:lang w:eastAsia="en-US"/>
        </w:rPr>
        <w:t>v.</w:t>
      </w:r>
      <w:r w:rsidRPr="00E71996">
        <w:rPr>
          <w:rFonts w:ascii="Times New Roman" w:hAnsi="Times New Roman"/>
          <w:lang w:eastAsia="en-US"/>
        </w:rPr>
        <w:t> </w:t>
      </w:r>
      <w:r w:rsidRPr="00E71996">
        <w:rPr>
          <w:lang w:eastAsia="en-US"/>
        </w:rPr>
        <w:t>EÚ L</w:t>
      </w:r>
      <w:r w:rsidRPr="00E71996">
        <w:rPr>
          <w:rFonts w:ascii="Times New Roman" w:hAnsi="Times New Roman"/>
          <w:lang w:eastAsia="en-US"/>
        </w:rPr>
        <w:t> </w:t>
      </w:r>
      <w:r w:rsidRPr="00E71996">
        <w:rPr>
          <w:lang w:eastAsia="en-US"/>
        </w:rPr>
        <w:t>282, 16.</w:t>
      </w:r>
      <w:r w:rsidRPr="00E71996">
        <w:rPr>
          <w:rFonts w:ascii="Times New Roman" w:hAnsi="Times New Roman"/>
          <w:lang w:eastAsia="en-US"/>
        </w:rPr>
        <w:t> </w:t>
      </w:r>
      <w:r w:rsidRPr="00E71996">
        <w:rPr>
          <w:lang w:eastAsia="en-US"/>
        </w:rPr>
        <w:t>10.</w:t>
      </w:r>
      <w:r w:rsidRPr="00E71996">
        <w:rPr>
          <w:rFonts w:ascii="Times New Roman" w:hAnsi="Times New Roman"/>
          <w:lang w:eastAsia="en-US"/>
        </w:rPr>
        <w:t> </w:t>
      </w:r>
      <w:r w:rsidRPr="00E71996">
        <w:rPr>
          <w:lang w:eastAsia="en-US"/>
        </w:rPr>
        <w:t xml:space="preserve">2012), ktoré upravuje procesné pravidlá týkajúce sa pokút ukladaných ratingovým agentúram. </w:t>
      </w:r>
    </w:p>
    <w:p w:rsidR="00E71996" w:rsidRPr="00E71996" w:rsidP="00E71996">
      <w:pPr>
        <w:ind w:left="66"/>
        <w:jc w:val="both"/>
        <w:rPr>
          <w:lang w:eastAsia="en-US"/>
        </w:rPr>
      </w:pPr>
    </w:p>
    <w:p w:rsidR="00E71996" w:rsidRPr="00E71996" w:rsidP="00E71996">
      <w:pPr>
        <w:ind w:left="66"/>
        <w:jc w:val="both"/>
        <w:rPr>
          <w:lang w:eastAsia="en-US"/>
        </w:rPr>
      </w:pPr>
      <w:r w:rsidRPr="00E71996">
        <w:rPr>
          <w:lang w:eastAsia="en-US"/>
        </w:rPr>
        <w:t>Doterajšie body 216 až 228 je potrebné primerane prečíslovať.</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66"/>
        <w:jc w:val="both"/>
        <w:rPr>
          <w:lang w:eastAsia="en-US"/>
        </w:rPr>
      </w:pPr>
    </w:p>
    <w:p w:rsidR="00E71996" w:rsidRPr="00E71996" w:rsidP="00E71996">
      <w:pPr>
        <w:numPr>
          <w:ilvl w:val="0"/>
          <w:numId w:val="49"/>
        </w:numPr>
        <w:spacing w:after="200" w:line="276" w:lineRule="auto"/>
        <w:jc w:val="both"/>
        <w:rPr>
          <w:bCs/>
          <w:lang w:eastAsia="en-US"/>
        </w:rPr>
      </w:pPr>
      <w:r w:rsidRPr="00E71996">
        <w:rPr>
          <w:b/>
          <w:lang w:eastAsia="en-US"/>
        </w:rPr>
        <w:t>K čl. I v</w:t>
      </w:r>
      <w:r w:rsidRPr="00E71996">
        <w:rPr>
          <w:b/>
          <w:bCs/>
          <w:lang w:eastAsia="en-US"/>
        </w:rPr>
        <w:t> doterajšom bode 222</w:t>
      </w:r>
      <w:r w:rsidRPr="00E71996">
        <w:rPr>
          <w:bCs/>
          <w:lang w:eastAsia="en-US"/>
        </w:rPr>
        <w:t xml:space="preserve"> v § 210 ods. 6 sa slová „§ 46 ods. 5“ nahrádzajú slovami „§ 47 ods. 5“.</w:t>
      </w:r>
    </w:p>
    <w:p w:rsidR="00E71996" w:rsidRPr="00E71996" w:rsidP="00E71996">
      <w:pPr>
        <w:jc w:val="both"/>
        <w:rPr>
          <w:bCs/>
          <w:lang w:eastAsia="en-US"/>
        </w:rPr>
      </w:pPr>
      <w:r>
        <w:rPr>
          <w:bCs/>
          <w:lang w:eastAsia="en-US"/>
        </w:rPr>
        <w:tab/>
        <w:tab/>
        <w:tab/>
        <w:tab/>
      </w:r>
      <w:r w:rsidRPr="00E71996">
        <w:rPr>
          <w:bCs/>
          <w:lang w:eastAsia="en-US"/>
        </w:rPr>
        <w:t>Ide o spresnenie vnútorného odkazu.</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widowControl w:val="0"/>
        <w:autoSpaceDE w:val="0"/>
        <w:autoSpaceDN w:val="0"/>
        <w:adjustRightInd w:val="0"/>
        <w:ind w:left="3969" w:hanging="424"/>
        <w:jc w:val="both"/>
        <w:rPr>
          <w:lang w:eastAsia="en-US"/>
        </w:rPr>
      </w:pPr>
    </w:p>
    <w:p w:rsidR="00E71996" w:rsidP="00E71996">
      <w:pPr>
        <w:widowControl w:val="0"/>
        <w:autoSpaceDE w:val="0"/>
        <w:autoSpaceDN w:val="0"/>
        <w:adjustRightInd w:val="0"/>
        <w:ind w:left="3969" w:hanging="424"/>
        <w:jc w:val="both"/>
        <w:rPr>
          <w:lang w:eastAsia="en-US"/>
        </w:rPr>
      </w:pPr>
    </w:p>
    <w:p w:rsidR="00E71996" w:rsidP="00E71996">
      <w:pPr>
        <w:widowControl w:val="0"/>
        <w:autoSpaceDE w:val="0"/>
        <w:autoSpaceDN w:val="0"/>
        <w:adjustRightInd w:val="0"/>
        <w:ind w:left="3969" w:hanging="424"/>
        <w:jc w:val="both"/>
        <w:rPr>
          <w:lang w:eastAsia="en-US"/>
        </w:rPr>
      </w:pPr>
    </w:p>
    <w:p w:rsidR="00E71996" w:rsidP="00E71996">
      <w:pPr>
        <w:widowControl w:val="0"/>
        <w:autoSpaceDE w:val="0"/>
        <w:autoSpaceDN w:val="0"/>
        <w:adjustRightInd w:val="0"/>
        <w:ind w:left="3969" w:hanging="424"/>
        <w:jc w:val="both"/>
        <w:rPr>
          <w:lang w:eastAsia="en-US"/>
        </w:rPr>
      </w:pPr>
    </w:p>
    <w:p w:rsidR="00E71996" w:rsidP="00E71996">
      <w:pPr>
        <w:widowControl w:val="0"/>
        <w:autoSpaceDE w:val="0"/>
        <w:autoSpaceDN w:val="0"/>
        <w:adjustRightInd w:val="0"/>
        <w:ind w:left="3969" w:hanging="424"/>
        <w:jc w:val="both"/>
        <w:rPr>
          <w:lang w:eastAsia="en-US"/>
        </w:rPr>
      </w:pPr>
    </w:p>
    <w:p w:rsidR="00E71996" w:rsidRPr="00E71996" w:rsidP="00E71996">
      <w:pPr>
        <w:widowControl w:val="0"/>
        <w:autoSpaceDE w:val="0"/>
        <w:autoSpaceDN w:val="0"/>
        <w:adjustRightInd w:val="0"/>
        <w:ind w:left="3969" w:hanging="424"/>
        <w:jc w:val="both"/>
        <w:rPr>
          <w:lang w:eastAsia="en-US"/>
        </w:rPr>
      </w:pPr>
    </w:p>
    <w:p w:rsidR="00E71996" w:rsidRPr="00E71996" w:rsidP="00E71996">
      <w:pPr>
        <w:numPr>
          <w:ilvl w:val="0"/>
          <w:numId w:val="49"/>
        </w:numPr>
        <w:contextualSpacing/>
        <w:jc w:val="both"/>
        <w:rPr>
          <w:b/>
        </w:rPr>
      </w:pPr>
      <w:r w:rsidRPr="00E71996">
        <w:rPr>
          <w:b/>
        </w:rPr>
        <w:t>K čl. I bod 223 (§ 220a ods. 2)</w:t>
      </w:r>
    </w:p>
    <w:p w:rsidR="00E71996" w:rsidRPr="00E71996" w:rsidP="00E71996">
      <w:pPr>
        <w:ind w:left="708"/>
        <w:jc w:val="both"/>
        <w:rPr>
          <w:bCs/>
        </w:rPr>
      </w:pPr>
      <w:r w:rsidRPr="00E71996">
        <w:rPr>
          <w:bCs/>
        </w:rPr>
        <w:t xml:space="preserve">V § 220a ods. 2 v piatom riadku sa slová „do 22. júla 2013“ nahrádzajú slovami „do 21. júla 2013“ a  v siedmom riadku sa slová „do 22. júla  2013“ nahrádzajú slovami „do 21. júla 2013“. </w:t>
      </w:r>
    </w:p>
    <w:p w:rsidR="00E71996" w:rsidP="00E71996">
      <w:pPr>
        <w:jc w:val="both"/>
        <w:rPr>
          <w:bCs/>
        </w:rPr>
      </w:pPr>
    </w:p>
    <w:p w:rsidR="00E71996" w:rsidRPr="00E71996" w:rsidP="00E71996">
      <w:pPr>
        <w:ind w:left="2832"/>
        <w:jc w:val="both"/>
        <w:rPr>
          <w:bCs/>
        </w:rPr>
      </w:pPr>
      <w:r w:rsidRPr="00E71996">
        <w:rPr>
          <w:bCs/>
        </w:rPr>
        <w:t>Ide o spresnenie časového hľadiska prechodného  ustanovenia a jednoznačnosti právnych účinkov zákona.</w:t>
      </w:r>
    </w:p>
    <w:p w:rsidR="00E71996" w:rsidRPr="00700EC2" w:rsidP="00E71996">
      <w:pPr>
        <w:spacing w:before="120"/>
        <w:ind w:left="1560" w:firstLine="708"/>
        <w:jc w:val="both"/>
        <w:rPr>
          <w:b/>
        </w:rPr>
      </w:pPr>
      <w:r w:rsidRPr="00700EC2">
        <w:rPr>
          <w:b/>
        </w:rPr>
        <w:t xml:space="preserve">Výbor NR SR pre financie a rozpočet                          </w:t>
      </w:r>
    </w:p>
    <w:p w:rsidR="00E71996" w:rsidRPr="00700EC2" w:rsidP="00E71996">
      <w:pPr>
        <w:ind w:left="1560" w:firstLine="708"/>
        <w:jc w:val="both"/>
        <w:rPr>
          <w:b/>
        </w:rPr>
      </w:pPr>
      <w:r w:rsidRPr="00700EC2">
        <w:rPr>
          <w:b/>
        </w:rPr>
        <w:t>Gestorský výbor odporúča schváliť.</w:t>
      </w:r>
    </w:p>
    <w:p w:rsidR="00E71996" w:rsidRPr="00E71996" w:rsidP="00E71996">
      <w:pPr>
        <w:widowControl w:val="0"/>
        <w:autoSpaceDE w:val="0"/>
        <w:autoSpaceDN w:val="0"/>
        <w:adjustRightInd w:val="0"/>
        <w:ind w:left="3969" w:hanging="424"/>
        <w:jc w:val="both"/>
        <w:rPr>
          <w:lang w:eastAsia="en-US"/>
        </w:rPr>
      </w:pPr>
    </w:p>
    <w:p w:rsidR="00E71996" w:rsidRPr="00E71996" w:rsidP="00E71996">
      <w:pPr>
        <w:numPr>
          <w:ilvl w:val="0"/>
          <w:numId w:val="49"/>
        </w:numPr>
        <w:spacing w:after="200" w:line="276" w:lineRule="auto"/>
        <w:jc w:val="both"/>
        <w:rPr>
          <w:bCs/>
          <w:lang w:eastAsia="en-US"/>
        </w:rPr>
      </w:pPr>
      <w:r w:rsidRPr="00E71996">
        <w:rPr>
          <w:b/>
          <w:bCs/>
          <w:lang w:eastAsia="en-US"/>
        </w:rPr>
        <w:t>K čl. I v doterajšom bode 223</w:t>
      </w:r>
      <w:r w:rsidRPr="00E71996">
        <w:rPr>
          <w:bCs/>
          <w:lang w:eastAsia="en-US"/>
        </w:rPr>
        <w:t xml:space="preserve"> sa § 220a dopĺňa odsekom 12, ktorý znie:</w:t>
      </w:r>
    </w:p>
    <w:p w:rsidR="00E71996" w:rsidRPr="00E71996" w:rsidP="00E71996">
      <w:pPr>
        <w:ind w:left="709"/>
        <w:jc w:val="both"/>
        <w:rPr>
          <w:lang w:eastAsia="en-US"/>
        </w:rPr>
      </w:pPr>
      <w:r w:rsidRPr="00E71996">
        <w:rPr>
          <w:lang w:eastAsia="en-US"/>
        </w:rPr>
        <w:t>„(12) Konania začaté a právoplatne neskončené pred 22. júlom 2013 sa dokončia podľa predpisu účinného od 22. júla 2013 a osobitného zákona,</w:t>
      </w:r>
      <w:r w:rsidRPr="00E71996">
        <w:rPr>
          <w:vertAlign w:val="superscript"/>
          <w:lang w:eastAsia="en-US"/>
        </w:rPr>
        <w:t>83</w:t>
      </w:r>
      <w:r w:rsidRPr="00E71996">
        <w:rPr>
          <w:lang w:eastAsia="en-US"/>
        </w:rPr>
        <w:t>) pričom pre lehoty, ktoré sa pred 22. júlom 2013 ešte neukončili, platia ustanovenia predpisu účinného od 22. júla 2013 a osobitného zákona.</w:t>
      </w:r>
      <w:r w:rsidRPr="00E71996">
        <w:rPr>
          <w:vertAlign w:val="superscript"/>
          <w:lang w:eastAsia="en-US"/>
        </w:rPr>
        <w:t>90a</w:t>
      </w:r>
      <w:r w:rsidRPr="00E71996">
        <w:rPr>
          <w:lang w:eastAsia="en-US"/>
        </w:rPr>
        <w:t>) Právne účinky úkonov, ktoré v konaní nastali pred 22. júlom 2013, zostávajú zachované.“.</w:t>
      </w:r>
    </w:p>
    <w:p w:rsidR="00E71996" w:rsidRPr="00E71996" w:rsidP="00E71996">
      <w:pPr>
        <w:jc w:val="both"/>
        <w:rPr>
          <w:lang w:eastAsia="en-US"/>
        </w:rPr>
      </w:pPr>
    </w:p>
    <w:p w:rsidR="00E71996" w:rsidRPr="00E71996" w:rsidP="00E71996">
      <w:pPr>
        <w:widowControl w:val="0"/>
        <w:autoSpaceDE w:val="0"/>
        <w:autoSpaceDN w:val="0"/>
        <w:adjustRightInd w:val="0"/>
        <w:ind w:left="2832"/>
        <w:jc w:val="both"/>
        <w:rPr>
          <w:lang w:eastAsia="en-US"/>
        </w:rPr>
      </w:pPr>
      <w:r w:rsidRPr="00E71996">
        <w:rPr>
          <w:lang w:eastAsia="en-US"/>
        </w:rPr>
        <w:t>Navrhnutým doplnením prechodných ustanovení § 220a o nový odsek 12 sa zabezpečuje harmonizácia ustanovení tohto zákona s obdobnými ustanoveniami ďalších zákonov v oblasti finančného trhu [napríklad s ustanoveniami § 122s ods. 2 zákona o bankách (</w:t>
      </w:r>
      <w:r w:rsidRPr="00E71996">
        <w:rPr>
          <w:i/>
          <w:iCs/>
          <w:lang w:eastAsia="en-US"/>
        </w:rPr>
        <w:t>zákona č. 483/2001 Z. z. v znení zákona č. 132/2013 Z. z.</w:t>
      </w:r>
      <w:r w:rsidRPr="00E71996">
        <w:rPr>
          <w:lang w:eastAsia="en-US"/>
        </w:rPr>
        <w:t xml:space="preserve">), § 173r ods. 2 zákona </w:t>
      </w:r>
      <w:r w:rsidRPr="00E71996">
        <w:rPr>
          <w:color w:val="231F20"/>
          <w:lang w:eastAsia="en-US"/>
        </w:rPr>
        <w:t>o cenných papieroch a investičných službách</w:t>
      </w:r>
      <w:r w:rsidRPr="00E71996">
        <w:rPr>
          <w:lang w:eastAsia="en-US"/>
        </w:rPr>
        <w:t xml:space="preserve"> (</w:t>
      </w:r>
      <w:r w:rsidRPr="00E71996">
        <w:rPr>
          <w:i/>
          <w:iCs/>
          <w:lang w:eastAsia="en-US"/>
        </w:rPr>
        <w:t>zákona č. 566/2001 Z. z. v znení zákona č. 132/2013 Z. z.</w:t>
      </w:r>
      <w:r w:rsidRPr="00E71996">
        <w:rPr>
          <w:lang w:eastAsia="en-US"/>
        </w:rPr>
        <w:t>), § 99b ods. 2 zákona o poisťovníctve (</w:t>
      </w:r>
      <w:r w:rsidRPr="00E71996">
        <w:rPr>
          <w:i/>
          <w:iCs/>
          <w:lang w:eastAsia="en-US"/>
        </w:rPr>
        <w:t>zákona č. 8/2008 Z. z. v znení zákona č. 132/2013 Z. z.</w:t>
      </w:r>
      <w:r w:rsidRPr="00E71996">
        <w:rPr>
          <w:lang w:eastAsia="en-US"/>
        </w:rPr>
        <w:t xml:space="preserve">) a </w:t>
      </w:r>
      <w:r w:rsidRPr="00E71996">
        <w:rPr>
          <w:color w:val="000000"/>
          <w:lang w:eastAsia="en-US"/>
        </w:rPr>
        <w:t>§ 42a ods. 5 z</w:t>
      </w:r>
      <w:r w:rsidRPr="00E71996">
        <w:rPr>
          <w:lang w:eastAsia="en-US"/>
        </w:rPr>
        <w:t>ákona o finančnom sprostredkovaní a finančnom poradenstve (</w:t>
      </w:r>
      <w:r w:rsidRPr="00E71996">
        <w:rPr>
          <w:i/>
          <w:iCs/>
          <w:lang w:eastAsia="en-US"/>
        </w:rPr>
        <w:t>zákona č. 186/2009 Z. z. v znení zákona č. 132/2013 Z. z.</w:t>
      </w:r>
      <w:r w:rsidRPr="00E71996">
        <w:rPr>
          <w:lang w:eastAsia="en-US"/>
        </w:rPr>
        <w:t xml:space="preserve">)], čím sa zároveň prispieva k zdokonaleniu legislatívnych predpokladov na zabezpečenie efektívneho a účinného výkonu dohľadu nad finančným trhom vrátane dohľadu v oblasti kolektívneho investovania. </w:t>
      </w:r>
    </w:p>
    <w:p w:rsidR="00E71996" w:rsidP="00E71996">
      <w:pPr>
        <w:jc w:val="both"/>
        <w:rPr>
          <w:bCs/>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P="00E71996">
      <w:pPr>
        <w:jc w:val="both"/>
        <w:rPr>
          <w:bCs/>
          <w:lang w:eastAsia="en-US"/>
        </w:rPr>
      </w:pPr>
    </w:p>
    <w:p w:rsid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jc w:val="both"/>
        <w:rPr>
          <w:lang w:eastAsia="en-US"/>
        </w:rPr>
      </w:pPr>
      <w:r w:rsidRPr="00E71996">
        <w:rPr>
          <w:b/>
          <w:bCs/>
          <w:lang w:eastAsia="en-US"/>
        </w:rPr>
        <w:t>K čl. II v</w:t>
      </w:r>
      <w:r w:rsidRPr="00E71996">
        <w:rPr>
          <w:lang w:eastAsia="en-US"/>
        </w:rPr>
        <w:t xml:space="preserve"> </w:t>
      </w:r>
      <w:r w:rsidRPr="00E71996">
        <w:rPr>
          <w:b/>
          <w:lang w:eastAsia="en-US"/>
        </w:rPr>
        <w:t>uvádzacej vete</w:t>
      </w:r>
      <w:r w:rsidRPr="00E71996">
        <w:rPr>
          <w:lang w:eastAsia="en-US"/>
        </w:rPr>
        <w:t xml:space="preserve"> sa slová „</w:t>
      </w:r>
      <w:r w:rsidRPr="00E71996">
        <w:rPr>
          <w:color w:val="231F20"/>
          <w:lang w:eastAsia="en-US"/>
        </w:rPr>
        <w:t>zákona č. .../2013</w:t>
      </w:r>
      <w:r w:rsidRPr="00E71996">
        <w:rPr>
          <w:lang w:eastAsia="en-US"/>
        </w:rPr>
        <w:t> Z. z</w:t>
      </w:r>
      <w:r w:rsidRPr="00E71996">
        <w:rPr>
          <w:color w:val="231F20"/>
          <w:lang w:eastAsia="en-US"/>
        </w:rPr>
        <w:t>.</w:t>
      </w:r>
      <w:r w:rsidRPr="00E71996">
        <w:rPr>
          <w:lang w:eastAsia="en-US"/>
        </w:rPr>
        <w:t>“ nahrádzajú slovami „</w:t>
      </w:r>
      <w:r w:rsidRPr="00E71996">
        <w:rPr>
          <w:color w:val="231F20"/>
          <w:lang w:eastAsia="en-US"/>
        </w:rPr>
        <w:t>zákona č. 132/2013</w:t>
      </w:r>
      <w:r w:rsidRPr="00E71996">
        <w:rPr>
          <w:lang w:eastAsia="en-US"/>
        </w:rPr>
        <w:t> Z. z</w:t>
      </w:r>
      <w:r w:rsidRPr="00E71996">
        <w:rPr>
          <w:color w:val="231F20"/>
          <w:lang w:eastAsia="en-US"/>
        </w:rPr>
        <w:t>.</w:t>
      </w:r>
      <w:r w:rsidRPr="00E71996">
        <w:rPr>
          <w:lang w:eastAsia="en-US"/>
        </w:rPr>
        <w:t xml:space="preserve">“. </w:t>
      </w:r>
    </w:p>
    <w:p w:rsidR="00E71996" w:rsidP="00E71996">
      <w:pPr>
        <w:widowControl w:val="0"/>
        <w:autoSpaceDE w:val="0"/>
        <w:autoSpaceDN w:val="0"/>
        <w:adjustRightInd w:val="0"/>
        <w:ind w:left="2832"/>
        <w:jc w:val="both"/>
        <w:rPr>
          <w:lang w:eastAsia="en-US"/>
        </w:rPr>
      </w:pPr>
    </w:p>
    <w:p w:rsidR="00E71996" w:rsidRPr="00E71996" w:rsidP="00E71996">
      <w:pPr>
        <w:widowControl w:val="0"/>
        <w:autoSpaceDE w:val="0"/>
        <w:autoSpaceDN w:val="0"/>
        <w:adjustRightInd w:val="0"/>
        <w:ind w:left="2832"/>
        <w:jc w:val="both"/>
        <w:rPr>
          <w:lang w:eastAsia="en-US"/>
        </w:rPr>
      </w:pPr>
      <w:r w:rsidRPr="00E71996">
        <w:rPr>
          <w:lang w:eastAsia="en-US"/>
        </w:rPr>
        <w:t xml:space="preserve">Navrhuje sa legislatívno-technické spresnenie uvádzacej vety v čl. II tak, aby táto uvádzacia veta zohľadňovala ostatnú novelu zákona </w:t>
      </w:r>
      <w:r w:rsidRPr="00E71996">
        <w:rPr>
          <w:color w:val="231F20"/>
          <w:lang w:eastAsia="en-US"/>
        </w:rPr>
        <w:t>o cenných papieroch a investičných službách</w:t>
      </w:r>
      <w:r w:rsidRPr="00E71996">
        <w:rPr>
          <w:lang w:eastAsia="en-US"/>
        </w:rPr>
        <w:t xml:space="preserve"> (</w:t>
      </w:r>
      <w:r w:rsidRPr="00E71996">
        <w:rPr>
          <w:i/>
          <w:iCs/>
          <w:lang w:eastAsia="en-US"/>
        </w:rPr>
        <w:t>zákona č. 566/2001 Z. z. v znení neskorších predpisov</w:t>
      </w:r>
      <w:r w:rsidRPr="00E71996">
        <w:rPr>
          <w:lang w:eastAsia="en-US"/>
        </w:rPr>
        <w:t xml:space="preserve">) vykonanú zákonom č. 132/2013 Z. z. </w:t>
      </w:r>
    </w:p>
    <w:p w:rsidR="00E71996" w:rsidP="00E71996">
      <w:pPr>
        <w:jc w:val="both"/>
        <w:rPr>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P="00E71996">
      <w:pPr>
        <w:jc w:val="both"/>
        <w:rPr>
          <w:lang w:eastAsia="en-US"/>
        </w:rPr>
      </w:pPr>
    </w:p>
    <w:p w:rsidR="00E71996" w:rsidP="00E71996">
      <w:pPr>
        <w:jc w:val="both"/>
        <w:rPr>
          <w:lang w:eastAsia="en-US"/>
        </w:rPr>
      </w:pPr>
    </w:p>
    <w:p w:rsidR="00E71996" w:rsidP="00E71996">
      <w:pPr>
        <w:jc w:val="both"/>
        <w:rPr>
          <w:lang w:eastAsia="en-US"/>
        </w:rPr>
      </w:pPr>
    </w:p>
    <w:p w:rsidR="00E71996" w:rsidP="00E71996">
      <w:pPr>
        <w:jc w:val="both"/>
        <w:rPr>
          <w:lang w:eastAsia="en-US"/>
        </w:rPr>
      </w:pPr>
    </w:p>
    <w:p w:rsidR="00E71996" w:rsidRPr="00E71996" w:rsidP="00E71996">
      <w:pPr>
        <w:jc w:val="both"/>
        <w:rPr>
          <w:lang w:eastAsia="en-US"/>
        </w:rPr>
      </w:pPr>
    </w:p>
    <w:p w:rsidR="00E71996" w:rsidRPr="00E71996" w:rsidP="00E71996">
      <w:pPr>
        <w:numPr>
          <w:ilvl w:val="0"/>
          <w:numId w:val="49"/>
        </w:numPr>
        <w:spacing w:after="200" w:line="276" w:lineRule="auto"/>
        <w:jc w:val="both"/>
        <w:rPr>
          <w:bCs/>
          <w:lang w:eastAsia="en-US"/>
        </w:rPr>
      </w:pPr>
      <w:r w:rsidRPr="00E71996">
        <w:rPr>
          <w:b/>
          <w:lang w:eastAsia="en-US"/>
        </w:rPr>
        <w:t>K čl. II z</w:t>
      </w:r>
      <w:r w:rsidRPr="00E71996">
        <w:rPr>
          <w:b/>
          <w:bCs/>
          <w:lang w:eastAsia="en-US"/>
        </w:rPr>
        <w:t>a doterajší bod 3</w:t>
      </w:r>
      <w:r w:rsidRPr="00E71996">
        <w:rPr>
          <w:bCs/>
          <w:lang w:eastAsia="en-US"/>
        </w:rPr>
        <w:t xml:space="preserve"> sa vkladá nový bod 4, ktorý znie:</w:t>
      </w:r>
    </w:p>
    <w:p w:rsidR="00E71996" w:rsidRPr="00E71996" w:rsidP="00E71996">
      <w:pPr>
        <w:ind w:firstLine="709"/>
        <w:jc w:val="both"/>
        <w:rPr>
          <w:bCs/>
          <w:lang w:eastAsia="en-US"/>
        </w:rPr>
      </w:pPr>
      <w:r w:rsidRPr="00E71996">
        <w:rPr>
          <w:bCs/>
          <w:lang w:eastAsia="en-US"/>
        </w:rPr>
        <w:t>„4. V § 145 ods. 2 sa číslo „14“ nahrádza číslom „15“.“.</w:t>
      </w:r>
    </w:p>
    <w:p w:rsidR="00E71996" w:rsidRPr="00E71996" w:rsidP="00E71996">
      <w:pPr>
        <w:jc w:val="both"/>
        <w:rPr>
          <w:bCs/>
          <w:lang w:eastAsia="en-US"/>
        </w:rPr>
      </w:pPr>
    </w:p>
    <w:p w:rsidR="00E71996" w:rsidRPr="00E71996" w:rsidP="00E71996">
      <w:pPr>
        <w:ind w:left="66" w:firstLine="643"/>
        <w:jc w:val="both"/>
        <w:rPr>
          <w:lang w:eastAsia="en-US"/>
        </w:rPr>
      </w:pPr>
      <w:r w:rsidRPr="00E71996">
        <w:rPr>
          <w:lang w:eastAsia="en-US"/>
        </w:rPr>
        <w:t>Doterajší bod 4 sa označuje ako bod 5.</w:t>
      </w:r>
    </w:p>
    <w:p w:rsidR="00E71996" w:rsidP="00E71996">
      <w:pPr>
        <w:jc w:val="both"/>
        <w:rPr>
          <w:bCs/>
          <w:lang w:eastAsia="en-US"/>
        </w:rPr>
      </w:pPr>
    </w:p>
    <w:p w:rsidR="00E71996" w:rsidRPr="00E71996" w:rsidP="00E71996">
      <w:pPr>
        <w:ind w:left="2832"/>
        <w:rPr>
          <w:bCs/>
          <w:lang w:eastAsia="en-US"/>
        </w:rPr>
      </w:pPr>
      <w:r w:rsidRPr="00E71996">
        <w:rPr>
          <w:bCs/>
          <w:lang w:eastAsia="en-US"/>
        </w:rPr>
        <w:t>Ide o spresnenie vnútorného odkazu, týkajúceho sa ukladania sankcií pri konsolidovanom dohľade.</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contextualSpacing/>
        <w:jc w:val="both"/>
        <w:rPr>
          <w:b/>
        </w:rPr>
      </w:pPr>
      <w:r w:rsidRPr="00E71996">
        <w:rPr>
          <w:b/>
        </w:rPr>
        <w:t xml:space="preserve">K čl. II doterajšieho bodu 4   </w:t>
      </w:r>
    </w:p>
    <w:p w:rsidR="00E71996" w:rsidRPr="00E71996" w:rsidP="00E71996">
      <w:pPr>
        <w:ind w:firstLine="708"/>
        <w:jc w:val="both"/>
        <w:rPr>
          <w:bCs/>
        </w:rPr>
      </w:pPr>
      <w:r w:rsidRPr="00E71996">
        <w:rPr>
          <w:bCs/>
        </w:rPr>
        <w:t>V čl. II v  úvodnej vete 4. bodu  sa slová „Za § 173p“ nahrádzajú slovami „Za § 173r“.</w:t>
      </w:r>
    </w:p>
    <w:p w:rsidR="00E71996" w:rsidRPr="00E71996" w:rsidP="00E71996">
      <w:pPr>
        <w:ind w:left="2835"/>
        <w:jc w:val="both"/>
        <w:rPr>
          <w:bCs/>
        </w:rPr>
      </w:pPr>
    </w:p>
    <w:p w:rsidR="00E71996" w:rsidRPr="00E71996" w:rsidP="00E71996">
      <w:pPr>
        <w:ind w:left="2832"/>
        <w:jc w:val="both"/>
        <w:rPr>
          <w:bCs/>
        </w:rPr>
      </w:pPr>
      <w:r w:rsidRPr="00E71996">
        <w:rPr>
          <w:bCs/>
        </w:rPr>
        <w:t>Ide o dôslednú aktualizáciu označenia prechodného ustanovenia zákona č. 566/2001 Z. z. o cenných papieroch v súlade s ostatnou novelizáciu cit. zákona zákonom z 15. mája 2013, ktorým sa mení a dopĺňa zákon č. 483/2001Z. z. o bankách a o zmene a doplnení niektorých zákonov v znení neskorších predpisov a ktorým sa menia a dopĺňajú niektoré zákony, ktorý  v čl. III novelizoval aj zákon o cenných papieroch vrátane prechodných ustanovení.</w:t>
      </w: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P="00E71996">
      <w:pPr>
        <w:jc w:val="both"/>
        <w:rPr>
          <w:bCs/>
          <w:lang w:eastAsia="en-US"/>
        </w:rPr>
      </w:pPr>
    </w:p>
    <w:p w:rsidR="00E71996" w:rsidRPr="00E71996" w:rsidP="00E71996">
      <w:pPr>
        <w:jc w:val="both"/>
        <w:rPr>
          <w:bCs/>
          <w:lang w:eastAsia="en-US"/>
        </w:rPr>
      </w:pPr>
    </w:p>
    <w:p w:rsidR="00E71996" w:rsidRPr="00E71996" w:rsidP="00E71996">
      <w:pPr>
        <w:numPr>
          <w:ilvl w:val="0"/>
          <w:numId w:val="49"/>
        </w:numPr>
        <w:ind w:left="714" w:hanging="357"/>
        <w:jc w:val="both"/>
        <w:rPr>
          <w:bCs/>
          <w:lang w:eastAsia="en-US"/>
        </w:rPr>
      </w:pPr>
      <w:r w:rsidRPr="00E71996">
        <w:rPr>
          <w:b/>
          <w:bCs/>
          <w:lang w:eastAsia="en-US"/>
        </w:rPr>
        <w:t>K čl. II v doterajšom bode 4</w:t>
      </w:r>
      <w:r w:rsidRPr="00E71996">
        <w:rPr>
          <w:bCs/>
          <w:lang w:eastAsia="en-US"/>
        </w:rPr>
        <w:t xml:space="preserve"> v § 173s ods. 1 písm. a) sa slová „o povolenie podľa § 28a“ nahrádzajú slovami „o príslušné povolenie“. </w:t>
      </w:r>
    </w:p>
    <w:p w:rsidR="00E71996" w:rsidRPr="00E71996" w:rsidP="00E71996">
      <w:pPr>
        <w:ind w:left="3969"/>
        <w:jc w:val="both"/>
        <w:rPr>
          <w:u w:val="single"/>
          <w:lang w:eastAsia="en-US"/>
        </w:rPr>
      </w:pPr>
    </w:p>
    <w:p w:rsidR="00E71996" w:rsidRPr="00E71996" w:rsidP="00E71996">
      <w:pPr>
        <w:ind w:left="2832"/>
        <w:jc w:val="both"/>
        <w:rPr>
          <w:lang w:eastAsia="en-US"/>
        </w:rPr>
      </w:pPr>
      <w:r w:rsidRPr="00E71996">
        <w:rPr>
          <w:lang w:eastAsia="en-US"/>
        </w:rPr>
        <w:t>Úprava upresňuje povinnosť požiadať vyhlasovateľa verejnej ponuky majetkových hodnôt o vydanie príslušného povolenia. Ide o opravu chybného vnútorného odkazu.</w:t>
      </w:r>
    </w:p>
    <w:p w:rsidR="00E71996" w:rsidP="00E71996">
      <w:pPr>
        <w:ind w:left="340"/>
        <w:jc w:val="both"/>
        <w:rPr>
          <w:lang w:eastAsia="en-US"/>
        </w:rPr>
      </w:pPr>
    </w:p>
    <w:p w:rsidR="00E71996" w:rsidRPr="00700EC2" w:rsidP="00E71996">
      <w:pPr>
        <w:spacing w:before="120"/>
        <w:ind w:left="2124" w:firstLine="708"/>
        <w:jc w:val="both"/>
        <w:rPr>
          <w:b/>
        </w:rPr>
      </w:pPr>
      <w:r w:rsidRPr="00700EC2">
        <w:rPr>
          <w:b/>
        </w:rPr>
        <w:t xml:space="preserve">Výbor NR SR pre financie a rozpočet                          </w:t>
      </w:r>
    </w:p>
    <w:p w:rsidR="00E71996" w:rsidRPr="00700EC2" w:rsidP="00E71996">
      <w:pPr>
        <w:ind w:left="2124" w:firstLine="708"/>
        <w:jc w:val="both"/>
        <w:rPr>
          <w:b/>
        </w:rPr>
      </w:pPr>
      <w:r w:rsidRPr="00700EC2">
        <w:rPr>
          <w:b/>
        </w:rPr>
        <w:t>Gestorský výbor odporúča schváliť.</w:t>
      </w:r>
    </w:p>
    <w:p w:rsidR="00E71996" w:rsidRPr="00E71996" w:rsidP="00E71996">
      <w:pPr>
        <w:ind w:left="340"/>
        <w:jc w:val="both"/>
        <w:rPr>
          <w:lang w:eastAsia="en-US"/>
        </w:rPr>
      </w:pPr>
    </w:p>
    <w:p w:rsidR="00E71996" w:rsidRPr="00E71996" w:rsidP="00E71996">
      <w:pPr>
        <w:numPr>
          <w:ilvl w:val="0"/>
          <w:numId w:val="49"/>
        </w:numPr>
        <w:spacing w:after="200" w:line="276" w:lineRule="auto"/>
        <w:jc w:val="both"/>
        <w:rPr>
          <w:lang w:eastAsia="en-US"/>
        </w:rPr>
      </w:pPr>
      <w:r w:rsidRPr="00E71996">
        <w:rPr>
          <w:b/>
          <w:lang w:eastAsia="en-US"/>
        </w:rPr>
        <w:t>K čl. II za doterajší článok II</w:t>
      </w:r>
      <w:r w:rsidRPr="00E71996">
        <w:rPr>
          <w:lang w:eastAsia="en-US"/>
        </w:rPr>
        <w:t xml:space="preserve"> sa vkladá nový článok III, ktorý znie:</w:t>
      </w:r>
    </w:p>
    <w:p w:rsidR="00E71996" w:rsidRPr="00E71996" w:rsidP="00E71996">
      <w:pPr>
        <w:ind w:left="340"/>
        <w:jc w:val="center"/>
        <w:rPr>
          <w:lang w:eastAsia="en-US"/>
        </w:rPr>
      </w:pPr>
    </w:p>
    <w:p w:rsidR="00E71996" w:rsidRPr="00E71996" w:rsidP="00E71996">
      <w:pPr>
        <w:ind w:left="340"/>
        <w:jc w:val="center"/>
        <w:rPr>
          <w:lang w:eastAsia="en-US"/>
        </w:rPr>
      </w:pPr>
      <w:r w:rsidRPr="00E71996">
        <w:rPr>
          <w:lang w:eastAsia="en-US"/>
        </w:rPr>
        <w:t>„</w:t>
      </w:r>
      <w:r w:rsidRPr="00E71996">
        <w:rPr>
          <w:b/>
          <w:bCs/>
          <w:lang w:eastAsia="en-US"/>
        </w:rPr>
        <w:t>Čl. III</w:t>
      </w:r>
    </w:p>
    <w:p w:rsidR="00E71996" w:rsidRPr="00E71996" w:rsidP="00E71996">
      <w:pPr>
        <w:ind w:left="340" w:firstLine="340"/>
        <w:jc w:val="both"/>
        <w:rPr>
          <w:lang w:eastAsia="en-US"/>
        </w:rPr>
      </w:pPr>
    </w:p>
    <w:p w:rsidR="00E71996" w:rsidRPr="00E71996" w:rsidP="00E71996">
      <w:pPr>
        <w:jc w:val="both"/>
        <w:rPr>
          <w:lang w:eastAsia="en-US"/>
        </w:rPr>
      </w:pPr>
      <w:r w:rsidRPr="00E71996">
        <w:rPr>
          <w:lang w:eastAsia="en-US"/>
        </w:rPr>
        <w:t>Zákon č. 492/2009 Z. z. o platobných službách a o zmene a doplnení niektorých zákonov v znení zákona č. 130/2011 Z. z., zákona č. 394/2011 Z. z., zákona č. 520/2011 Z. z., zákona č. 547/2011 Z. z. a zákona č. 352/2012 Z. z. sa mení a dopĺňa takto:</w:t>
      </w:r>
    </w:p>
    <w:p w:rsidR="00E71996" w:rsidRPr="00E71996" w:rsidP="00E71996">
      <w:pPr>
        <w:jc w:val="both"/>
        <w:rPr>
          <w:lang w:eastAsia="en-US"/>
        </w:rPr>
      </w:pPr>
    </w:p>
    <w:p w:rsidR="00E71996" w:rsidRPr="00E71996" w:rsidP="00E71996">
      <w:pPr>
        <w:jc w:val="both"/>
        <w:rPr>
          <w:lang w:eastAsia="en-US"/>
        </w:rPr>
      </w:pPr>
      <w:r w:rsidRPr="00E71996">
        <w:rPr>
          <w:bCs/>
          <w:lang w:eastAsia="en-US"/>
        </w:rPr>
        <w:t>1.</w:t>
      </w:r>
      <w:r w:rsidRPr="00E71996">
        <w:rPr>
          <w:lang w:eastAsia="en-US"/>
        </w:rPr>
        <w:t> V § 62 ods. 5 sa na konci pripájajú tieto vety: „Premlčacie lehoty podľa prvej vety sa prerušujú, keď nastala skutočnosť zakladajúca prerušenie lehoty podľa osobitného zákona,</w:t>
      </w:r>
      <w:r w:rsidRPr="00E71996">
        <w:rPr>
          <w:vertAlign w:val="superscript"/>
          <w:lang w:eastAsia="en-US"/>
        </w:rPr>
        <w:t>43a</w:t>
      </w:r>
      <w:r w:rsidRPr="00E71996">
        <w:rPr>
          <w:lang w:eastAsia="en-US"/>
        </w:rPr>
        <w:t>) pričom od prerušenia premlčania začína plynúť nová premlčacia lehota. Nedostatky uvedené v protokole o vykonanom dohľade na mieste sa považujú za zistené odo dňa skončenia príslušného dohľadu na mieste podľa osobitného zákona.</w:t>
      </w:r>
      <w:r w:rsidRPr="00E71996">
        <w:rPr>
          <w:vertAlign w:val="superscript"/>
          <w:lang w:eastAsia="en-US"/>
        </w:rPr>
        <w:t>43b</w:t>
      </w:r>
      <w:r w:rsidRPr="00E71996">
        <w:rPr>
          <w:lang w:eastAsia="en-US"/>
        </w:rPr>
        <w:t>)“.</w:t>
      </w:r>
    </w:p>
    <w:p w:rsidR="00E71996" w:rsidRPr="00E71996" w:rsidP="00E71996">
      <w:pPr>
        <w:jc w:val="both"/>
        <w:rPr>
          <w:lang w:eastAsia="en-US"/>
        </w:rPr>
      </w:pPr>
      <w:r w:rsidRPr="00E71996">
        <w:rPr>
          <w:lang w:eastAsia="en-US"/>
        </w:rPr>
        <w:t xml:space="preserve">Poznámky pod čiarou k odkazom 43a a 43b znejú: </w:t>
      </w:r>
    </w:p>
    <w:p w:rsidR="00E71996" w:rsidRPr="00E71996" w:rsidP="00E71996">
      <w:pPr>
        <w:jc w:val="both"/>
        <w:rPr>
          <w:lang w:eastAsia="en-US"/>
        </w:rPr>
      </w:pPr>
      <w:r w:rsidRPr="00E71996">
        <w:rPr>
          <w:lang w:eastAsia="en-US"/>
        </w:rPr>
        <w:t>„</w:t>
      </w:r>
      <w:r w:rsidRPr="00E71996">
        <w:rPr>
          <w:vertAlign w:val="superscript"/>
          <w:lang w:eastAsia="en-US"/>
        </w:rPr>
        <w:t>43a</w:t>
      </w:r>
      <w:r w:rsidRPr="00E71996">
        <w:rPr>
          <w:lang w:eastAsia="en-US"/>
        </w:rPr>
        <w:t>) § 19 ods. 4 zákona č. 747/2004 Z. z. v znení neskorších predpisov.</w:t>
      </w:r>
    </w:p>
    <w:p w:rsidR="00E71996" w:rsidRPr="00E71996" w:rsidP="00E71996">
      <w:pPr>
        <w:jc w:val="both"/>
        <w:rPr>
          <w:lang w:eastAsia="en-US"/>
        </w:rPr>
      </w:pPr>
      <w:r w:rsidRPr="00E71996">
        <w:rPr>
          <w:vertAlign w:val="superscript"/>
          <w:lang w:eastAsia="en-US"/>
        </w:rPr>
        <w:t>43b</w:t>
      </w:r>
      <w:r w:rsidRPr="00E71996">
        <w:rPr>
          <w:lang w:eastAsia="en-US"/>
        </w:rPr>
        <w:t>) § 10 ods. 5 zákona č. 747/2004 Z. z.“.</w:t>
      </w:r>
    </w:p>
    <w:p w:rsidR="00E71996" w:rsidRPr="00E71996" w:rsidP="00E71996">
      <w:pPr>
        <w:jc w:val="both"/>
        <w:rPr>
          <w:lang w:eastAsia="en-US"/>
        </w:rPr>
      </w:pPr>
    </w:p>
    <w:p w:rsidR="00E71996" w:rsidRPr="00E71996" w:rsidP="00E71996">
      <w:pPr>
        <w:jc w:val="both"/>
        <w:rPr>
          <w:lang w:eastAsia="en-US"/>
        </w:rPr>
      </w:pPr>
      <w:r w:rsidRPr="00E71996">
        <w:rPr>
          <w:bCs/>
          <w:lang w:eastAsia="en-US"/>
        </w:rPr>
        <w:t>2.</w:t>
      </w:r>
      <w:r w:rsidRPr="00E71996">
        <w:rPr>
          <w:lang w:eastAsia="en-US"/>
        </w:rPr>
        <w:t> V § 78 ods. 6 sa za prvú vetu vkladá nová druhá veta, ktorá znie: „Premlčacie lehoty podľa prvej vety sa prerušujú, keď nastala skutočnosť zakladajúca prerušenie lehoty podľa osobitného zákona,</w:t>
      </w:r>
      <w:r w:rsidRPr="00E71996">
        <w:rPr>
          <w:vertAlign w:val="superscript"/>
          <w:lang w:eastAsia="en-US"/>
        </w:rPr>
        <w:t>43a</w:t>
      </w:r>
      <w:r w:rsidRPr="00E71996">
        <w:rPr>
          <w:lang w:eastAsia="en-US"/>
        </w:rPr>
        <w:t xml:space="preserve">) pričom od prerušenia premlčania začína plynúť nová premlčacia lehota.“ a v druhej vete sa nad slovom „zákona“ odkaz 58a nahrádza odkazom 43b. </w:t>
      </w:r>
    </w:p>
    <w:p w:rsidR="00E71996" w:rsidRPr="00E71996" w:rsidP="00E71996">
      <w:pPr>
        <w:jc w:val="both"/>
        <w:rPr>
          <w:lang w:eastAsia="en-US"/>
        </w:rPr>
      </w:pPr>
      <w:r w:rsidRPr="00E71996">
        <w:rPr>
          <w:lang w:eastAsia="en-US"/>
        </w:rPr>
        <w:t xml:space="preserve">Poznámka pod čiarou k odkazu 58a sa vypúšťa. </w:t>
      </w:r>
    </w:p>
    <w:p w:rsidR="00E71996" w:rsidRPr="00E71996" w:rsidP="00E71996">
      <w:pPr>
        <w:jc w:val="both"/>
        <w:rPr>
          <w:lang w:eastAsia="en-US"/>
        </w:rPr>
      </w:pPr>
    </w:p>
    <w:p w:rsidR="00E71996" w:rsidRPr="00E71996" w:rsidP="00E71996">
      <w:pPr>
        <w:jc w:val="both"/>
        <w:rPr>
          <w:lang w:eastAsia="en-US"/>
        </w:rPr>
      </w:pPr>
      <w:r w:rsidRPr="00E71996">
        <w:rPr>
          <w:bCs/>
          <w:lang w:eastAsia="en-US"/>
        </w:rPr>
        <w:t>3.</w:t>
      </w:r>
      <w:r w:rsidRPr="00E71996">
        <w:rPr>
          <w:lang w:eastAsia="en-US"/>
        </w:rPr>
        <w:t> V § 86 ods. 6 sa za prvú vetu vkladá nová druhá veta, ktorá znie: „Premlčacie lehoty podľa prvej vety sa prerušujú, keď nastala skutočnosť zakladajúca prerušenie lehoty podľa osobitného zákona,</w:t>
      </w:r>
      <w:r w:rsidRPr="00E71996">
        <w:rPr>
          <w:vertAlign w:val="superscript"/>
          <w:lang w:eastAsia="en-US"/>
        </w:rPr>
        <w:t>43a</w:t>
      </w:r>
      <w:r w:rsidRPr="00E71996">
        <w:rPr>
          <w:lang w:eastAsia="en-US"/>
        </w:rPr>
        <w:t xml:space="preserve">) pričom od prerušenia premlčania začína plynúť nová premlčacia lehota.“ a v druhej vete sa nad slovom „zákona“ odkaz 58a nahrádza odkazom 43b. </w:t>
      </w:r>
    </w:p>
    <w:p w:rsidR="00E71996" w:rsidP="00E71996">
      <w:pPr>
        <w:widowControl w:val="0"/>
        <w:autoSpaceDE w:val="0"/>
        <w:autoSpaceDN w:val="0"/>
        <w:adjustRightInd w:val="0"/>
        <w:jc w:val="both"/>
        <w:rPr>
          <w:lang w:eastAsia="en-US"/>
        </w:rPr>
      </w:pPr>
    </w:p>
    <w:p w:rsidR="00E71996" w:rsidRPr="00E71996" w:rsidP="00E71996">
      <w:pPr>
        <w:widowControl w:val="0"/>
        <w:autoSpaceDE w:val="0"/>
        <w:autoSpaceDN w:val="0"/>
        <w:adjustRightInd w:val="0"/>
        <w:ind w:left="2832"/>
        <w:jc w:val="both"/>
        <w:rPr>
          <w:lang w:eastAsia="en-US"/>
        </w:rPr>
      </w:pPr>
      <w:r w:rsidRPr="00E71996">
        <w:rPr>
          <w:lang w:eastAsia="en-US"/>
        </w:rPr>
        <w:t>Navrhovaným doplnením § 62 ods. 5, § 78 ods. 6 a § 86 ods. 6 zákona o platobných službách sa zabezpečuje harmonizácia a zjednotenie ustanovení tohto zákona s obdobnými ustanoveniami ďalších zákonov v oblasti finančného trhu [napríklad s ustanoveniami § 50 ods. 10 zákona o bankách (</w:t>
      </w:r>
      <w:r w:rsidRPr="00E71996">
        <w:rPr>
          <w:i/>
          <w:iCs/>
          <w:lang w:eastAsia="en-US"/>
        </w:rPr>
        <w:t>zákona č. 483/2001 Z. z. v znení zákona č. 132/2013 Z. z.</w:t>
      </w:r>
      <w:r w:rsidRPr="00E71996">
        <w:rPr>
          <w:lang w:eastAsia="en-US"/>
        </w:rPr>
        <w:t xml:space="preserve">), § 144 ods. 15 zákona </w:t>
      </w:r>
      <w:r w:rsidRPr="00E71996">
        <w:rPr>
          <w:color w:val="231F20"/>
          <w:lang w:eastAsia="en-US"/>
        </w:rPr>
        <w:t>o cenných papieroch a investičných službách</w:t>
      </w:r>
      <w:r w:rsidRPr="00E71996">
        <w:rPr>
          <w:lang w:eastAsia="en-US"/>
        </w:rPr>
        <w:t xml:space="preserve"> (</w:t>
      </w:r>
      <w:r w:rsidRPr="00E71996">
        <w:rPr>
          <w:i/>
          <w:iCs/>
          <w:lang w:eastAsia="en-US"/>
        </w:rPr>
        <w:t>zákona č. 566/2001 Z. z. v znení zákona č. 132/2013 Z. z.</w:t>
      </w:r>
      <w:r w:rsidRPr="00E71996">
        <w:rPr>
          <w:lang w:eastAsia="en-US"/>
        </w:rPr>
        <w:t>), § 67 ods. 10 zákona o poisťovníctve (</w:t>
      </w:r>
      <w:r w:rsidRPr="00E71996">
        <w:rPr>
          <w:i/>
          <w:iCs/>
          <w:lang w:eastAsia="en-US"/>
        </w:rPr>
        <w:t>zákona č. 8/2008 Z. z. v znení zákona č. 132/2013 Z. z.</w:t>
      </w:r>
      <w:r w:rsidRPr="00E71996">
        <w:rPr>
          <w:lang w:eastAsia="en-US"/>
        </w:rPr>
        <w:t>) a </w:t>
      </w:r>
      <w:r w:rsidRPr="00E71996">
        <w:rPr>
          <w:color w:val="000000"/>
          <w:lang w:eastAsia="en-US"/>
        </w:rPr>
        <w:t>§ 39 ods. 2 z</w:t>
      </w:r>
      <w:r w:rsidRPr="00E71996">
        <w:rPr>
          <w:lang w:eastAsia="en-US"/>
        </w:rPr>
        <w:t>ákona o finančnom sprostredkovaní a finančnom poradenstve (</w:t>
      </w:r>
      <w:r w:rsidRPr="00E71996">
        <w:rPr>
          <w:i/>
          <w:iCs/>
          <w:lang w:eastAsia="en-US"/>
        </w:rPr>
        <w:t>zákona č. 186/2009 Z. z. v znení zákona č. 132/2013 Z. z.</w:t>
      </w:r>
      <w:r w:rsidRPr="00E71996">
        <w:rPr>
          <w:lang w:eastAsia="en-US"/>
        </w:rPr>
        <w:t>)], pričom sa zároveň prispieva k zdokonaleniu legislatívnych predpokladov na zabezpečenie efektívneho a účinného výkonu dohľadu nad finančným trhom vrátane dohľadu nad platobnými inštitúciami a dohľadu nad inštitúciami elektronických peňazí, ako aj dohľadu nad prevádzkovateľmi platobných systémov. Navrhovaná legislatívna úprava je tiež inšpirovaná právnymi nástrojmi dohľadu podľa delegovaného nariadenia Komisie (EÚ) č.</w:t>
      </w:r>
      <w:r w:rsidRPr="00E71996">
        <w:rPr>
          <w:rFonts w:ascii="Times New Roman" w:hAnsi="Times New Roman"/>
          <w:lang w:eastAsia="en-US"/>
        </w:rPr>
        <w:t> </w:t>
      </w:r>
      <w:r w:rsidRPr="00E71996">
        <w:rPr>
          <w:lang w:eastAsia="en-US"/>
        </w:rPr>
        <w:t>946/2012 z 12.</w:t>
      </w:r>
      <w:r w:rsidRPr="00E71996">
        <w:rPr>
          <w:rFonts w:ascii="Times New Roman" w:hAnsi="Times New Roman"/>
          <w:lang w:eastAsia="en-US"/>
        </w:rPr>
        <w:t> </w:t>
      </w:r>
      <w:r w:rsidRPr="00E71996">
        <w:rPr>
          <w:lang w:eastAsia="en-US"/>
        </w:rPr>
        <w:t>7.</w:t>
      </w:r>
      <w:r w:rsidRPr="00E71996">
        <w:rPr>
          <w:rFonts w:ascii="Times New Roman" w:hAnsi="Times New Roman"/>
          <w:lang w:eastAsia="en-US"/>
        </w:rPr>
        <w:t> </w:t>
      </w:r>
      <w:r w:rsidRPr="00E71996">
        <w:rPr>
          <w:lang w:eastAsia="en-US"/>
        </w:rPr>
        <w:t>2012 (Ú.</w:t>
      </w:r>
      <w:r w:rsidRPr="00E71996">
        <w:rPr>
          <w:rFonts w:ascii="Times New Roman" w:hAnsi="Times New Roman"/>
          <w:lang w:eastAsia="en-US"/>
        </w:rPr>
        <w:t> </w:t>
      </w:r>
      <w:r w:rsidRPr="00E71996">
        <w:rPr>
          <w:lang w:eastAsia="en-US"/>
        </w:rPr>
        <w:t>v.</w:t>
      </w:r>
      <w:r w:rsidRPr="00E71996">
        <w:rPr>
          <w:rFonts w:ascii="Times New Roman" w:hAnsi="Times New Roman"/>
          <w:lang w:eastAsia="en-US"/>
        </w:rPr>
        <w:t> </w:t>
      </w:r>
      <w:r w:rsidRPr="00E71996">
        <w:rPr>
          <w:lang w:eastAsia="en-US"/>
        </w:rPr>
        <w:t>EÚ L</w:t>
      </w:r>
      <w:r w:rsidRPr="00E71996">
        <w:rPr>
          <w:rFonts w:ascii="Times New Roman" w:hAnsi="Times New Roman"/>
          <w:lang w:eastAsia="en-US"/>
        </w:rPr>
        <w:t> </w:t>
      </w:r>
      <w:r w:rsidRPr="00E71996">
        <w:rPr>
          <w:lang w:eastAsia="en-US"/>
        </w:rPr>
        <w:t>282, 16.</w:t>
      </w:r>
      <w:r w:rsidRPr="00E71996">
        <w:rPr>
          <w:rFonts w:ascii="Times New Roman" w:hAnsi="Times New Roman"/>
          <w:lang w:eastAsia="en-US"/>
        </w:rPr>
        <w:t> </w:t>
      </w:r>
      <w:r w:rsidRPr="00E71996">
        <w:rPr>
          <w:lang w:eastAsia="en-US"/>
        </w:rPr>
        <w:t>10.</w:t>
      </w:r>
      <w:r w:rsidRPr="00E71996">
        <w:rPr>
          <w:rFonts w:ascii="Times New Roman" w:hAnsi="Times New Roman"/>
          <w:lang w:eastAsia="en-US"/>
        </w:rPr>
        <w:t> </w:t>
      </w:r>
      <w:r w:rsidRPr="00E71996">
        <w:rPr>
          <w:lang w:eastAsia="en-US"/>
        </w:rPr>
        <w:t xml:space="preserve">2012), ktoré upravuje procesné pravidlá týkajúce sa pokút ukladaných ratingovým agentúram. </w:t>
      </w:r>
    </w:p>
    <w:p w:rsidR="00E71996" w:rsidRPr="00E71996" w:rsidP="00E71996">
      <w:pPr>
        <w:jc w:val="both"/>
        <w:rPr>
          <w:lang w:eastAsia="en-US"/>
        </w:rPr>
      </w:pPr>
    </w:p>
    <w:p w:rsidR="00E71996" w:rsidRPr="00E71996" w:rsidP="00E71996">
      <w:pPr>
        <w:ind w:left="340"/>
        <w:jc w:val="both"/>
        <w:rPr>
          <w:lang w:eastAsia="en-US"/>
        </w:rPr>
      </w:pPr>
      <w:r w:rsidRPr="00E71996">
        <w:rPr>
          <w:bCs/>
          <w:lang w:eastAsia="en-US"/>
        </w:rPr>
        <w:t>4.</w:t>
      </w:r>
      <w:r w:rsidRPr="00E71996">
        <w:rPr>
          <w:lang w:eastAsia="en-US"/>
        </w:rPr>
        <w:t xml:space="preserve"> V § 96 sa odsek 2 dopĺňa písmenom d), ktoré znie: </w:t>
      </w:r>
    </w:p>
    <w:p w:rsidR="00E71996" w:rsidRPr="00E71996" w:rsidP="00E71996">
      <w:pPr>
        <w:ind w:left="340" w:firstLine="320"/>
        <w:jc w:val="both"/>
      </w:pPr>
      <w:r w:rsidRPr="00E71996">
        <w:rPr>
          <w:lang w:eastAsia="en-US"/>
        </w:rPr>
        <w:t xml:space="preserve">„d) postup pri požadovaní a prideľovaní </w:t>
      </w:r>
      <w:r w:rsidRPr="00E71996">
        <w:rPr>
          <w:color w:val="000000"/>
          <w:lang w:eastAsia="en-US"/>
        </w:rPr>
        <w:t>identifikátora príjemcu inkasa</w:t>
      </w:r>
      <w:r w:rsidRPr="00E71996">
        <w:rPr>
          <w:lang w:eastAsia="en-US"/>
        </w:rPr>
        <w:t xml:space="preserve"> na účely vykonávania inkás v rámci jednotnej oblasti</w:t>
      </w:r>
      <w:r w:rsidRPr="00E71996">
        <w:t xml:space="preserve"> platieb v eurách (SEPA), náležitosti žiadosti o </w:t>
      </w:r>
      <w:r w:rsidRPr="00E71996">
        <w:rPr>
          <w:lang w:eastAsia="en-US"/>
        </w:rPr>
        <w:t>pridelenie</w:t>
      </w:r>
      <w:r w:rsidRPr="00E71996">
        <w:rPr>
          <w:color w:val="000000"/>
          <w:lang w:eastAsia="en-US"/>
        </w:rPr>
        <w:t xml:space="preserve"> identifikátora príjemcu inkasa; pravidlá o vedení</w:t>
      </w:r>
      <w:r w:rsidRPr="00E71996">
        <w:t xml:space="preserve"> a používaní registra</w:t>
      </w:r>
      <w:r w:rsidRPr="00E71996">
        <w:rPr>
          <w:color w:val="000000"/>
          <w:lang w:eastAsia="en-US"/>
        </w:rPr>
        <w:t xml:space="preserve"> identifikátorov príjemcov inkás a osobitného registra zneužitých identifikátorov príjemcov inkás</w:t>
      </w:r>
      <w:r w:rsidRPr="00E71996">
        <w:t xml:space="preserve">, ako aj rozsah, spôsob a podmienky poskytovania údajov do týchto registrov a sprístupňovania údajov z týchto registrov a spôsob technického zabezpečenia ochrany poskytovaných a sprístupňovaných zdrojov; týmto opatrením sa tiež môže ustanoviť hodnota poplatkov alebo sadzba poplatkov za </w:t>
      </w:r>
      <w:r w:rsidRPr="00E71996">
        <w:rPr>
          <w:lang w:eastAsia="en-US"/>
        </w:rPr>
        <w:t xml:space="preserve">pridelenie </w:t>
      </w:r>
      <w:r w:rsidRPr="00E71996">
        <w:rPr>
          <w:color w:val="000000"/>
          <w:lang w:eastAsia="en-US"/>
        </w:rPr>
        <w:t>identifikátora príjemcu inkasa</w:t>
      </w:r>
      <w:r w:rsidRPr="00E71996">
        <w:t xml:space="preserve"> a môžu sa ustanoviť aj podrobnosti o týchto poplatkoch, spôsob výpočtu ich hodnoty a podrobnosti o platení týchto poplatkov.“.</w:t>
      </w:r>
    </w:p>
    <w:p w:rsidR="00E71996" w:rsidRPr="00E71996" w:rsidP="00E71996">
      <w:pPr>
        <w:jc w:val="both"/>
        <w:rPr>
          <w:lang w:eastAsia="en-US"/>
        </w:rPr>
      </w:pPr>
    </w:p>
    <w:p w:rsidR="00E71996" w:rsidRPr="00E71996" w:rsidP="00E71996">
      <w:pPr>
        <w:ind w:left="340"/>
        <w:jc w:val="both"/>
        <w:rPr>
          <w:lang w:eastAsia="en-US"/>
        </w:rPr>
      </w:pPr>
      <w:r w:rsidRPr="00E71996">
        <w:rPr>
          <w:bCs/>
          <w:lang w:eastAsia="en-US"/>
        </w:rPr>
        <w:t>5.</w:t>
      </w:r>
      <w:r w:rsidRPr="00E71996">
        <w:rPr>
          <w:lang w:eastAsia="en-US"/>
        </w:rPr>
        <w:t xml:space="preserve"> V § 98 sa za odsek 8 vkladá nový odsek 9, ktorý znie: </w:t>
      </w:r>
    </w:p>
    <w:p w:rsidR="00E71996" w:rsidRPr="00E71996" w:rsidP="00E71996">
      <w:pPr>
        <w:ind w:left="340" w:firstLine="320"/>
        <w:jc w:val="both"/>
      </w:pPr>
      <w:r w:rsidRPr="00E71996">
        <w:t xml:space="preserve">„(9) Národná banka Slovenska na základe písomnej žiadosti poskytovateľa platobných služieb prideľuje </w:t>
      </w:r>
      <w:r w:rsidRPr="00E71996">
        <w:rPr>
          <w:color w:val="000000"/>
          <w:lang w:eastAsia="en-US"/>
        </w:rPr>
        <w:t>identifikátor príjemcu inkasa</w:t>
      </w:r>
      <w:r w:rsidRPr="00E71996">
        <w:rPr>
          <w:lang w:eastAsia="en-US"/>
        </w:rPr>
        <w:t xml:space="preserve"> na účely vykonávania inkás v rámci jednotnej oblasti</w:t>
      </w:r>
      <w:r w:rsidRPr="00E71996">
        <w:t xml:space="preserve"> platieb v eurách, ako aj vedie register</w:t>
      </w:r>
      <w:r w:rsidRPr="00E71996">
        <w:rPr>
          <w:color w:val="000000"/>
          <w:lang w:eastAsia="en-US"/>
        </w:rPr>
        <w:t xml:space="preserve"> identifikátorov príjemcov inkás a môže viesť osobitný register zneužitých identifikátorov príjemcov inkás</w:t>
      </w:r>
      <w:r w:rsidRPr="00E71996">
        <w:t xml:space="preserve">, Národná banka Slovenska môže aj bez súhlasu </w:t>
      </w:r>
      <w:r w:rsidRPr="00E71996">
        <w:rPr>
          <w:color w:val="000000"/>
          <w:lang w:eastAsia="en-US"/>
        </w:rPr>
        <w:t>príjemcu inkasa</w:t>
      </w:r>
      <w:r w:rsidRPr="00E71996">
        <w:t xml:space="preserve"> využívať údaje z týchto registrov pri výkone svojich úloh, činností a pôsobnosti podľa tohto zákona a osobitného zákona</w:t>
      </w:r>
      <w:r w:rsidRPr="00E71996">
        <w:rPr>
          <w:vertAlign w:val="superscript"/>
        </w:rPr>
        <w:t>40</w:t>
      </w:r>
      <w:r w:rsidRPr="00E71996">
        <w:t xml:space="preserve">) a aj bez súhlasu príjemcu inkasa môže sprístupňovať údaje z týchto registrov poskytovateľom platobných služieb. Na účely predkladania žiadostí poskytovateľa platobných služieb o pridelenie </w:t>
      </w:r>
      <w:r w:rsidRPr="00E71996">
        <w:rPr>
          <w:color w:val="000000"/>
          <w:lang w:eastAsia="en-US"/>
        </w:rPr>
        <w:t>identifikátorov príjemcu</w:t>
      </w:r>
      <w:r w:rsidRPr="00E71996">
        <w:t xml:space="preserve"> inkasa a zasielania pridelených </w:t>
      </w:r>
      <w:r w:rsidRPr="00E71996">
        <w:rPr>
          <w:color w:val="000000"/>
          <w:lang w:eastAsia="en-US"/>
        </w:rPr>
        <w:t>identifikátorov príjemcu inkasa</w:t>
      </w:r>
      <w:r w:rsidRPr="00E71996">
        <w:t xml:space="preserve"> je poskytovateľ platobných služieb povinný oznámiť Národnej banke Slovenska svoju elektronickú adresu a ďalšie potrebné údaje podľa požiadaviek Národnej banky Slovenska.“.</w:t>
      </w:r>
    </w:p>
    <w:p w:rsidR="00E71996" w:rsidRPr="00E71996" w:rsidP="00E71996">
      <w:pPr>
        <w:jc w:val="both"/>
        <w:rPr>
          <w:lang w:eastAsia="en-US"/>
        </w:rPr>
      </w:pPr>
    </w:p>
    <w:p w:rsidR="00E71996" w:rsidP="00E71996">
      <w:pPr>
        <w:widowControl w:val="0"/>
        <w:autoSpaceDE w:val="0"/>
        <w:autoSpaceDN w:val="0"/>
        <w:adjustRightInd w:val="0"/>
        <w:jc w:val="both"/>
        <w:rPr>
          <w:lang w:eastAsia="en-US"/>
        </w:rPr>
      </w:pPr>
    </w:p>
    <w:p w:rsidR="00E71996" w:rsidP="00E71996">
      <w:pPr>
        <w:widowControl w:val="0"/>
        <w:autoSpaceDE w:val="0"/>
        <w:autoSpaceDN w:val="0"/>
        <w:adjustRightInd w:val="0"/>
        <w:ind w:left="3540"/>
        <w:jc w:val="both"/>
        <w:rPr>
          <w:lang w:eastAsia="en-US"/>
        </w:rPr>
      </w:pPr>
      <w:r w:rsidRPr="00E71996">
        <w:rPr>
          <w:lang w:eastAsia="en-US"/>
        </w:rPr>
        <w:t xml:space="preserve">Navrhovaným doplnením nového písmena d) do § 96 ods. 2 a nového odseku 9 do § 98 zákona o platobných službách sa na Slovensku vytvárajú legislatívne predpoklady na zabezpečenie vnútroštátneho vykonávania </w:t>
      </w:r>
      <w:r w:rsidRPr="00E71996">
        <w:t xml:space="preserve">inkás v rámci </w:t>
      </w:r>
      <w:r w:rsidRPr="00E71996">
        <w:rPr>
          <w:lang w:eastAsia="en-US"/>
        </w:rPr>
        <w:t>j</w:t>
      </w:r>
      <w:r w:rsidRPr="00E71996">
        <w:t>ednotného priestoru platieb v eurách (</w:t>
      </w:r>
      <w:r w:rsidRPr="00E71996">
        <w:rPr>
          <w:i/>
          <w:iCs/>
          <w:lang w:val="en-GB"/>
        </w:rPr>
        <w:t>SEPA – Single Euro Payments Area</w:t>
      </w:r>
      <w:r w:rsidRPr="00E71996">
        <w:t xml:space="preserve">) v zmysle nariadenia Európskeho parlamentu a Rady (EÚ) č. 260/2012 zo 14. marca 2012, ktorým sa ustanovujú technické a obchodné požiadavky na úhrady a inkasá v eurách a ktorým sa mení a dopĺňa nariadenie (ES) č. 924/2009 </w:t>
      </w:r>
      <w:r w:rsidRPr="00E71996">
        <w:rPr>
          <w:lang w:eastAsia="en-US"/>
        </w:rPr>
        <w:t>(</w:t>
      </w:r>
      <w:r w:rsidRPr="00E71996">
        <w:rPr>
          <w:i/>
          <w:iCs/>
          <w:lang w:eastAsia="en-US"/>
        </w:rPr>
        <w:t>Ú.</w:t>
      </w:r>
      <w:r w:rsidRPr="00E71996">
        <w:rPr>
          <w:rFonts w:ascii="Times New Roman" w:hAnsi="Times New Roman"/>
          <w:i/>
          <w:iCs/>
          <w:lang w:eastAsia="en-US"/>
        </w:rPr>
        <w:t> </w:t>
      </w:r>
      <w:r w:rsidRPr="00E71996">
        <w:rPr>
          <w:i/>
          <w:iCs/>
          <w:lang w:eastAsia="en-US"/>
        </w:rPr>
        <w:t>v.</w:t>
      </w:r>
      <w:r w:rsidRPr="00E71996">
        <w:rPr>
          <w:rFonts w:ascii="Times New Roman" w:hAnsi="Times New Roman"/>
          <w:i/>
          <w:iCs/>
          <w:lang w:eastAsia="en-US"/>
        </w:rPr>
        <w:t> </w:t>
      </w:r>
      <w:r w:rsidRPr="00E71996">
        <w:rPr>
          <w:i/>
          <w:iCs/>
          <w:lang w:eastAsia="en-US"/>
        </w:rPr>
        <w:t>EÚ L</w:t>
      </w:r>
      <w:r w:rsidRPr="00E71996">
        <w:rPr>
          <w:rFonts w:ascii="Times New Roman" w:hAnsi="Times New Roman"/>
          <w:i/>
          <w:iCs/>
          <w:lang w:eastAsia="en-US"/>
        </w:rPr>
        <w:t> </w:t>
      </w:r>
      <w:r w:rsidRPr="00E71996">
        <w:rPr>
          <w:i/>
          <w:iCs/>
          <w:lang w:eastAsia="en-US"/>
        </w:rPr>
        <w:t>94, 30.</w:t>
      </w:r>
      <w:r w:rsidRPr="00E71996">
        <w:rPr>
          <w:rFonts w:ascii="Times New Roman" w:hAnsi="Times New Roman"/>
          <w:i/>
          <w:iCs/>
          <w:lang w:eastAsia="en-US"/>
        </w:rPr>
        <w:t> </w:t>
      </w:r>
      <w:r w:rsidRPr="00E71996">
        <w:rPr>
          <w:i/>
          <w:iCs/>
          <w:lang w:eastAsia="en-US"/>
        </w:rPr>
        <w:t>3.</w:t>
      </w:r>
      <w:r w:rsidRPr="00E71996">
        <w:rPr>
          <w:rFonts w:ascii="Times New Roman" w:hAnsi="Times New Roman"/>
          <w:i/>
          <w:iCs/>
          <w:lang w:eastAsia="en-US"/>
        </w:rPr>
        <w:t> </w:t>
      </w:r>
      <w:r w:rsidRPr="00E71996">
        <w:rPr>
          <w:i/>
          <w:iCs/>
          <w:lang w:eastAsia="en-US"/>
        </w:rPr>
        <w:t>2012</w:t>
      </w:r>
      <w:r w:rsidRPr="00E71996">
        <w:rPr>
          <w:lang w:eastAsia="en-US"/>
        </w:rPr>
        <w:t xml:space="preserve">). </w:t>
      </w:r>
    </w:p>
    <w:p w:rsidR="00E71996" w:rsidRPr="00E71996" w:rsidP="00E71996">
      <w:pPr>
        <w:widowControl w:val="0"/>
        <w:autoSpaceDE w:val="0"/>
        <w:autoSpaceDN w:val="0"/>
        <w:adjustRightInd w:val="0"/>
        <w:ind w:left="3540"/>
        <w:jc w:val="both"/>
        <w:rPr>
          <w:lang w:eastAsia="en-US"/>
        </w:rPr>
      </w:pPr>
    </w:p>
    <w:p w:rsidR="00E71996" w:rsidRPr="00E71996" w:rsidP="00E71996">
      <w:pPr>
        <w:ind w:left="340"/>
        <w:jc w:val="both"/>
        <w:rPr>
          <w:lang w:eastAsia="en-US"/>
        </w:rPr>
      </w:pPr>
      <w:r w:rsidRPr="00E71996">
        <w:rPr>
          <w:lang w:eastAsia="en-US"/>
        </w:rPr>
        <w:t>Doterajší odsek 9 sa označuje ako odsek 10.</w:t>
      </w:r>
    </w:p>
    <w:p w:rsidR="00E71996" w:rsidRPr="00E71996" w:rsidP="00E71996">
      <w:pPr>
        <w:jc w:val="both"/>
        <w:rPr>
          <w:lang w:eastAsia="en-US"/>
        </w:rPr>
      </w:pPr>
    </w:p>
    <w:p w:rsidR="00E71996" w:rsidRPr="00E71996" w:rsidP="00E71996">
      <w:pPr>
        <w:ind w:left="340"/>
        <w:jc w:val="both"/>
        <w:rPr>
          <w:lang w:eastAsia="en-US"/>
        </w:rPr>
      </w:pPr>
      <w:r w:rsidRPr="00E71996">
        <w:rPr>
          <w:bCs/>
          <w:lang w:eastAsia="en-US"/>
        </w:rPr>
        <w:t>6.</w:t>
      </w:r>
      <w:r w:rsidRPr="00E71996">
        <w:rPr>
          <w:lang w:eastAsia="en-US"/>
        </w:rPr>
        <w:t> Za § 101d sa vkladá § 101e, ktorý vrátane nadpisu znie:</w:t>
      </w:r>
    </w:p>
    <w:p w:rsidR="00E71996" w:rsidRPr="00E71996" w:rsidP="00E71996">
      <w:pPr>
        <w:jc w:val="center"/>
        <w:rPr>
          <w:lang w:eastAsia="en-US"/>
        </w:rPr>
      </w:pPr>
    </w:p>
    <w:p w:rsidR="00E71996" w:rsidRPr="00E71996" w:rsidP="00E71996">
      <w:pPr>
        <w:jc w:val="center"/>
        <w:rPr>
          <w:lang w:eastAsia="en-US"/>
        </w:rPr>
      </w:pPr>
      <w:r w:rsidRPr="00E71996">
        <w:rPr>
          <w:lang w:eastAsia="en-US"/>
        </w:rPr>
        <w:t>„§ 101e</w:t>
      </w:r>
    </w:p>
    <w:p w:rsidR="00E71996" w:rsidRPr="00E71996" w:rsidP="00E71996">
      <w:pPr>
        <w:jc w:val="center"/>
        <w:rPr>
          <w:lang w:eastAsia="en-US"/>
        </w:rPr>
      </w:pPr>
      <w:r w:rsidRPr="00E71996">
        <w:rPr>
          <w:lang w:eastAsia="en-US"/>
        </w:rPr>
        <w:t>Prechodné ustanovenie</w:t>
      </w:r>
    </w:p>
    <w:p w:rsidR="00E71996" w:rsidRPr="00E71996" w:rsidP="00E71996">
      <w:pPr>
        <w:jc w:val="center"/>
        <w:rPr>
          <w:lang w:eastAsia="en-US"/>
        </w:rPr>
      </w:pPr>
      <w:r w:rsidRPr="00E71996">
        <w:rPr>
          <w:lang w:eastAsia="en-US"/>
        </w:rPr>
        <w:t>k úpravám účinným od 22. júla 2013</w:t>
      </w:r>
    </w:p>
    <w:p w:rsidR="00E71996" w:rsidRPr="00E71996" w:rsidP="00E71996">
      <w:pPr>
        <w:ind w:left="340"/>
        <w:jc w:val="both"/>
        <w:rPr>
          <w:lang w:eastAsia="en-US"/>
        </w:rPr>
      </w:pPr>
    </w:p>
    <w:p w:rsidR="00E71996" w:rsidRPr="00E71996" w:rsidP="00E71996">
      <w:pPr>
        <w:ind w:left="340"/>
        <w:jc w:val="both"/>
        <w:rPr>
          <w:lang w:eastAsia="en-US"/>
        </w:rPr>
      </w:pPr>
      <w:r w:rsidRPr="00E71996">
        <w:rPr>
          <w:lang w:eastAsia="en-US"/>
        </w:rPr>
        <w:t>Konania začaté a právoplatne neskončené pred 22. júlom 2013 sa dokončia  podľa tohto zákona a osobitného zákona,</w:t>
      </w:r>
      <w:r w:rsidRPr="00E71996">
        <w:rPr>
          <w:vertAlign w:val="superscript"/>
          <w:lang w:eastAsia="en-US"/>
        </w:rPr>
        <w:t>39</w:t>
      </w:r>
      <w:r w:rsidRPr="00E71996">
        <w:rPr>
          <w:lang w:eastAsia="en-US"/>
        </w:rPr>
        <w:t>) pričom pre lehoty, ktoré sa pred 22. júlom 2013 ešte neukončili, platia ustanovenia tohto zákona a osobitného zákona.</w:t>
      </w:r>
      <w:r w:rsidRPr="00E71996">
        <w:rPr>
          <w:vertAlign w:val="superscript"/>
          <w:lang w:eastAsia="en-US"/>
        </w:rPr>
        <w:t>43a</w:t>
      </w:r>
      <w:r w:rsidRPr="00E71996">
        <w:rPr>
          <w:lang w:eastAsia="en-US"/>
        </w:rPr>
        <w:t>) Právne účinky úkonov, ktoré v konaní nastali pred 22. júlom 2013, zostávajú zachované.“.</w:t>
      </w:r>
    </w:p>
    <w:p w:rsidR="00E71996" w:rsidP="00E71996">
      <w:pPr>
        <w:widowControl w:val="0"/>
        <w:autoSpaceDE w:val="0"/>
        <w:autoSpaceDN w:val="0"/>
        <w:adjustRightInd w:val="0"/>
        <w:jc w:val="both"/>
        <w:rPr>
          <w:u w:val="single"/>
          <w:lang w:eastAsia="en-US"/>
        </w:rPr>
      </w:pPr>
    </w:p>
    <w:p w:rsidR="00E71996" w:rsidRPr="00E71996" w:rsidP="00E71996">
      <w:pPr>
        <w:widowControl w:val="0"/>
        <w:autoSpaceDE w:val="0"/>
        <w:autoSpaceDN w:val="0"/>
        <w:adjustRightInd w:val="0"/>
        <w:ind w:left="3540"/>
        <w:jc w:val="both"/>
        <w:rPr>
          <w:lang w:eastAsia="en-US"/>
        </w:rPr>
      </w:pPr>
      <w:r w:rsidRPr="00E71996">
        <w:rPr>
          <w:lang w:eastAsia="en-US"/>
        </w:rPr>
        <w:t>Navrhnutým doplnením prechodných ustanovení v novom § 101e sa zabezpečuje harmonizácia ustanovení tohto zákona s obdobnými ustanoveniami ďalších zákonov v oblasti finančného trhu [napríklad s ustanoveniami § 122s ods. 2 zákona o bankách (</w:t>
      </w:r>
      <w:r w:rsidRPr="00E71996">
        <w:rPr>
          <w:i/>
          <w:iCs/>
          <w:lang w:eastAsia="en-US"/>
        </w:rPr>
        <w:t>zákona č. 483/2001 Z. z. v znení zákona č. 132/2013 Z. z.</w:t>
      </w:r>
      <w:r w:rsidRPr="00E71996">
        <w:rPr>
          <w:lang w:eastAsia="en-US"/>
        </w:rPr>
        <w:t xml:space="preserve">), § 173r ods. 2 zákona </w:t>
      </w:r>
      <w:r w:rsidRPr="00E71996">
        <w:rPr>
          <w:color w:val="231F20"/>
          <w:lang w:eastAsia="en-US"/>
        </w:rPr>
        <w:t>o cenných papieroch a investičných službách</w:t>
      </w:r>
      <w:r w:rsidRPr="00E71996">
        <w:rPr>
          <w:lang w:eastAsia="en-US"/>
        </w:rPr>
        <w:t xml:space="preserve"> (</w:t>
      </w:r>
      <w:r w:rsidRPr="00E71996">
        <w:rPr>
          <w:i/>
          <w:iCs/>
          <w:lang w:eastAsia="en-US"/>
        </w:rPr>
        <w:t>zákona č. 566/2001 Z. z. v znení zákona č. 132/2013 Z. z.</w:t>
      </w:r>
      <w:r w:rsidRPr="00E71996">
        <w:rPr>
          <w:lang w:eastAsia="en-US"/>
        </w:rPr>
        <w:t>), § 99b ods. 2 zákona o poisťovníctve (</w:t>
      </w:r>
      <w:r w:rsidRPr="00E71996">
        <w:rPr>
          <w:i/>
          <w:iCs/>
          <w:lang w:eastAsia="en-US"/>
        </w:rPr>
        <w:t>zákona č. 8/2008 Z. z. v znení zákona č. 132/2013 Z. z.</w:t>
      </w:r>
      <w:r w:rsidRPr="00E71996">
        <w:rPr>
          <w:lang w:eastAsia="en-US"/>
        </w:rPr>
        <w:t xml:space="preserve">) a </w:t>
      </w:r>
      <w:r w:rsidRPr="00E71996">
        <w:rPr>
          <w:color w:val="000000"/>
          <w:lang w:eastAsia="en-US"/>
        </w:rPr>
        <w:t>§ 42a ods. 5 z</w:t>
      </w:r>
      <w:r w:rsidRPr="00E71996">
        <w:rPr>
          <w:lang w:eastAsia="en-US"/>
        </w:rPr>
        <w:t>ákona o finančnom sprostredkovaní a finančnom poradenstve (</w:t>
      </w:r>
      <w:r w:rsidRPr="00E71996">
        <w:rPr>
          <w:i/>
          <w:iCs/>
          <w:lang w:eastAsia="en-US"/>
        </w:rPr>
        <w:t>zákona č. 186/2009 Z. z. v znení zákona č. 132/2013 Z. z.</w:t>
      </w:r>
      <w:r w:rsidRPr="00E71996">
        <w:rPr>
          <w:lang w:eastAsia="en-US"/>
        </w:rPr>
        <w:t xml:space="preserve">)], čím sa zároveň prispieva k zdokonaleniu legislatívnych predpokladov na zabezpečenie efektívneho a účinného výkonu dohľadu nad finančným trhom vrátane dohľadu nad platobnými inštitúciami a dohľadu nad inštitúciami elektronických peňazí, ako aj dohľadu nad prevádzkovateľmi platobných systémov. </w:t>
      </w:r>
    </w:p>
    <w:p w:rsidR="00E71996" w:rsidRPr="00E71996" w:rsidP="00E71996">
      <w:pPr>
        <w:ind w:left="340" w:hanging="340"/>
        <w:jc w:val="both"/>
        <w:rPr>
          <w:b/>
          <w:bCs/>
          <w:lang w:eastAsia="en-US"/>
        </w:rPr>
      </w:pPr>
    </w:p>
    <w:p w:rsidR="00E71996" w:rsidRPr="00E71996" w:rsidP="00E71996">
      <w:pPr>
        <w:ind w:left="340" w:hanging="340"/>
        <w:jc w:val="both"/>
        <w:rPr>
          <w:b/>
        </w:rPr>
      </w:pPr>
      <w:r w:rsidRPr="00E71996">
        <w:rPr>
          <w:bCs/>
          <w:lang w:eastAsia="en-US"/>
        </w:rPr>
        <w:t>Doterajšie čl. III a IV sa označujú ako čl. IV a V.</w:t>
      </w:r>
    </w:p>
    <w:p w:rsidR="00700EC2" w:rsidRPr="00700EC2" w:rsidP="00E71996">
      <w:pPr>
        <w:spacing w:before="120"/>
        <w:ind w:left="2832" w:firstLine="708"/>
        <w:jc w:val="both"/>
        <w:rPr>
          <w:b/>
        </w:rPr>
      </w:pPr>
      <w:r w:rsidRPr="00700EC2">
        <w:rPr>
          <w:b/>
        </w:rPr>
        <w:t xml:space="preserve">Výbor NR SR pre financie a rozpočet                          </w:t>
      </w:r>
    </w:p>
    <w:p w:rsidR="00700EC2" w:rsidRPr="00700EC2" w:rsidP="00E71996">
      <w:pPr>
        <w:ind w:left="2832" w:firstLine="708"/>
        <w:jc w:val="both"/>
        <w:rPr>
          <w:b/>
        </w:rPr>
      </w:pPr>
      <w:r w:rsidRPr="00700EC2">
        <w:rPr>
          <w:b/>
        </w:rPr>
        <w:t>Gestorský výbor odporúča schváliť.</w:t>
      </w:r>
    </w:p>
    <w:p w:rsidR="00EC31D8" w:rsidP="003D7154">
      <w:pPr>
        <w:jc w:val="both"/>
      </w:pPr>
    </w:p>
    <w:p w:rsidR="00700EC2" w:rsidP="003D7154">
      <w:pPr>
        <w:jc w:val="both"/>
      </w:pPr>
    </w:p>
    <w:p w:rsidR="00680381" w:rsidP="003D7154">
      <w:pPr>
        <w:jc w:val="both"/>
      </w:pPr>
    </w:p>
    <w:p w:rsidR="00445EE1" w:rsidP="00445EE1">
      <w:pPr>
        <w:pStyle w:val="BodyText2"/>
        <w:ind w:firstLine="708"/>
      </w:pPr>
      <w:r>
        <w:t>Gestorský výbor odporúča o návrhoch výboru Národnej rady Slovenskej republiky, ktoré sú uvedené v spoločnej správe hlasovať takto :</w:t>
      </w:r>
    </w:p>
    <w:p w:rsidR="000D5484" w:rsidP="000D5484">
      <w:pPr>
        <w:pStyle w:val="BodyText2"/>
        <w:ind w:firstLine="708"/>
      </w:pPr>
    </w:p>
    <w:p w:rsidR="000D5484" w:rsidP="000D5484">
      <w:pPr>
        <w:pStyle w:val="BodyText2"/>
        <w:ind w:firstLine="708"/>
      </w:pPr>
      <w:r>
        <w:t xml:space="preserve">O bodoch spoločnej správy č. </w:t>
      </w:r>
      <w:r w:rsidR="00680381">
        <w:t xml:space="preserve">1,2,3,4,5,6,7,8,9,10,11,12,13,14,15,16, 17,18,19,20,21,22,23,24,25,26,27,28 </w:t>
      </w:r>
      <w:r>
        <w:t xml:space="preserve">hlasovať </w:t>
      </w:r>
      <w:r w:rsidR="006941F4">
        <w:t xml:space="preserve">spoločne </w:t>
      </w:r>
      <w:r>
        <w:t xml:space="preserve">s návrhom gestorského výboru </w:t>
      </w:r>
      <w:r>
        <w:rPr>
          <w:b/>
        </w:rPr>
        <w:t xml:space="preserve"> </w:t>
      </w:r>
      <w:r w:rsidRPr="00AF1636">
        <w:rPr>
          <w:b/>
        </w:rPr>
        <w:t>sc</w:t>
      </w:r>
      <w:r w:rsidRPr="00B057B4">
        <w:rPr>
          <w:b/>
        </w:rPr>
        <w:t>hváliť</w:t>
      </w:r>
      <w:r>
        <w:t>.</w:t>
      </w:r>
    </w:p>
    <w:p w:rsidR="00445EE1" w:rsidP="00445EE1">
      <w:pPr>
        <w:pStyle w:val="BodyText2"/>
      </w:pPr>
    </w:p>
    <w:p w:rsidR="00D9251C">
      <w:pPr>
        <w:pStyle w:val="BodyText2"/>
        <w:spacing w:after="120"/>
        <w:jc w:val="center"/>
        <w:rPr>
          <w:b/>
        </w:rPr>
      </w:pPr>
    </w:p>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Pr="009F6658" w:rsidR="00492C2E">
        <w:t>vládn</w:t>
      </w:r>
      <w:r w:rsidR="00492C2E">
        <w:t>emu</w:t>
      </w:r>
      <w:r w:rsidRPr="009F6658" w:rsidR="00492C2E">
        <w:t xml:space="preserve"> návrh</w:t>
      </w:r>
      <w:r w:rsidR="00492C2E">
        <w:t>u</w:t>
      </w:r>
      <w:r w:rsidRPr="009F6658" w:rsidR="00492C2E">
        <w:t xml:space="preserve">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r w:rsidR="00492C2E">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3D7154"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401761" w:rsidP="007D5D65">
      <w:pPr>
        <w:pStyle w:val="BodyText2"/>
      </w:pPr>
      <w:r w:rsidR="00C339FD">
        <w:t xml:space="preserve"> </w:t>
      </w:r>
      <w:r w:rsidR="002A75EF">
        <w:t xml:space="preserve"> </w:t>
      </w:r>
    </w:p>
    <w:p w:rsidR="00B40188" w:rsidP="00593CC6">
      <w:pPr>
        <w:tabs>
          <w:tab w:val="left" w:pos="720"/>
        </w:tabs>
        <w:jc w:val="both"/>
        <w:rPr>
          <w:b/>
          <w:bCs/>
        </w:rPr>
      </w:pPr>
      <w:r w:rsidR="005D15B1">
        <w:tab/>
      </w:r>
      <w:r w:rsidRPr="009F6658" w:rsidR="00492C2E">
        <w:t>vládn</w:t>
      </w:r>
      <w:r w:rsidR="00492C2E">
        <w:t>y</w:t>
      </w:r>
      <w:r w:rsidRPr="009F6658" w:rsidR="00492C2E">
        <w:t xml:space="preserve"> návrh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r w:rsidR="00492C2E">
        <w:t xml:space="preserve"> </w:t>
      </w:r>
      <w:r w:rsidR="00A92513">
        <w:rPr>
          <w:b/>
          <w:bCs/>
        </w:rPr>
        <w:t>schváliť</w:t>
      </w:r>
      <w:r w:rsidR="00875632">
        <w:rPr>
          <w:b/>
          <w:bCs/>
        </w:rPr>
        <w:t xml:space="preserve"> </w:t>
      </w:r>
      <w:r w:rsidRPr="00875632" w:rsidR="00875632">
        <w:rPr>
          <w:b/>
          <w:bCs/>
        </w:rPr>
        <w:t>s pozmeňujúcimi a doplňujúcimi návrhmi</w:t>
      </w:r>
      <w:r w:rsidR="003D7154">
        <w:rPr>
          <w:b/>
          <w:bCs/>
        </w:rPr>
        <w:t>.</w:t>
      </w:r>
    </w:p>
    <w:p w:rsidR="00445EE1" w:rsidP="00E6496B">
      <w:pPr>
        <w:tabs>
          <w:tab w:val="left" w:pos="720"/>
        </w:tabs>
      </w:pPr>
    </w:p>
    <w:p w:rsidR="00233A93" w:rsidRPr="00AA29A0" w:rsidP="00E3063E">
      <w:pPr>
        <w:tabs>
          <w:tab w:val="left" w:pos="709"/>
        </w:tabs>
        <w:jc w:val="both"/>
      </w:pPr>
      <w:r w:rsidR="00E3063E">
        <w:tab/>
      </w:r>
      <w:r>
        <w:t>Predmetná správa výborov Národnej rady Slovenskej republiky o</w:t>
      </w:r>
      <w:r w:rsidR="00791F4B">
        <w:t> </w:t>
      </w:r>
      <w:r w:rsidRPr="009F6658" w:rsidR="00492C2E">
        <w:t>vládn</w:t>
      </w:r>
      <w:r w:rsidR="00492C2E">
        <w:t>om</w:t>
      </w:r>
      <w:r w:rsidRPr="009F6658" w:rsidR="00492C2E">
        <w:t xml:space="preserve"> návrh</w:t>
      </w:r>
      <w:r w:rsidR="00492C2E">
        <w:t>u</w:t>
      </w:r>
      <w:r w:rsidRPr="009F6658" w:rsidR="00492C2E">
        <w:t xml:space="preserve"> zákona, ktorým sa mení a dopĺňa zákon č. 203/2011 Z. z. o kolektívnom investovaní v znení zákona č. 547/2011 Z. z. a ktorým sa mení a dopĺňa zákon č. 566/2001 Z. z. o cenných papieroch a investičných službách a o zmene a doplnení niektorých zákonov (zákon o cenných papieroch) v znení neskorších predpisov (tlač 462</w:t>
      </w:r>
      <w:r w:rsidR="00492C2E">
        <w:t>a</w:t>
      </w:r>
      <w:r w:rsidRPr="009F6658" w:rsidR="00492C2E">
        <w:t>)</w:t>
      </w:r>
      <w:r w:rsidR="00492C2E">
        <w:t xml:space="preserve"> </w:t>
      </w:r>
      <w:r w:rsidR="000D5484">
        <w:rPr>
          <w:bCs/>
          <w:iCs/>
        </w:rPr>
        <w:t xml:space="preserve"> </w:t>
      </w:r>
      <w:r>
        <w:t>bola schválená uznesením gestorského výboru č.</w:t>
      </w:r>
      <w:r w:rsidR="004E1881">
        <w:t xml:space="preserve"> </w:t>
      </w:r>
      <w:r w:rsidR="006941F4">
        <w:t>190</w:t>
      </w:r>
      <w:r w:rsidR="0005018A">
        <w:t xml:space="preserve"> </w:t>
      </w:r>
      <w:r>
        <w:t>z</w:t>
      </w:r>
      <w:r w:rsidR="00492C2E">
        <w:t>o</w:t>
      </w:r>
      <w:r w:rsidR="00E6496B">
        <w:t xml:space="preserve"> </w:t>
      </w:r>
      <w:r w:rsidR="00492C2E">
        <w:t>17</w:t>
      </w:r>
      <w:r w:rsidR="002741E7">
        <w:t xml:space="preserve">. </w:t>
      </w:r>
      <w:r w:rsidR="005D15B1">
        <w:t>júna</w:t>
      </w:r>
      <w:r w:rsidR="00D365D2">
        <w:t xml:space="preserve"> 20</w:t>
      </w:r>
      <w:r w:rsidR="0020341D">
        <w:t>1</w:t>
      </w:r>
      <w:r w:rsidR="00492C2E">
        <w:t>3</w:t>
      </w:r>
      <w:r w:rsidR="0020341D">
        <w:t>. Výbor určil poslan</w:t>
      </w:r>
      <w:r w:rsidR="000D5484">
        <w:t>ca</w:t>
      </w:r>
      <w:r w:rsidR="007F1816">
        <w:t xml:space="preserve"> </w:t>
      </w:r>
      <w:r w:rsidRPr="000D5484" w:rsidR="000D5484">
        <w:rPr>
          <w:b/>
        </w:rPr>
        <w:t>Milana Mojša</w:t>
      </w:r>
      <w:r w:rsidR="001B5606">
        <w:t xml:space="preserve"> </w:t>
      </w:r>
      <w:r>
        <w:t>za spoločn</w:t>
      </w:r>
      <w:r w:rsidR="000D5484">
        <w:t>ého</w:t>
      </w:r>
      <w:r>
        <w:t xml:space="preserve"> spravodaj</w:t>
      </w:r>
      <w:r w:rsidR="000D5484">
        <w:t>cu</w:t>
      </w:r>
      <w:r>
        <w:t xml:space="preserve"> výborov</w:t>
      </w:r>
      <w:r w:rsidR="00AA29A0">
        <w:t xml:space="preserve"> </w:t>
      </w:r>
      <w:r w:rsidRPr="00AA29A0" w:rsidR="00AA29A0">
        <w:t xml:space="preserve">a </w:t>
      </w:r>
      <w:r w:rsidRPr="00AA29A0" w:rsidR="00AA29A0">
        <w:rPr>
          <w:color w:val="000000"/>
        </w:rPr>
        <w:t xml:space="preserve">splnomocnil ho, aby informoval NR SR o výsledku prerokovania Výboru NR SR pre sociálne veci </w:t>
      </w:r>
      <w:r w:rsidRPr="007427FE" w:rsidR="00AA29A0">
        <w:rPr>
          <w:b/>
          <w:color w:val="000000"/>
          <w:u w:val="single"/>
        </w:rPr>
        <w:t>dodatočne</w:t>
      </w:r>
      <w:r w:rsidRPr="00AA29A0">
        <w:t>.</w:t>
      </w:r>
    </w:p>
    <w:p w:rsidR="005D15B1">
      <w:pPr>
        <w:pStyle w:val="BodyText2"/>
      </w:pPr>
      <w:r w:rsidR="000106DD">
        <w:t xml:space="preserve"> </w:t>
      </w:r>
    </w:p>
    <w:p w:rsidR="00233A93" w:rsidP="004047A9">
      <w:pPr>
        <w:pStyle w:val="BodyText2"/>
      </w:pPr>
      <w:r w:rsidR="00F35587">
        <w:t xml:space="preserve">Súčasne </w:t>
      </w:r>
      <w:r w:rsidR="000D5484">
        <w:t>ho</w:t>
      </w:r>
      <w:r>
        <w:t xml:space="preserve"> poveril</w:t>
      </w:r>
    </w:p>
    <w:p w:rsidR="005D15B1">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30"/>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EC31D8" w:rsidP="00897D95">
      <w:pPr>
        <w:pStyle w:val="BodyText3"/>
        <w:ind w:left="720"/>
        <w:rPr>
          <w:lang w:val="sk-SK"/>
        </w:rPr>
      </w:pPr>
    </w:p>
    <w:p w:rsidR="00233A93" w:rsidP="0020341D">
      <w:pPr>
        <w:pStyle w:val="BodyText2"/>
        <w:jc w:val="center"/>
      </w:pPr>
      <w:r>
        <w:t xml:space="preserve">Bratislava </w:t>
      </w:r>
      <w:r w:rsidR="000D5484">
        <w:t>1</w:t>
      </w:r>
      <w:r w:rsidR="00492C2E">
        <w:t>7</w:t>
      </w:r>
      <w:r w:rsidR="0020341D">
        <w:t xml:space="preserve">. </w:t>
      </w:r>
      <w:r w:rsidR="005D15B1">
        <w:t>júna</w:t>
      </w:r>
      <w:r w:rsidR="00385F60">
        <w:t xml:space="preserve"> </w:t>
      </w:r>
      <w:r w:rsidR="0020341D">
        <w:t>201</w:t>
      </w:r>
      <w:r w:rsidR="00492C2E">
        <w:t>3</w:t>
      </w:r>
    </w:p>
    <w:p w:rsidR="00B94345">
      <w:pPr>
        <w:pStyle w:val="BodyText2"/>
      </w:pPr>
    </w:p>
    <w:p w:rsidR="00613A37">
      <w:pPr>
        <w:pStyle w:val="BodyText2"/>
      </w:pPr>
    </w:p>
    <w:p w:rsidR="00EC31D8">
      <w:pPr>
        <w:pStyle w:val="BodyText2"/>
      </w:pPr>
    </w:p>
    <w:p w:rsidR="00613A37">
      <w:pPr>
        <w:pStyle w:val="BodyText2"/>
      </w:pPr>
    </w:p>
    <w:p w:rsidR="00194A2B" w:rsidP="00194A2B">
      <w:pPr>
        <w:pStyle w:val="BodyText2"/>
        <w:jc w:val="center"/>
        <w:rPr>
          <w:b/>
          <w:bCs/>
        </w:rPr>
      </w:pPr>
      <w:r w:rsidR="000D5484">
        <w:rPr>
          <w:b/>
          <w:bCs/>
        </w:rPr>
        <w:t>Daniel  D u c h o</w:t>
      </w:r>
      <w:r w:rsidR="00B670A6">
        <w:rPr>
          <w:b/>
          <w:bCs/>
        </w:rPr>
        <w:t> </w:t>
      </w:r>
      <w:r w:rsidR="000D5484">
        <w:rPr>
          <w:b/>
          <w:bCs/>
        </w:rPr>
        <w:t>ň</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94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41F4">
      <w:rPr>
        <w:rStyle w:val="PageNumber"/>
        <w:noProof/>
      </w:rPr>
      <w:t>12</w:t>
    </w:r>
    <w:r>
      <w:rPr>
        <w:rStyle w:val="PageNumber"/>
      </w:rPr>
      <w:fldChar w:fldCharType="end"/>
    </w:r>
  </w:p>
  <w:p w:rsidR="0079479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22969AD"/>
    <w:multiLevelType w:val="hybridMultilevel"/>
    <w:tmpl w:val="AB8EF40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22E30B3"/>
    <w:multiLevelType w:val="hybridMultilevel"/>
    <w:tmpl w:val="F36C15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BD17B3"/>
    <w:multiLevelType w:val="hybridMultilevel"/>
    <w:tmpl w:val="DEF60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96023A"/>
    <w:multiLevelType w:val="hybridMultilevel"/>
    <w:tmpl w:val="07B86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120CC3"/>
    <w:multiLevelType w:val="hybridMultilevel"/>
    <w:tmpl w:val="06289B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2D6AAD"/>
    <w:multiLevelType w:val="hybridMultilevel"/>
    <w:tmpl w:val="39EA5616"/>
    <w:lvl w:ilvl="0">
      <w:start w:val="2"/>
      <w:numFmt w:val="decimal"/>
      <w:lvlText w:val="%1."/>
      <w:lvlJc w:val="left"/>
      <w:pPr>
        <w:tabs>
          <w:tab w:val="num" w:pos="340"/>
        </w:tabs>
        <w:ind w:left="340" w:hanging="340"/>
      </w:pPr>
      <w:rPr>
        <w:rFonts w:hint="default"/>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AD7ACA"/>
    <w:multiLevelType w:val="hybridMultilevel"/>
    <w:tmpl w:val="32D21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69382E"/>
    <w:multiLevelType w:val="hybridMultilevel"/>
    <w:tmpl w:val="C26075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997EAD"/>
    <w:multiLevelType w:val="hybridMultilevel"/>
    <w:tmpl w:val="26F4BF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94A25B7"/>
    <w:multiLevelType w:val="hybridMultilevel"/>
    <w:tmpl w:val="307A0C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6C1240"/>
    <w:multiLevelType w:val="hybridMultilevel"/>
    <w:tmpl w:val="8F1A77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AB0AC0"/>
    <w:multiLevelType w:val="hybridMultilevel"/>
    <w:tmpl w:val="55868AE8"/>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3">
    <w:nsid w:val="37D4729B"/>
    <w:multiLevelType w:val="hybridMultilevel"/>
    <w:tmpl w:val="FAE84400"/>
    <w:lvl w:ilvl="0">
      <w:start w:val="1"/>
      <w:numFmt w:val="decimal"/>
      <w:lvlText w:val="%1."/>
      <w:lvlJc w:val="left"/>
      <w:pPr>
        <w:tabs>
          <w:tab w:val="num" w:pos="796"/>
        </w:tabs>
        <w:ind w:left="796" w:hanging="360"/>
      </w:pPr>
      <w:rPr>
        <w:rFonts w:hint="default"/>
        <w:color w:val="000000"/>
      </w:rPr>
    </w:lvl>
    <w:lvl w:ilvl="1" w:tentative="1">
      <w:start w:val="1"/>
      <w:numFmt w:val="lowerLetter"/>
      <w:lvlText w:val="%2."/>
      <w:lvlJc w:val="left"/>
      <w:pPr>
        <w:tabs>
          <w:tab w:val="num" w:pos="1516"/>
        </w:tabs>
        <w:ind w:left="1516" w:hanging="360"/>
      </w:pPr>
    </w:lvl>
    <w:lvl w:ilvl="2" w:tentative="1">
      <w:start w:val="1"/>
      <w:numFmt w:val="lowerRoman"/>
      <w:lvlText w:val="%3."/>
      <w:lvlJc w:val="right"/>
      <w:pPr>
        <w:tabs>
          <w:tab w:val="num" w:pos="2236"/>
        </w:tabs>
        <w:ind w:left="2236" w:hanging="180"/>
      </w:pPr>
    </w:lvl>
    <w:lvl w:ilvl="3" w:tentative="1">
      <w:start w:val="1"/>
      <w:numFmt w:val="decimal"/>
      <w:lvlText w:val="%4."/>
      <w:lvlJc w:val="left"/>
      <w:pPr>
        <w:tabs>
          <w:tab w:val="num" w:pos="2956"/>
        </w:tabs>
        <w:ind w:left="2956" w:hanging="360"/>
      </w:pPr>
    </w:lvl>
    <w:lvl w:ilvl="4" w:tentative="1">
      <w:start w:val="1"/>
      <w:numFmt w:val="lowerLetter"/>
      <w:lvlText w:val="%5."/>
      <w:lvlJc w:val="left"/>
      <w:pPr>
        <w:tabs>
          <w:tab w:val="num" w:pos="3676"/>
        </w:tabs>
        <w:ind w:left="3676" w:hanging="360"/>
      </w:pPr>
    </w:lvl>
    <w:lvl w:ilvl="5" w:tentative="1">
      <w:start w:val="1"/>
      <w:numFmt w:val="lowerRoman"/>
      <w:lvlText w:val="%6."/>
      <w:lvlJc w:val="right"/>
      <w:pPr>
        <w:tabs>
          <w:tab w:val="num" w:pos="4396"/>
        </w:tabs>
        <w:ind w:left="4396" w:hanging="180"/>
      </w:pPr>
    </w:lvl>
    <w:lvl w:ilvl="6" w:tentative="1">
      <w:start w:val="1"/>
      <w:numFmt w:val="decimal"/>
      <w:lvlText w:val="%7."/>
      <w:lvlJc w:val="left"/>
      <w:pPr>
        <w:tabs>
          <w:tab w:val="num" w:pos="5116"/>
        </w:tabs>
        <w:ind w:left="5116" w:hanging="360"/>
      </w:pPr>
    </w:lvl>
    <w:lvl w:ilvl="7" w:tentative="1">
      <w:start w:val="1"/>
      <w:numFmt w:val="lowerLetter"/>
      <w:lvlText w:val="%8."/>
      <w:lvlJc w:val="left"/>
      <w:pPr>
        <w:tabs>
          <w:tab w:val="num" w:pos="5836"/>
        </w:tabs>
        <w:ind w:left="5836" w:hanging="360"/>
      </w:pPr>
    </w:lvl>
    <w:lvl w:ilvl="8" w:tentative="1">
      <w:start w:val="1"/>
      <w:numFmt w:val="lowerRoman"/>
      <w:lvlText w:val="%9."/>
      <w:lvlJc w:val="right"/>
      <w:pPr>
        <w:tabs>
          <w:tab w:val="num" w:pos="6556"/>
        </w:tabs>
        <w:ind w:left="6556" w:hanging="180"/>
      </w:pPr>
    </w:lvl>
  </w:abstractNum>
  <w:abstractNum w:abstractNumId="14">
    <w:nsid w:val="39507E7A"/>
    <w:multiLevelType w:val="hybridMultilevel"/>
    <w:tmpl w:val="B19073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A20139F"/>
    <w:multiLevelType w:val="hybridMultilevel"/>
    <w:tmpl w:val="B9BE50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7">
    <w:nsid w:val="41F92BF1"/>
    <w:multiLevelType w:val="hybridMultilevel"/>
    <w:tmpl w:val="DD349CA0"/>
    <w:lvl w:ilvl="0">
      <w:start w:val="1"/>
      <w:numFmt w:val="decimal"/>
      <w:lvlText w:val="(%1)"/>
      <w:lvlJc w:val="left"/>
      <w:pPr>
        <w:ind w:left="502" w:hanging="360"/>
      </w:pPr>
      <w:rPr>
        <w:rFonts w:cs="Times New Roman" w:hint="default"/>
        <w:b w:val="0"/>
        <w:strike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420F6CD1"/>
    <w:multiLevelType w:val="hybridMultilevel"/>
    <w:tmpl w:val="206419B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34D2754"/>
    <w:multiLevelType w:val="hybridMultilevel"/>
    <w:tmpl w:val="D76CF598"/>
    <w:lvl w:ilvl="0">
      <w:start w:val="2"/>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393A22"/>
    <w:multiLevelType w:val="hybridMultilevel"/>
    <w:tmpl w:val="B41C1D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BB464F"/>
    <w:multiLevelType w:val="hybridMultilevel"/>
    <w:tmpl w:val="32369D9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4E1D7843"/>
    <w:multiLevelType w:val="hybridMultilevel"/>
    <w:tmpl w:val="A22E2A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EC475CA"/>
    <w:multiLevelType w:val="hybridMultilevel"/>
    <w:tmpl w:val="95045A5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5">
    <w:nsid w:val="51516459"/>
    <w:multiLevelType w:val="hybridMultilevel"/>
    <w:tmpl w:val="0FA0AB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2AD6D07"/>
    <w:multiLevelType w:val="singleLevel"/>
    <w:tmpl w:val="C2D892C6"/>
    <w:lvl w:ilvl="0">
      <w:start w:val="2"/>
      <w:numFmt w:val="decimal"/>
      <w:lvlText w:val="%1."/>
      <w:lvlJc w:val="left"/>
      <w:pPr>
        <w:tabs>
          <w:tab w:val="num" w:pos="1068"/>
        </w:tabs>
        <w:ind w:left="1068" w:hanging="360"/>
      </w:pPr>
    </w:lvl>
  </w:abstractNum>
  <w:abstractNum w:abstractNumId="27">
    <w:nsid w:val="52B5414F"/>
    <w:multiLevelType w:val="hybridMultilevel"/>
    <w:tmpl w:val="8D5814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3C27450"/>
    <w:multiLevelType w:val="hybridMultilevel"/>
    <w:tmpl w:val="AA0882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6997125"/>
    <w:multiLevelType w:val="hybridMultilevel"/>
    <w:tmpl w:val="205CE21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5971035F"/>
    <w:multiLevelType w:val="hybridMultilevel"/>
    <w:tmpl w:val="442E12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BAD4E85"/>
    <w:multiLevelType w:val="hybridMultilevel"/>
    <w:tmpl w:val="62AA92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BC55D12"/>
    <w:multiLevelType w:val="hybridMultilevel"/>
    <w:tmpl w:val="45C4E39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DF416E6"/>
    <w:multiLevelType w:val="hybridMultilevel"/>
    <w:tmpl w:val="A0148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2D0216"/>
    <w:multiLevelType w:val="hybridMultilevel"/>
    <w:tmpl w:val="F878DD2C"/>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63F56B41"/>
    <w:multiLevelType w:val="hybridMultilevel"/>
    <w:tmpl w:val="A2B68EBC"/>
    <w:lvl w:ilvl="0">
      <w:start w:val="1"/>
      <w:numFmt w:val="lowerLetter"/>
      <w:lvlText w:val="%1)"/>
      <w:lvlJc w:val="left"/>
      <w:pPr>
        <w:ind w:left="1146" w:hanging="360"/>
      </w:pPr>
      <w:rPr>
        <w:rFonts w:cs="Times New Roman" w:hint="default"/>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38">
    <w:nsid w:val="6526425E"/>
    <w:multiLevelType w:val="hybridMultilevel"/>
    <w:tmpl w:val="C552681E"/>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9">
    <w:nsid w:val="6D4E1C31"/>
    <w:multiLevelType w:val="hybridMultilevel"/>
    <w:tmpl w:val="895292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18740D"/>
    <w:multiLevelType w:val="hybridMultilevel"/>
    <w:tmpl w:val="B016CA90"/>
    <w:lvl w:ilvl="0">
      <w:start w:val="1"/>
      <w:numFmt w:val="decimal"/>
      <w:lvlText w:val="%1."/>
      <w:lvlJc w:val="left"/>
      <w:pPr>
        <w:tabs>
          <w:tab w:val="num" w:pos="796"/>
        </w:tabs>
        <w:ind w:left="796"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169174E"/>
    <w:multiLevelType w:val="hybridMultilevel"/>
    <w:tmpl w:val="A740BA5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72557845"/>
    <w:multiLevelType w:val="hybridMultilevel"/>
    <w:tmpl w:val="ECFE554E"/>
    <w:lvl w:ilvl="0">
      <w:start w:val="56"/>
      <w:numFmt w:val="decimal"/>
      <w:suff w:val="space"/>
      <w:lvlText w:val="%1."/>
      <w:lvlJc w:val="left"/>
      <w:pPr>
        <w:ind w:left="708"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B13F28"/>
    <w:multiLevelType w:val="hybridMultilevel"/>
    <w:tmpl w:val="20803A94"/>
    <w:lvl w:ilvl="0">
      <w:start w:val="1"/>
      <w:numFmt w:val="lowerLetter"/>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4">
    <w:nsid w:val="753C5115"/>
    <w:multiLevelType w:val="hybridMultilevel"/>
    <w:tmpl w:val="CDBE7240"/>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5">
    <w:nsid w:val="78D900E4"/>
    <w:multiLevelType w:val="hybridMultilevel"/>
    <w:tmpl w:val="B81A7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B0A0324"/>
    <w:multiLevelType w:val="hybridMultilevel"/>
    <w:tmpl w:val="5D44808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lvlOverride w:ilvl="0"/>
  </w:num>
  <w:num w:numId="2">
    <w:abstractNumId w:val="26"/>
    <w:lvlOverride w:ilvl="0">
      <w:startOverride w:val="2"/>
    </w:lvlOverride>
  </w:num>
  <w:num w:numId="3">
    <w:abstractNumId w:val="16"/>
    <w:lvlOverride w:ilvl="0">
      <w:startOverride w:val="1"/>
    </w:lvlOverride>
  </w:num>
  <w:num w:numId="4">
    <w:abstractNumId w:val="36"/>
  </w:num>
  <w:num w:numId="5">
    <w:abstractNumId w:val="10"/>
  </w:num>
  <w:num w:numId="6">
    <w:abstractNumId w:val="14"/>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5"/>
  </w:num>
  <w:num w:numId="10">
    <w:abstractNumId w:val="46"/>
  </w:num>
  <w:num w:numId="11">
    <w:abstractNumId w:val="15"/>
  </w:num>
  <w:num w:numId="12">
    <w:abstractNumId w:val="8"/>
  </w:num>
  <w:num w:numId="13">
    <w:abstractNumId w:val="19"/>
  </w:num>
  <w:num w:numId="14">
    <w:abstractNumId w:val="28"/>
  </w:num>
  <w:num w:numId="15">
    <w:abstractNumId w:val="33"/>
  </w:num>
  <w:num w:numId="16">
    <w:abstractNumId w:val="29"/>
  </w:num>
  <w:num w:numId="17">
    <w:abstractNumId w:val="6"/>
  </w:num>
  <w:num w:numId="18">
    <w:abstractNumId w:val="21"/>
  </w:num>
  <w:num w:numId="19">
    <w:abstractNumId w:val="32"/>
  </w:num>
  <w:num w:numId="20">
    <w:abstractNumId w:val="18"/>
  </w:num>
  <w:num w:numId="21">
    <w:abstractNumId w:val="1"/>
  </w:num>
  <w:num w:numId="22">
    <w:abstractNumId w:val="22"/>
  </w:num>
  <w:num w:numId="23">
    <w:abstractNumId w:val="45"/>
  </w:num>
  <w:num w:numId="24">
    <w:abstractNumId w:val="38"/>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30"/>
  </w:num>
  <w:num w:numId="31">
    <w:abstractNumId w:val="7"/>
  </w:num>
  <w:num w:numId="32">
    <w:abstractNumId w:val="3"/>
  </w:num>
  <w:num w:numId="33">
    <w:abstractNumId w:val="37"/>
  </w:num>
  <w:num w:numId="34">
    <w:abstractNumId w:val="17"/>
  </w:num>
  <w:num w:numId="35">
    <w:abstractNumId w:val="39"/>
  </w:num>
  <w:num w:numId="36">
    <w:abstractNumId w:val="12"/>
  </w:num>
  <w:num w:numId="37">
    <w:abstractNumId w:val="44"/>
  </w:num>
  <w:num w:numId="38">
    <w:abstractNumId w:val="11"/>
  </w:num>
  <w:num w:numId="39">
    <w:abstractNumId w:val="43"/>
  </w:num>
  <w:num w:numId="40">
    <w:abstractNumId w:val="27"/>
  </w:num>
  <w:num w:numId="41">
    <w:abstractNumId w:val="24"/>
  </w:num>
  <w:num w:numId="42">
    <w:abstractNumId w:val="31"/>
  </w:num>
  <w:num w:numId="43">
    <w:abstractNumId w:val="2"/>
  </w:num>
  <w:num w:numId="44">
    <w:abstractNumId w:val="9"/>
  </w:num>
  <w:num w:numId="45">
    <w:abstractNumId w:val="4"/>
  </w:num>
  <w:num w:numId="46">
    <w:abstractNumId w:val="41"/>
  </w:num>
  <w:num w:numId="47">
    <w:abstractNumId w:val="34"/>
  </w:num>
  <w:num w:numId="48">
    <w:abstractNumId w:val="20"/>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0FB"/>
    <w:rsid w:val="000106DD"/>
    <w:rsid w:val="000115C8"/>
    <w:rsid w:val="0001250E"/>
    <w:rsid w:val="00014669"/>
    <w:rsid w:val="00016267"/>
    <w:rsid w:val="00016651"/>
    <w:rsid w:val="00016FE4"/>
    <w:rsid w:val="00020E29"/>
    <w:rsid w:val="00021995"/>
    <w:rsid w:val="00024F3F"/>
    <w:rsid w:val="000303C1"/>
    <w:rsid w:val="000306B9"/>
    <w:rsid w:val="000329FD"/>
    <w:rsid w:val="00034E87"/>
    <w:rsid w:val="00035163"/>
    <w:rsid w:val="00040487"/>
    <w:rsid w:val="00042BC8"/>
    <w:rsid w:val="00044158"/>
    <w:rsid w:val="0005018A"/>
    <w:rsid w:val="000523B0"/>
    <w:rsid w:val="00057821"/>
    <w:rsid w:val="00057C25"/>
    <w:rsid w:val="0006073C"/>
    <w:rsid w:val="00063ABC"/>
    <w:rsid w:val="00066E03"/>
    <w:rsid w:val="00070664"/>
    <w:rsid w:val="00073A82"/>
    <w:rsid w:val="0007603C"/>
    <w:rsid w:val="00077B17"/>
    <w:rsid w:val="000822D9"/>
    <w:rsid w:val="00084782"/>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3020"/>
    <w:rsid w:val="000D5484"/>
    <w:rsid w:val="000D643E"/>
    <w:rsid w:val="000D64EF"/>
    <w:rsid w:val="000E12FF"/>
    <w:rsid w:val="000E1E40"/>
    <w:rsid w:val="000E2D48"/>
    <w:rsid w:val="000E35ED"/>
    <w:rsid w:val="000E437A"/>
    <w:rsid w:val="000F7E66"/>
    <w:rsid w:val="00101249"/>
    <w:rsid w:val="00101B40"/>
    <w:rsid w:val="00103337"/>
    <w:rsid w:val="0010370B"/>
    <w:rsid w:val="00105888"/>
    <w:rsid w:val="00115AB5"/>
    <w:rsid w:val="00117B22"/>
    <w:rsid w:val="00121DBF"/>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508B"/>
    <w:rsid w:val="0018539F"/>
    <w:rsid w:val="001916F3"/>
    <w:rsid w:val="00191EB1"/>
    <w:rsid w:val="00194A2B"/>
    <w:rsid w:val="00196202"/>
    <w:rsid w:val="001A4AB1"/>
    <w:rsid w:val="001A68D5"/>
    <w:rsid w:val="001A730A"/>
    <w:rsid w:val="001B1AE7"/>
    <w:rsid w:val="001B5606"/>
    <w:rsid w:val="001B6F8B"/>
    <w:rsid w:val="001C00C0"/>
    <w:rsid w:val="001C320D"/>
    <w:rsid w:val="001C6B0F"/>
    <w:rsid w:val="001C6DCD"/>
    <w:rsid w:val="001D37AD"/>
    <w:rsid w:val="001D4C75"/>
    <w:rsid w:val="001D62B6"/>
    <w:rsid w:val="001D62BD"/>
    <w:rsid w:val="001E2DA3"/>
    <w:rsid w:val="001F071C"/>
    <w:rsid w:val="001F3DD4"/>
    <w:rsid w:val="001F4830"/>
    <w:rsid w:val="001F6083"/>
    <w:rsid w:val="00201E09"/>
    <w:rsid w:val="0020341D"/>
    <w:rsid w:val="002045DE"/>
    <w:rsid w:val="002120D0"/>
    <w:rsid w:val="002143BA"/>
    <w:rsid w:val="0021589D"/>
    <w:rsid w:val="00224F03"/>
    <w:rsid w:val="0022658C"/>
    <w:rsid w:val="00227BF3"/>
    <w:rsid w:val="00227BF5"/>
    <w:rsid w:val="002301DE"/>
    <w:rsid w:val="00230348"/>
    <w:rsid w:val="00231419"/>
    <w:rsid w:val="00233887"/>
    <w:rsid w:val="00233A93"/>
    <w:rsid w:val="00234211"/>
    <w:rsid w:val="002414D8"/>
    <w:rsid w:val="00243AD8"/>
    <w:rsid w:val="00245529"/>
    <w:rsid w:val="00250D21"/>
    <w:rsid w:val="00251E2A"/>
    <w:rsid w:val="00254F22"/>
    <w:rsid w:val="00260A9F"/>
    <w:rsid w:val="00260FCA"/>
    <w:rsid w:val="002624A5"/>
    <w:rsid w:val="002626A1"/>
    <w:rsid w:val="00262E63"/>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AD6"/>
    <w:rsid w:val="003039A8"/>
    <w:rsid w:val="00304962"/>
    <w:rsid w:val="003079DA"/>
    <w:rsid w:val="00312C55"/>
    <w:rsid w:val="003169EC"/>
    <w:rsid w:val="00316EBA"/>
    <w:rsid w:val="00317A71"/>
    <w:rsid w:val="00322ED7"/>
    <w:rsid w:val="00324934"/>
    <w:rsid w:val="003309F1"/>
    <w:rsid w:val="00333732"/>
    <w:rsid w:val="00333F8B"/>
    <w:rsid w:val="00334C96"/>
    <w:rsid w:val="00336528"/>
    <w:rsid w:val="003369A6"/>
    <w:rsid w:val="00337A05"/>
    <w:rsid w:val="00341282"/>
    <w:rsid w:val="00345555"/>
    <w:rsid w:val="00345857"/>
    <w:rsid w:val="00345BFB"/>
    <w:rsid w:val="00353558"/>
    <w:rsid w:val="0035436F"/>
    <w:rsid w:val="003577D1"/>
    <w:rsid w:val="00360D17"/>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DD5"/>
    <w:rsid w:val="003960BE"/>
    <w:rsid w:val="003A5848"/>
    <w:rsid w:val="003A5DDF"/>
    <w:rsid w:val="003A778C"/>
    <w:rsid w:val="003A7B2F"/>
    <w:rsid w:val="003B2C8E"/>
    <w:rsid w:val="003B3AE6"/>
    <w:rsid w:val="003B64C7"/>
    <w:rsid w:val="003B6B48"/>
    <w:rsid w:val="003B7F8C"/>
    <w:rsid w:val="003C1AC2"/>
    <w:rsid w:val="003C1BE0"/>
    <w:rsid w:val="003C2174"/>
    <w:rsid w:val="003C26AC"/>
    <w:rsid w:val="003D6EDC"/>
    <w:rsid w:val="003D7154"/>
    <w:rsid w:val="003E1359"/>
    <w:rsid w:val="003F5031"/>
    <w:rsid w:val="003F6481"/>
    <w:rsid w:val="003F77CF"/>
    <w:rsid w:val="00401761"/>
    <w:rsid w:val="004047A9"/>
    <w:rsid w:val="004055B6"/>
    <w:rsid w:val="00406515"/>
    <w:rsid w:val="00407D3C"/>
    <w:rsid w:val="004113B5"/>
    <w:rsid w:val="00412F54"/>
    <w:rsid w:val="00417F9D"/>
    <w:rsid w:val="00423B33"/>
    <w:rsid w:val="00424402"/>
    <w:rsid w:val="00424F83"/>
    <w:rsid w:val="00425959"/>
    <w:rsid w:val="0042646E"/>
    <w:rsid w:val="00426F4D"/>
    <w:rsid w:val="00431559"/>
    <w:rsid w:val="004329EB"/>
    <w:rsid w:val="00434E93"/>
    <w:rsid w:val="004365A2"/>
    <w:rsid w:val="00443599"/>
    <w:rsid w:val="00445EE1"/>
    <w:rsid w:val="00447314"/>
    <w:rsid w:val="0045045E"/>
    <w:rsid w:val="00450CAE"/>
    <w:rsid w:val="0045228D"/>
    <w:rsid w:val="00452CA8"/>
    <w:rsid w:val="00452FB6"/>
    <w:rsid w:val="00457983"/>
    <w:rsid w:val="00460624"/>
    <w:rsid w:val="0046269E"/>
    <w:rsid w:val="004664A3"/>
    <w:rsid w:val="0046679A"/>
    <w:rsid w:val="00471D67"/>
    <w:rsid w:val="00483811"/>
    <w:rsid w:val="00486553"/>
    <w:rsid w:val="00491A24"/>
    <w:rsid w:val="00492C2E"/>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EBC"/>
    <w:rsid w:val="004D2103"/>
    <w:rsid w:val="004E16E7"/>
    <w:rsid w:val="004E1881"/>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628B4"/>
    <w:rsid w:val="0056306F"/>
    <w:rsid w:val="005658DD"/>
    <w:rsid w:val="00575DA3"/>
    <w:rsid w:val="00576D0B"/>
    <w:rsid w:val="00577C08"/>
    <w:rsid w:val="00580814"/>
    <w:rsid w:val="00581430"/>
    <w:rsid w:val="005844C5"/>
    <w:rsid w:val="005864B1"/>
    <w:rsid w:val="0058773C"/>
    <w:rsid w:val="00587FF0"/>
    <w:rsid w:val="00591897"/>
    <w:rsid w:val="00593BF8"/>
    <w:rsid w:val="00593CC6"/>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4795"/>
    <w:rsid w:val="005E019F"/>
    <w:rsid w:val="005E370E"/>
    <w:rsid w:val="005E3E76"/>
    <w:rsid w:val="005E3EE5"/>
    <w:rsid w:val="005E4956"/>
    <w:rsid w:val="005E62EE"/>
    <w:rsid w:val="005F19D8"/>
    <w:rsid w:val="005F28CB"/>
    <w:rsid w:val="005F28F4"/>
    <w:rsid w:val="005F54BF"/>
    <w:rsid w:val="0060012A"/>
    <w:rsid w:val="0060220F"/>
    <w:rsid w:val="00602C18"/>
    <w:rsid w:val="00604048"/>
    <w:rsid w:val="00604D49"/>
    <w:rsid w:val="00606783"/>
    <w:rsid w:val="00606FF6"/>
    <w:rsid w:val="00613637"/>
    <w:rsid w:val="00613A37"/>
    <w:rsid w:val="0061716C"/>
    <w:rsid w:val="00624A29"/>
    <w:rsid w:val="006253BE"/>
    <w:rsid w:val="00626C13"/>
    <w:rsid w:val="00632596"/>
    <w:rsid w:val="006330B4"/>
    <w:rsid w:val="006332A4"/>
    <w:rsid w:val="0063534B"/>
    <w:rsid w:val="00642165"/>
    <w:rsid w:val="00644CFC"/>
    <w:rsid w:val="006520D2"/>
    <w:rsid w:val="006564B7"/>
    <w:rsid w:val="0066011D"/>
    <w:rsid w:val="0066150C"/>
    <w:rsid w:val="00665046"/>
    <w:rsid w:val="00667854"/>
    <w:rsid w:val="00671AF9"/>
    <w:rsid w:val="006734B7"/>
    <w:rsid w:val="006756F2"/>
    <w:rsid w:val="006772CD"/>
    <w:rsid w:val="00680381"/>
    <w:rsid w:val="00680EDA"/>
    <w:rsid w:val="0068313D"/>
    <w:rsid w:val="00684C67"/>
    <w:rsid w:val="0068614B"/>
    <w:rsid w:val="0068648D"/>
    <w:rsid w:val="00690B96"/>
    <w:rsid w:val="00691C40"/>
    <w:rsid w:val="00693C60"/>
    <w:rsid w:val="00693DEB"/>
    <w:rsid w:val="006941A1"/>
    <w:rsid w:val="006941F4"/>
    <w:rsid w:val="00695386"/>
    <w:rsid w:val="0069783A"/>
    <w:rsid w:val="006A0B65"/>
    <w:rsid w:val="006A104F"/>
    <w:rsid w:val="006A1414"/>
    <w:rsid w:val="006B6BA7"/>
    <w:rsid w:val="006C5BC2"/>
    <w:rsid w:val="006C6D49"/>
    <w:rsid w:val="006D0919"/>
    <w:rsid w:val="006D2328"/>
    <w:rsid w:val="006D3158"/>
    <w:rsid w:val="006D3863"/>
    <w:rsid w:val="006D63E4"/>
    <w:rsid w:val="006D6483"/>
    <w:rsid w:val="006D6AA3"/>
    <w:rsid w:val="006E1FB2"/>
    <w:rsid w:val="006E3117"/>
    <w:rsid w:val="006E3683"/>
    <w:rsid w:val="006E4D55"/>
    <w:rsid w:val="006E58E3"/>
    <w:rsid w:val="006F6DFA"/>
    <w:rsid w:val="00700EC2"/>
    <w:rsid w:val="00704953"/>
    <w:rsid w:val="007053A1"/>
    <w:rsid w:val="007058F0"/>
    <w:rsid w:val="00705A85"/>
    <w:rsid w:val="00707EDE"/>
    <w:rsid w:val="00707FD4"/>
    <w:rsid w:val="007104F1"/>
    <w:rsid w:val="0071089E"/>
    <w:rsid w:val="0071180F"/>
    <w:rsid w:val="007134E2"/>
    <w:rsid w:val="00714E9B"/>
    <w:rsid w:val="00715DEC"/>
    <w:rsid w:val="0071783F"/>
    <w:rsid w:val="0072061C"/>
    <w:rsid w:val="0072290F"/>
    <w:rsid w:val="00737319"/>
    <w:rsid w:val="007377AF"/>
    <w:rsid w:val="007411BA"/>
    <w:rsid w:val="00741E32"/>
    <w:rsid w:val="007427FE"/>
    <w:rsid w:val="00742C22"/>
    <w:rsid w:val="00752A2A"/>
    <w:rsid w:val="00757859"/>
    <w:rsid w:val="00757B31"/>
    <w:rsid w:val="007603F1"/>
    <w:rsid w:val="0076290E"/>
    <w:rsid w:val="00764F6E"/>
    <w:rsid w:val="00766C3E"/>
    <w:rsid w:val="00766EBF"/>
    <w:rsid w:val="00773EC5"/>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5E78"/>
    <w:rsid w:val="007C6807"/>
    <w:rsid w:val="007D15CA"/>
    <w:rsid w:val="007D2531"/>
    <w:rsid w:val="007D5D65"/>
    <w:rsid w:val="007D65E5"/>
    <w:rsid w:val="007D7698"/>
    <w:rsid w:val="007E01FF"/>
    <w:rsid w:val="007E0AA2"/>
    <w:rsid w:val="007E2AF9"/>
    <w:rsid w:val="007E5CDC"/>
    <w:rsid w:val="007E661E"/>
    <w:rsid w:val="007F1816"/>
    <w:rsid w:val="007F1915"/>
    <w:rsid w:val="007F3FD1"/>
    <w:rsid w:val="007F4379"/>
    <w:rsid w:val="007F4823"/>
    <w:rsid w:val="00807514"/>
    <w:rsid w:val="00810F46"/>
    <w:rsid w:val="008110E9"/>
    <w:rsid w:val="00816302"/>
    <w:rsid w:val="00816EE6"/>
    <w:rsid w:val="00821533"/>
    <w:rsid w:val="00822902"/>
    <w:rsid w:val="008245CC"/>
    <w:rsid w:val="00826CE5"/>
    <w:rsid w:val="00827A2E"/>
    <w:rsid w:val="00830366"/>
    <w:rsid w:val="00831293"/>
    <w:rsid w:val="00831A52"/>
    <w:rsid w:val="008373E5"/>
    <w:rsid w:val="00840569"/>
    <w:rsid w:val="00840B76"/>
    <w:rsid w:val="008413C8"/>
    <w:rsid w:val="00843C04"/>
    <w:rsid w:val="008444C0"/>
    <w:rsid w:val="00846B8E"/>
    <w:rsid w:val="008476F1"/>
    <w:rsid w:val="00847AC9"/>
    <w:rsid w:val="00850129"/>
    <w:rsid w:val="0085078D"/>
    <w:rsid w:val="0085359D"/>
    <w:rsid w:val="008537A3"/>
    <w:rsid w:val="00853FD0"/>
    <w:rsid w:val="00866BDE"/>
    <w:rsid w:val="00873586"/>
    <w:rsid w:val="0087403B"/>
    <w:rsid w:val="008745D9"/>
    <w:rsid w:val="00875134"/>
    <w:rsid w:val="00875152"/>
    <w:rsid w:val="00875632"/>
    <w:rsid w:val="00877725"/>
    <w:rsid w:val="00877D6D"/>
    <w:rsid w:val="00877FD0"/>
    <w:rsid w:val="008838A2"/>
    <w:rsid w:val="00883C11"/>
    <w:rsid w:val="00884A02"/>
    <w:rsid w:val="00885A23"/>
    <w:rsid w:val="00890309"/>
    <w:rsid w:val="0089069C"/>
    <w:rsid w:val="00891613"/>
    <w:rsid w:val="00891A63"/>
    <w:rsid w:val="00893F40"/>
    <w:rsid w:val="00894DF5"/>
    <w:rsid w:val="008953A1"/>
    <w:rsid w:val="0089741A"/>
    <w:rsid w:val="00897D95"/>
    <w:rsid w:val="008A02B0"/>
    <w:rsid w:val="008A4206"/>
    <w:rsid w:val="008B2614"/>
    <w:rsid w:val="008B40BC"/>
    <w:rsid w:val="008B4F03"/>
    <w:rsid w:val="008C1EBB"/>
    <w:rsid w:val="008C5547"/>
    <w:rsid w:val="008C68BA"/>
    <w:rsid w:val="008C6D09"/>
    <w:rsid w:val="008C71FA"/>
    <w:rsid w:val="008D615F"/>
    <w:rsid w:val="008E02E9"/>
    <w:rsid w:val="008E1580"/>
    <w:rsid w:val="008E2374"/>
    <w:rsid w:val="008E2D23"/>
    <w:rsid w:val="008E4092"/>
    <w:rsid w:val="008E5916"/>
    <w:rsid w:val="008E6DC6"/>
    <w:rsid w:val="008E7C76"/>
    <w:rsid w:val="008F10B7"/>
    <w:rsid w:val="008F1C89"/>
    <w:rsid w:val="008F3DA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4D16"/>
    <w:rsid w:val="00936EE3"/>
    <w:rsid w:val="00940764"/>
    <w:rsid w:val="00941599"/>
    <w:rsid w:val="00941952"/>
    <w:rsid w:val="00944E50"/>
    <w:rsid w:val="009454E9"/>
    <w:rsid w:val="00945EDC"/>
    <w:rsid w:val="00950D74"/>
    <w:rsid w:val="0095533E"/>
    <w:rsid w:val="00956145"/>
    <w:rsid w:val="00956D9A"/>
    <w:rsid w:val="0096626D"/>
    <w:rsid w:val="00971CD6"/>
    <w:rsid w:val="009725FC"/>
    <w:rsid w:val="00972EE9"/>
    <w:rsid w:val="0097371F"/>
    <w:rsid w:val="009744DD"/>
    <w:rsid w:val="00987274"/>
    <w:rsid w:val="009900F7"/>
    <w:rsid w:val="00990137"/>
    <w:rsid w:val="00990A24"/>
    <w:rsid w:val="00990AEE"/>
    <w:rsid w:val="00994521"/>
    <w:rsid w:val="00994685"/>
    <w:rsid w:val="009946BD"/>
    <w:rsid w:val="009A5688"/>
    <w:rsid w:val="009A6FDE"/>
    <w:rsid w:val="009B0732"/>
    <w:rsid w:val="009B23D8"/>
    <w:rsid w:val="009B2797"/>
    <w:rsid w:val="009B4452"/>
    <w:rsid w:val="009B4BB3"/>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3720"/>
    <w:rsid w:val="009F565B"/>
    <w:rsid w:val="009F6443"/>
    <w:rsid w:val="009F6658"/>
    <w:rsid w:val="009F77AE"/>
    <w:rsid w:val="00A01C0B"/>
    <w:rsid w:val="00A020EA"/>
    <w:rsid w:val="00A02A14"/>
    <w:rsid w:val="00A02CA7"/>
    <w:rsid w:val="00A03BBD"/>
    <w:rsid w:val="00A0620A"/>
    <w:rsid w:val="00A06F66"/>
    <w:rsid w:val="00A12885"/>
    <w:rsid w:val="00A13A2E"/>
    <w:rsid w:val="00A15165"/>
    <w:rsid w:val="00A233D0"/>
    <w:rsid w:val="00A24727"/>
    <w:rsid w:val="00A26A02"/>
    <w:rsid w:val="00A32823"/>
    <w:rsid w:val="00A3450F"/>
    <w:rsid w:val="00A4539D"/>
    <w:rsid w:val="00A4586F"/>
    <w:rsid w:val="00A466EB"/>
    <w:rsid w:val="00A53A45"/>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29A0"/>
    <w:rsid w:val="00AA3C33"/>
    <w:rsid w:val="00AA3EC8"/>
    <w:rsid w:val="00AA5221"/>
    <w:rsid w:val="00AA6C0C"/>
    <w:rsid w:val="00AB6C5E"/>
    <w:rsid w:val="00AB7CFA"/>
    <w:rsid w:val="00AC16EF"/>
    <w:rsid w:val="00AC1AE2"/>
    <w:rsid w:val="00AC2E02"/>
    <w:rsid w:val="00AC3DF1"/>
    <w:rsid w:val="00AC5433"/>
    <w:rsid w:val="00AC5933"/>
    <w:rsid w:val="00AD5857"/>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0FA8"/>
    <w:rsid w:val="00B12B3A"/>
    <w:rsid w:val="00B139EC"/>
    <w:rsid w:val="00B14859"/>
    <w:rsid w:val="00B150DA"/>
    <w:rsid w:val="00B16840"/>
    <w:rsid w:val="00B325F3"/>
    <w:rsid w:val="00B37FC1"/>
    <w:rsid w:val="00B40188"/>
    <w:rsid w:val="00B4197E"/>
    <w:rsid w:val="00B4269F"/>
    <w:rsid w:val="00B42AD1"/>
    <w:rsid w:val="00B430C7"/>
    <w:rsid w:val="00B4389E"/>
    <w:rsid w:val="00B51F92"/>
    <w:rsid w:val="00B52049"/>
    <w:rsid w:val="00B5790B"/>
    <w:rsid w:val="00B625CB"/>
    <w:rsid w:val="00B65DAC"/>
    <w:rsid w:val="00B66421"/>
    <w:rsid w:val="00B66753"/>
    <w:rsid w:val="00B670A6"/>
    <w:rsid w:val="00B72B50"/>
    <w:rsid w:val="00B771F3"/>
    <w:rsid w:val="00B77420"/>
    <w:rsid w:val="00B804A9"/>
    <w:rsid w:val="00B81732"/>
    <w:rsid w:val="00B93881"/>
    <w:rsid w:val="00B94345"/>
    <w:rsid w:val="00B94F5C"/>
    <w:rsid w:val="00B9709D"/>
    <w:rsid w:val="00BA0BE8"/>
    <w:rsid w:val="00BA33CD"/>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3772"/>
    <w:rsid w:val="00BE4148"/>
    <w:rsid w:val="00BF27C0"/>
    <w:rsid w:val="00BF3C60"/>
    <w:rsid w:val="00BF59F6"/>
    <w:rsid w:val="00BF5C20"/>
    <w:rsid w:val="00C00175"/>
    <w:rsid w:val="00C00988"/>
    <w:rsid w:val="00C00DFF"/>
    <w:rsid w:val="00C06292"/>
    <w:rsid w:val="00C1056F"/>
    <w:rsid w:val="00C12201"/>
    <w:rsid w:val="00C14BCD"/>
    <w:rsid w:val="00C17B11"/>
    <w:rsid w:val="00C23A36"/>
    <w:rsid w:val="00C24139"/>
    <w:rsid w:val="00C26BEC"/>
    <w:rsid w:val="00C27A4F"/>
    <w:rsid w:val="00C30F33"/>
    <w:rsid w:val="00C314EA"/>
    <w:rsid w:val="00C339FD"/>
    <w:rsid w:val="00C34F92"/>
    <w:rsid w:val="00C3771F"/>
    <w:rsid w:val="00C37DED"/>
    <w:rsid w:val="00C40448"/>
    <w:rsid w:val="00C4162D"/>
    <w:rsid w:val="00C42F36"/>
    <w:rsid w:val="00C43433"/>
    <w:rsid w:val="00C45299"/>
    <w:rsid w:val="00C47624"/>
    <w:rsid w:val="00C50C39"/>
    <w:rsid w:val="00C53094"/>
    <w:rsid w:val="00C54990"/>
    <w:rsid w:val="00C561C9"/>
    <w:rsid w:val="00C56811"/>
    <w:rsid w:val="00C56D4B"/>
    <w:rsid w:val="00C575A7"/>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5F0"/>
    <w:rsid w:val="00CD37B3"/>
    <w:rsid w:val="00CD6574"/>
    <w:rsid w:val="00CD6A70"/>
    <w:rsid w:val="00CE2E8E"/>
    <w:rsid w:val="00CE5AB9"/>
    <w:rsid w:val="00CE63B3"/>
    <w:rsid w:val="00CE6941"/>
    <w:rsid w:val="00CE7C47"/>
    <w:rsid w:val="00CF20EB"/>
    <w:rsid w:val="00D000CE"/>
    <w:rsid w:val="00D018C7"/>
    <w:rsid w:val="00D0243B"/>
    <w:rsid w:val="00D0567B"/>
    <w:rsid w:val="00D07F4C"/>
    <w:rsid w:val="00D10103"/>
    <w:rsid w:val="00D1078D"/>
    <w:rsid w:val="00D1357B"/>
    <w:rsid w:val="00D20866"/>
    <w:rsid w:val="00D24BC0"/>
    <w:rsid w:val="00D2644C"/>
    <w:rsid w:val="00D2759E"/>
    <w:rsid w:val="00D3131A"/>
    <w:rsid w:val="00D32315"/>
    <w:rsid w:val="00D33D20"/>
    <w:rsid w:val="00D3523E"/>
    <w:rsid w:val="00D365D2"/>
    <w:rsid w:val="00D36E81"/>
    <w:rsid w:val="00D37510"/>
    <w:rsid w:val="00D37E15"/>
    <w:rsid w:val="00D41E92"/>
    <w:rsid w:val="00D45D6F"/>
    <w:rsid w:val="00D4791F"/>
    <w:rsid w:val="00D52A8F"/>
    <w:rsid w:val="00D52FD3"/>
    <w:rsid w:val="00D551B2"/>
    <w:rsid w:val="00D55C29"/>
    <w:rsid w:val="00D60EB7"/>
    <w:rsid w:val="00D610AD"/>
    <w:rsid w:val="00D71439"/>
    <w:rsid w:val="00D7185D"/>
    <w:rsid w:val="00D772CF"/>
    <w:rsid w:val="00D77F71"/>
    <w:rsid w:val="00D8174D"/>
    <w:rsid w:val="00D83556"/>
    <w:rsid w:val="00D86FAE"/>
    <w:rsid w:val="00D9251C"/>
    <w:rsid w:val="00D925DE"/>
    <w:rsid w:val="00D93639"/>
    <w:rsid w:val="00D95C42"/>
    <w:rsid w:val="00D9797E"/>
    <w:rsid w:val="00DA0FFF"/>
    <w:rsid w:val="00DA16C3"/>
    <w:rsid w:val="00DA1C60"/>
    <w:rsid w:val="00DA324A"/>
    <w:rsid w:val="00DA7CAC"/>
    <w:rsid w:val="00DB36E6"/>
    <w:rsid w:val="00DB4C12"/>
    <w:rsid w:val="00DB6210"/>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3BBE"/>
    <w:rsid w:val="00E24C65"/>
    <w:rsid w:val="00E26516"/>
    <w:rsid w:val="00E3063E"/>
    <w:rsid w:val="00E31CA8"/>
    <w:rsid w:val="00E330ED"/>
    <w:rsid w:val="00E3354B"/>
    <w:rsid w:val="00E356A7"/>
    <w:rsid w:val="00E37D22"/>
    <w:rsid w:val="00E37D6A"/>
    <w:rsid w:val="00E43443"/>
    <w:rsid w:val="00E43DDB"/>
    <w:rsid w:val="00E4481E"/>
    <w:rsid w:val="00E465E2"/>
    <w:rsid w:val="00E50352"/>
    <w:rsid w:val="00E53118"/>
    <w:rsid w:val="00E531EA"/>
    <w:rsid w:val="00E55C48"/>
    <w:rsid w:val="00E56A10"/>
    <w:rsid w:val="00E63104"/>
    <w:rsid w:val="00E63E78"/>
    <w:rsid w:val="00E6496B"/>
    <w:rsid w:val="00E650EC"/>
    <w:rsid w:val="00E660BF"/>
    <w:rsid w:val="00E715A9"/>
    <w:rsid w:val="00E71996"/>
    <w:rsid w:val="00E71D6F"/>
    <w:rsid w:val="00E724ED"/>
    <w:rsid w:val="00E771B9"/>
    <w:rsid w:val="00E82966"/>
    <w:rsid w:val="00E90BD3"/>
    <w:rsid w:val="00E97AA8"/>
    <w:rsid w:val="00E97AB2"/>
    <w:rsid w:val="00EA0C70"/>
    <w:rsid w:val="00EA5450"/>
    <w:rsid w:val="00EA5FC5"/>
    <w:rsid w:val="00EA71B8"/>
    <w:rsid w:val="00EB1190"/>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E1D38"/>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7C55"/>
    <w:rsid w:val="00F627C6"/>
    <w:rsid w:val="00F62899"/>
    <w:rsid w:val="00F65810"/>
    <w:rsid w:val="00F732A2"/>
    <w:rsid w:val="00F80EC4"/>
    <w:rsid w:val="00F84983"/>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3"/>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character" w:customStyle="1" w:styleId="Zkladntext2Char">
    <w:name w:val="Základný text 2 Char"/>
    <w:link w:val="BodyText2"/>
    <w:rsid w:val="00434E93"/>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2267</TotalTime>
  <Pages>12</Pages>
  <Words>4307</Words>
  <Characters>24550</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770</cp:revision>
  <cp:lastPrinted>2011-06-28T07:06:00Z</cp:lastPrinted>
  <dcterms:created xsi:type="dcterms:W3CDTF">2002-11-04T12:16:00Z</dcterms:created>
  <dcterms:modified xsi:type="dcterms:W3CDTF">2013-06-17T10:36:00Z</dcterms:modified>
</cp:coreProperties>
</file>