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55DF8" w:rsidRPr="00C66B12" w:rsidP="005D18E8">
      <w:pPr>
        <w:pBdr>
          <w:bottom w:val="single" w:sz="12" w:space="1" w:color="auto"/>
        </w:pBdr>
        <w:bidi w:val="0"/>
        <w:spacing w:line="360" w:lineRule="auto"/>
        <w:jc w:val="center"/>
        <w:rPr>
          <w:rFonts w:ascii="Book Antiqua" w:hAnsi="Book Antiqua"/>
          <w:b/>
          <w:spacing w:val="20"/>
          <w:sz w:val="22"/>
          <w:szCs w:val="22"/>
        </w:rPr>
      </w:pPr>
      <w:r w:rsidRPr="00C66B12">
        <w:rPr>
          <w:rFonts w:ascii="Book Antiqua" w:hAnsi="Book Antiqua"/>
          <w:b/>
          <w:spacing w:val="20"/>
          <w:sz w:val="22"/>
          <w:szCs w:val="22"/>
        </w:rPr>
        <w:t>NÁRODNÁ  RADA  SLOVENSKEJ  REPUBLIKY</w:t>
      </w:r>
    </w:p>
    <w:p w:rsidR="00355DF8" w:rsidRPr="00C66B12" w:rsidP="005D18E8">
      <w:pPr>
        <w:bidi w:val="0"/>
        <w:spacing w:line="360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355DF8" w:rsidRPr="00C66B12" w:rsidP="005D18E8">
      <w:pPr>
        <w:bidi w:val="0"/>
        <w:spacing w:line="360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C66B12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6A2A48" w:rsidRPr="00C66B12" w:rsidP="006A2A48">
      <w:pPr>
        <w:bidi w:val="0"/>
        <w:spacing w:line="360" w:lineRule="auto"/>
        <w:rPr>
          <w:rFonts w:ascii="Book Antiqua" w:hAnsi="Book Antiqua"/>
          <w:b/>
          <w:spacing w:val="30"/>
          <w:sz w:val="22"/>
          <w:szCs w:val="22"/>
        </w:rPr>
      </w:pPr>
    </w:p>
    <w:p w:rsidR="00355DF8" w:rsidRPr="00C66B12" w:rsidP="005D18E8">
      <w:pPr>
        <w:bidi w:val="0"/>
        <w:spacing w:line="360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  <w:r w:rsidRPr="00C66B12">
        <w:rPr>
          <w:rFonts w:ascii="Book Antiqua" w:hAnsi="Book Antiqua"/>
          <w:b/>
          <w:spacing w:val="30"/>
          <w:sz w:val="22"/>
          <w:szCs w:val="22"/>
        </w:rPr>
        <w:t>Návrh</w:t>
      </w:r>
    </w:p>
    <w:p w:rsidR="00450A28" w:rsidRPr="00C66B12" w:rsidP="005D18E8">
      <w:pPr>
        <w:bidi w:val="0"/>
        <w:spacing w:line="360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450A28" w:rsidRPr="00C66B12" w:rsidP="005D18E8">
      <w:pPr>
        <w:bidi w:val="0"/>
        <w:spacing w:line="360" w:lineRule="auto"/>
        <w:jc w:val="center"/>
        <w:rPr>
          <w:rFonts w:ascii="Book Antiqua" w:hAnsi="Book Antiqua"/>
          <w:b/>
          <w:caps/>
          <w:spacing w:val="30"/>
          <w:sz w:val="22"/>
          <w:szCs w:val="22"/>
        </w:rPr>
      </w:pPr>
      <w:r w:rsidRPr="00C66B12" w:rsidR="00355DF8">
        <w:rPr>
          <w:rFonts w:ascii="Book Antiqua" w:hAnsi="Book Antiqua"/>
          <w:b/>
          <w:caps/>
          <w:spacing w:val="30"/>
          <w:sz w:val="22"/>
          <w:szCs w:val="22"/>
        </w:rPr>
        <w:t>ÚSTAVNÝ zákon</w:t>
      </w:r>
    </w:p>
    <w:p w:rsidR="00450A28" w:rsidRPr="00C66B12" w:rsidP="005D18E8">
      <w:pPr>
        <w:bidi w:val="0"/>
        <w:spacing w:line="360" w:lineRule="auto"/>
        <w:jc w:val="center"/>
        <w:rPr>
          <w:rFonts w:ascii="Book Antiqua" w:hAnsi="Book Antiqua"/>
          <w:sz w:val="22"/>
          <w:szCs w:val="22"/>
        </w:rPr>
      </w:pPr>
    </w:p>
    <w:p w:rsidR="00355DF8" w:rsidRPr="00C66B12" w:rsidP="005D18E8">
      <w:pPr>
        <w:bidi w:val="0"/>
        <w:spacing w:line="360" w:lineRule="auto"/>
        <w:jc w:val="center"/>
        <w:rPr>
          <w:rFonts w:ascii="Book Antiqua" w:hAnsi="Book Antiqua"/>
          <w:sz w:val="22"/>
          <w:szCs w:val="22"/>
        </w:rPr>
      </w:pPr>
      <w:r w:rsidRPr="00C66B12">
        <w:rPr>
          <w:rFonts w:ascii="Book Antiqua" w:hAnsi="Book Antiqua"/>
          <w:sz w:val="22"/>
          <w:szCs w:val="22"/>
        </w:rPr>
        <w:t>z ... 2013,</w:t>
      </w:r>
    </w:p>
    <w:p w:rsidR="00355DF8" w:rsidRPr="00C66B12" w:rsidP="005D18E8">
      <w:pPr>
        <w:bidi w:val="0"/>
        <w:spacing w:line="360" w:lineRule="auto"/>
        <w:jc w:val="center"/>
        <w:rPr>
          <w:rFonts w:ascii="Book Antiqua" w:hAnsi="Book Antiqua"/>
          <w:sz w:val="22"/>
          <w:szCs w:val="22"/>
        </w:rPr>
      </w:pPr>
    </w:p>
    <w:p w:rsidR="00355DF8" w:rsidRPr="00C66B12" w:rsidP="005D18E8">
      <w:pPr>
        <w:bidi w:val="0"/>
        <w:spacing w:line="360" w:lineRule="auto"/>
        <w:jc w:val="center"/>
        <w:rPr>
          <w:rFonts w:ascii="Book Antiqua" w:hAnsi="Book Antiqua"/>
          <w:b/>
          <w:sz w:val="22"/>
          <w:szCs w:val="22"/>
        </w:rPr>
      </w:pPr>
      <w:r w:rsidRPr="00C66B12">
        <w:rPr>
          <w:rFonts w:ascii="Book Antiqua" w:hAnsi="Book Antiqua"/>
          <w:b/>
          <w:sz w:val="22"/>
          <w:szCs w:val="22"/>
        </w:rPr>
        <w:t xml:space="preserve">ktorým sa </w:t>
      </w:r>
      <w:r w:rsidRPr="00C66B12" w:rsidR="00496A32">
        <w:rPr>
          <w:rFonts w:ascii="Book Antiqua" w:hAnsi="Book Antiqua"/>
          <w:b/>
          <w:sz w:val="22"/>
          <w:szCs w:val="22"/>
        </w:rPr>
        <w:t xml:space="preserve">mení a </w:t>
      </w:r>
      <w:r w:rsidRPr="00C66B12">
        <w:rPr>
          <w:rFonts w:ascii="Book Antiqua" w:hAnsi="Book Antiqua"/>
          <w:b/>
          <w:sz w:val="22"/>
          <w:szCs w:val="22"/>
        </w:rPr>
        <w:t xml:space="preserve">dopĺňa Ústava Slovenskej republiky č. 460/1992 Zb. v znení neskorších predpisov </w:t>
      </w:r>
    </w:p>
    <w:p w:rsidR="00355DF8" w:rsidRPr="00C66B12" w:rsidP="005D18E8">
      <w:pPr>
        <w:bidi w:val="0"/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:rsidR="00355DF8" w:rsidRPr="00C66B12" w:rsidP="005D18E8">
      <w:pPr>
        <w:bidi w:val="0"/>
        <w:spacing w:line="360" w:lineRule="auto"/>
        <w:jc w:val="both"/>
        <w:rPr>
          <w:rFonts w:ascii="Book Antiqua" w:hAnsi="Book Antiqua"/>
          <w:sz w:val="22"/>
          <w:szCs w:val="22"/>
        </w:rPr>
      </w:pPr>
      <w:r w:rsidRPr="00C66B12">
        <w:rPr>
          <w:rFonts w:ascii="Book Antiqua" w:hAnsi="Book Antiqua"/>
          <w:sz w:val="22"/>
          <w:szCs w:val="22"/>
        </w:rPr>
        <w:t xml:space="preserve">Národná rada Slovenskej republiky sa uzniesla na tomto ústavnom zákone: </w:t>
      </w:r>
    </w:p>
    <w:p w:rsidR="00355DF8" w:rsidRPr="00C66B12" w:rsidP="005D18E8">
      <w:pPr>
        <w:bidi w:val="0"/>
        <w:spacing w:line="360" w:lineRule="auto"/>
        <w:jc w:val="both"/>
        <w:rPr>
          <w:rFonts w:ascii="Book Antiqua" w:hAnsi="Book Antiqua"/>
          <w:b/>
          <w:sz w:val="22"/>
          <w:szCs w:val="22"/>
        </w:rPr>
      </w:pPr>
    </w:p>
    <w:p w:rsidR="00355DF8" w:rsidRPr="00C66B12" w:rsidP="005D18E8">
      <w:pPr>
        <w:bidi w:val="0"/>
        <w:spacing w:line="360" w:lineRule="auto"/>
        <w:jc w:val="center"/>
        <w:rPr>
          <w:rFonts w:ascii="Book Antiqua" w:hAnsi="Book Antiqua"/>
          <w:b/>
          <w:sz w:val="22"/>
          <w:szCs w:val="22"/>
        </w:rPr>
      </w:pPr>
      <w:r w:rsidRPr="00C66B12">
        <w:rPr>
          <w:rFonts w:ascii="Book Antiqua" w:hAnsi="Book Antiqua"/>
          <w:b/>
          <w:sz w:val="22"/>
          <w:szCs w:val="22"/>
        </w:rPr>
        <w:t>Čl. I</w:t>
      </w:r>
    </w:p>
    <w:p w:rsidR="00355DF8" w:rsidRPr="00C66B12" w:rsidP="005D18E8">
      <w:pPr>
        <w:bidi w:val="0"/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:rsidR="00355DF8" w:rsidRPr="00C66B12" w:rsidP="004A3E2C">
      <w:pPr>
        <w:autoSpaceDE w:val="0"/>
        <w:autoSpaceDN w:val="0"/>
        <w:bidi w:val="0"/>
        <w:adjustRightInd w:val="0"/>
        <w:spacing w:line="360" w:lineRule="auto"/>
        <w:jc w:val="both"/>
        <w:rPr>
          <w:rFonts w:ascii="Book Antiqua" w:hAnsi="Book Antiqua"/>
          <w:color w:val="231F20"/>
          <w:sz w:val="22"/>
          <w:szCs w:val="22"/>
          <w:lang w:eastAsia="en-US"/>
        </w:rPr>
      </w:pPr>
      <w:r w:rsidRPr="00C66B12">
        <w:rPr>
          <w:rFonts w:ascii="Book Antiqua" w:hAnsi="Book Antiqua"/>
          <w:color w:val="231F20"/>
          <w:sz w:val="22"/>
          <w:szCs w:val="22"/>
          <w:lang w:eastAsia="en-US"/>
        </w:rPr>
        <w:t>Ústava Slovenskej republiky č. 460/1992 Zb. v znení ústavného zákona č. 244/1998 Z. z., ústavného zákona č. 9/1999 Z. z., ústavného zákona č. 90/2001 Z. z, ústavného zákona</w:t>
      </w:r>
      <w:r w:rsidRPr="00C66B12" w:rsidR="009B3C7E">
        <w:rPr>
          <w:rFonts w:ascii="Book Antiqua" w:hAnsi="Book Antiqua"/>
          <w:color w:val="231F20"/>
          <w:sz w:val="22"/>
          <w:szCs w:val="22"/>
          <w:lang w:eastAsia="en-US"/>
        </w:rPr>
        <w:t xml:space="preserve"> </w:t>
      </w:r>
      <w:r w:rsidRPr="00C66B12" w:rsidR="00496A32">
        <w:rPr>
          <w:rFonts w:ascii="Book Antiqua" w:hAnsi="Book Antiqua"/>
          <w:color w:val="231F20"/>
          <w:sz w:val="22"/>
          <w:szCs w:val="22"/>
          <w:lang w:eastAsia="en-US"/>
        </w:rPr>
        <w:t xml:space="preserve">         </w:t>
      </w:r>
      <w:r w:rsidRPr="00C66B12">
        <w:rPr>
          <w:rFonts w:ascii="Book Antiqua" w:hAnsi="Book Antiqua"/>
          <w:color w:val="231F20"/>
          <w:sz w:val="22"/>
          <w:szCs w:val="22"/>
          <w:lang w:eastAsia="en-US"/>
        </w:rPr>
        <w:t xml:space="preserve">č. 140/2004 Z. z., ústavného zákona č. 323/2004 Z. z., ústavného zákona č. 463/2005 Z. z., ústavného zákona č. 92/2006 Z. z., ústavného zákona č. 210/2006 Z. z., ústavného zákona </w:t>
      </w:r>
      <w:r w:rsidRPr="00C66B12" w:rsidR="00496A32">
        <w:rPr>
          <w:rFonts w:ascii="Book Antiqua" w:hAnsi="Book Antiqua"/>
          <w:color w:val="231F20"/>
          <w:sz w:val="22"/>
          <w:szCs w:val="22"/>
          <w:lang w:eastAsia="en-US"/>
        </w:rPr>
        <w:t xml:space="preserve">    </w:t>
      </w:r>
      <w:r w:rsidRPr="00C66B12">
        <w:rPr>
          <w:rFonts w:ascii="Book Antiqua" w:hAnsi="Book Antiqua"/>
          <w:color w:val="231F20"/>
          <w:sz w:val="22"/>
          <w:szCs w:val="22"/>
          <w:lang w:eastAsia="en-US"/>
        </w:rPr>
        <w:t xml:space="preserve">č. 100/2010 Z. z., ústavného zákona č. 356/2011 Z. z. a ústavného zákona č. 232/2012 Z. z. sa </w:t>
      </w:r>
      <w:r w:rsidRPr="00C66B12" w:rsidR="00472D5D">
        <w:rPr>
          <w:rFonts w:ascii="Book Antiqua" w:hAnsi="Book Antiqua"/>
          <w:color w:val="231F20"/>
          <w:sz w:val="22"/>
          <w:szCs w:val="22"/>
          <w:lang w:eastAsia="en-US"/>
        </w:rPr>
        <w:t xml:space="preserve">mení a </w:t>
      </w:r>
      <w:r w:rsidRPr="00C66B12">
        <w:rPr>
          <w:rFonts w:ascii="Book Antiqua" w:hAnsi="Book Antiqua"/>
          <w:color w:val="231F20"/>
          <w:sz w:val="22"/>
          <w:szCs w:val="22"/>
          <w:lang w:eastAsia="en-US"/>
        </w:rPr>
        <w:t>dopĺňa takto:</w:t>
      </w:r>
    </w:p>
    <w:p w:rsidR="00355DF8" w:rsidRPr="00C66B12" w:rsidP="005D18E8">
      <w:pPr>
        <w:autoSpaceDE w:val="0"/>
        <w:autoSpaceDN w:val="0"/>
        <w:bidi w:val="0"/>
        <w:adjustRightInd w:val="0"/>
        <w:spacing w:line="360" w:lineRule="auto"/>
        <w:jc w:val="both"/>
        <w:rPr>
          <w:rFonts w:ascii="Book Antiqua" w:hAnsi="Book Antiqua"/>
          <w:bCs/>
          <w:sz w:val="22"/>
          <w:szCs w:val="22"/>
        </w:rPr>
      </w:pPr>
    </w:p>
    <w:p w:rsidR="0039747B" w:rsidRPr="00C66B12" w:rsidP="006A2A48">
      <w:pPr>
        <w:numPr>
          <w:numId w:val="3"/>
        </w:numPr>
        <w:bidi w:val="0"/>
        <w:spacing w:line="360" w:lineRule="auto"/>
        <w:jc w:val="both"/>
        <w:rPr>
          <w:rFonts w:ascii="Book Antiqua" w:hAnsi="Book Antiqua"/>
          <w:bCs/>
          <w:sz w:val="22"/>
          <w:szCs w:val="22"/>
        </w:rPr>
      </w:pPr>
      <w:r w:rsidRPr="00C66B12">
        <w:rPr>
          <w:rFonts w:ascii="Book Antiqua" w:hAnsi="Book Antiqua"/>
          <w:bCs/>
          <w:sz w:val="22"/>
          <w:szCs w:val="22"/>
        </w:rPr>
        <w:t>Čl. 61 znie:</w:t>
      </w:r>
    </w:p>
    <w:p w:rsidR="0039747B" w:rsidRPr="00C66B12" w:rsidP="0039747B">
      <w:pPr>
        <w:bidi w:val="0"/>
        <w:spacing w:line="360" w:lineRule="auto"/>
        <w:ind w:left="720"/>
        <w:jc w:val="center"/>
        <w:rPr>
          <w:rFonts w:ascii="Book Antiqua" w:hAnsi="Book Antiqua"/>
          <w:bCs/>
          <w:sz w:val="22"/>
          <w:szCs w:val="22"/>
        </w:rPr>
      </w:pPr>
      <w:r w:rsidRPr="00C66B12">
        <w:rPr>
          <w:rFonts w:ascii="Book Antiqua" w:hAnsi="Book Antiqua"/>
          <w:bCs/>
          <w:sz w:val="22"/>
          <w:szCs w:val="22"/>
        </w:rPr>
        <w:t>„</w:t>
      </w:r>
      <w:r w:rsidRPr="00C66B12">
        <w:rPr>
          <w:rFonts w:ascii="Book Antiqua" w:hAnsi="Book Antiqua"/>
          <w:b/>
          <w:bCs/>
          <w:sz w:val="22"/>
          <w:szCs w:val="22"/>
        </w:rPr>
        <w:t>Čl. 61</w:t>
      </w:r>
    </w:p>
    <w:p w:rsidR="00D72D34" w:rsidRPr="00C66B12" w:rsidP="0039747B">
      <w:pPr>
        <w:bidi w:val="0"/>
        <w:spacing w:line="360" w:lineRule="auto"/>
        <w:ind w:left="720"/>
        <w:jc w:val="center"/>
        <w:rPr>
          <w:rFonts w:ascii="Book Antiqua" w:hAnsi="Book Antiqua"/>
          <w:bCs/>
          <w:sz w:val="22"/>
          <w:szCs w:val="22"/>
        </w:rPr>
      </w:pPr>
    </w:p>
    <w:p w:rsidR="002D3D18" w:rsidRPr="00C66B12" w:rsidP="00D72D34">
      <w:pPr>
        <w:numPr>
          <w:numId w:val="5"/>
        </w:numPr>
        <w:tabs>
          <w:tab w:val="left" w:pos="1134"/>
        </w:tabs>
        <w:bidi w:val="0"/>
        <w:spacing w:line="360" w:lineRule="auto"/>
        <w:ind w:left="709" w:firstLine="11"/>
        <w:jc w:val="both"/>
        <w:rPr>
          <w:rFonts w:ascii="Book Antiqua" w:hAnsi="Book Antiqua"/>
          <w:bCs/>
          <w:sz w:val="22"/>
          <w:szCs w:val="22"/>
        </w:rPr>
      </w:pPr>
      <w:r w:rsidRPr="00C66B12" w:rsidR="0039747B">
        <w:rPr>
          <w:rFonts w:ascii="Book Antiqua" w:hAnsi="Book Antiqua"/>
          <w:bCs/>
          <w:sz w:val="22"/>
          <w:szCs w:val="22"/>
        </w:rPr>
        <w:t>Na čele najvyššieho kontrolného úradu je predseda. Predsedu najvyššieho kontrolného úradu volí a odvoláva Nár</w:t>
      </w:r>
      <w:r w:rsidRPr="00C66B12" w:rsidR="005741B6">
        <w:rPr>
          <w:rFonts w:ascii="Book Antiqua" w:hAnsi="Book Antiqua"/>
          <w:bCs/>
          <w:sz w:val="22"/>
          <w:szCs w:val="22"/>
        </w:rPr>
        <w:t>odná rada Slovenskej republiky.</w:t>
      </w:r>
    </w:p>
    <w:p w:rsidR="002D3D18" w:rsidRPr="00C66B12" w:rsidP="002D3D18">
      <w:pPr>
        <w:tabs>
          <w:tab w:val="left" w:pos="1134"/>
        </w:tabs>
        <w:bidi w:val="0"/>
        <w:spacing w:line="360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</w:p>
    <w:p w:rsidR="006A2A48" w:rsidRPr="00C66B12" w:rsidP="00D72D34">
      <w:pPr>
        <w:numPr>
          <w:numId w:val="5"/>
        </w:numPr>
        <w:tabs>
          <w:tab w:val="left" w:pos="1134"/>
        </w:tabs>
        <w:bidi w:val="0"/>
        <w:spacing w:line="360" w:lineRule="auto"/>
        <w:ind w:left="709" w:firstLine="11"/>
        <w:jc w:val="both"/>
        <w:rPr>
          <w:rFonts w:ascii="Book Antiqua" w:hAnsi="Book Antiqua"/>
          <w:bCs/>
          <w:sz w:val="22"/>
          <w:szCs w:val="22"/>
        </w:rPr>
      </w:pPr>
      <w:r w:rsidRPr="00C66B12">
        <w:rPr>
          <w:rFonts w:ascii="Book Antiqua" w:hAnsi="Book Antiqua"/>
          <w:bCs/>
          <w:sz w:val="22"/>
          <w:szCs w:val="22"/>
        </w:rPr>
        <w:t>Predsedu najvyššieho kontrolného úradu zastupuje podpredseda najvyššieho kontrolného úradu, ktorého na návrh predsedu</w:t>
      </w:r>
      <w:r w:rsidRPr="00C66B12">
        <w:rPr>
          <w:rFonts w:ascii="Times New Roman" w:hAnsi="Times New Roman"/>
        </w:rPr>
        <w:t xml:space="preserve"> </w:t>
      </w:r>
      <w:r w:rsidRPr="00C66B12">
        <w:rPr>
          <w:rFonts w:ascii="Book Antiqua" w:hAnsi="Book Antiqua"/>
          <w:bCs/>
          <w:sz w:val="22"/>
          <w:szCs w:val="22"/>
        </w:rPr>
        <w:t xml:space="preserve">najvyššieho kontrolného úradu volí a odvoláva </w:t>
      </w:r>
      <w:r w:rsidRPr="00C66B12" w:rsidR="00823364">
        <w:rPr>
          <w:rFonts w:ascii="Book Antiqua" w:hAnsi="Book Antiqua"/>
          <w:bCs/>
          <w:sz w:val="22"/>
          <w:szCs w:val="22"/>
        </w:rPr>
        <w:t>V</w:t>
      </w:r>
      <w:r w:rsidRPr="00C66B12">
        <w:rPr>
          <w:rFonts w:ascii="Book Antiqua" w:hAnsi="Book Antiqua"/>
          <w:bCs/>
          <w:sz w:val="22"/>
          <w:szCs w:val="22"/>
        </w:rPr>
        <w:t>ýbor</w:t>
      </w:r>
      <w:r w:rsidRPr="00C66B12" w:rsidR="00823364">
        <w:rPr>
          <w:rFonts w:ascii="Book Antiqua" w:hAnsi="Book Antiqua"/>
          <w:bCs/>
          <w:sz w:val="22"/>
          <w:szCs w:val="22"/>
        </w:rPr>
        <w:t xml:space="preserve"> </w:t>
      </w:r>
      <w:r w:rsidRPr="00C66B12">
        <w:rPr>
          <w:rFonts w:ascii="Book Antiqua" w:hAnsi="Book Antiqua"/>
          <w:bCs/>
          <w:sz w:val="22"/>
          <w:szCs w:val="22"/>
        </w:rPr>
        <w:t>Národnej rady Slovenskej republiky</w:t>
      </w:r>
      <w:r w:rsidRPr="00C66B12" w:rsidR="00823364">
        <w:rPr>
          <w:rFonts w:ascii="Book Antiqua" w:hAnsi="Book Antiqua"/>
          <w:bCs/>
          <w:sz w:val="22"/>
          <w:szCs w:val="22"/>
        </w:rPr>
        <w:t xml:space="preserve"> pre financie a rozpočet</w:t>
      </w:r>
      <w:r w:rsidRPr="00C66B12" w:rsidR="0039747B">
        <w:rPr>
          <w:rFonts w:ascii="Book Antiqua" w:hAnsi="Book Antiqua"/>
          <w:bCs/>
          <w:sz w:val="22"/>
          <w:szCs w:val="22"/>
        </w:rPr>
        <w:t>.</w:t>
      </w:r>
    </w:p>
    <w:p w:rsidR="00A10A36" w:rsidRPr="00C66B12" w:rsidP="0039747B">
      <w:pPr>
        <w:bidi w:val="0"/>
        <w:spacing w:line="360" w:lineRule="auto"/>
        <w:ind w:left="709" w:firstLine="11"/>
        <w:jc w:val="both"/>
        <w:rPr>
          <w:rFonts w:ascii="Book Antiqua" w:hAnsi="Book Antiqua"/>
          <w:bCs/>
          <w:sz w:val="22"/>
          <w:szCs w:val="22"/>
        </w:rPr>
      </w:pPr>
    </w:p>
    <w:p w:rsidR="006A2A48" w:rsidRPr="00C66B12" w:rsidP="00D72D34">
      <w:pPr>
        <w:numPr>
          <w:numId w:val="5"/>
        </w:numPr>
        <w:tabs>
          <w:tab w:val="left" w:pos="1134"/>
        </w:tabs>
        <w:bidi w:val="0"/>
        <w:spacing w:line="360" w:lineRule="auto"/>
        <w:ind w:left="709" w:firstLine="0"/>
        <w:jc w:val="both"/>
        <w:rPr>
          <w:rFonts w:ascii="Book Antiqua" w:hAnsi="Book Antiqua"/>
          <w:bCs/>
          <w:sz w:val="22"/>
          <w:szCs w:val="22"/>
        </w:rPr>
      </w:pPr>
      <w:r w:rsidRPr="00C66B12" w:rsidR="0039747B">
        <w:rPr>
          <w:rFonts w:ascii="Book Antiqua" w:hAnsi="Book Antiqua"/>
          <w:bCs/>
          <w:sz w:val="22"/>
          <w:szCs w:val="22"/>
        </w:rPr>
        <w:t xml:space="preserve">Za predsedu najvyššieho kontrolného úradu môže byť zvolený </w:t>
      </w:r>
      <w:r w:rsidRPr="00C66B12" w:rsidR="00D72D34">
        <w:rPr>
          <w:rFonts w:ascii="Book Antiqua" w:hAnsi="Book Antiqua"/>
          <w:bCs/>
          <w:sz w:val="22"/>
          <w:szCs w:val="22"/>
        </w:rPr>
        <w:t xml:space="preserve">každý občan Slovenskej republiky, ktorý je voliteľný do Národnej rady Slovenskej republiky, </w:t>
      </w:r>
      <w:r w:rsidRPr="00C66B12" w:rsidR="00E92C16">
        <w:rPr>
          <w:rFonts w:ascii="Book Antiqua" w:hAnsi="Book Antiqua"/>
          <w:bCs/>
          <w:sz w:val="22"/>
          <w:szCs w:val="22"/>
        </w:rPr>
        <w:t>má vysokoškolské</w:t>
      </w:r>
      <w:r w:rsidRPr="00C66B12" w:rsidR="00972F78">
        <w:rPr>
          <w:rFonts w:ascii="Book Antiqua" w:hAnsi="Book Antiqua"/>
          <w:bCs/>
          <w:sz w:val="22"/>
          <w:szCs w:val="22"/>
        </w:rPr>
        <w:t xml:space="preserve"> právnické</w:t>
      </w:r>
      <w:r w:rsidRPr="00C66B12" w:rsidR="00E92C16">
        <w:rPr>
          <w:rFonts w:ascii="Book Antiqua" w:hAnsi="Book Antiqua"/>
          <w:bCs/>
          <w:sz w:val="22"/>
          <w:szCs w:val="22"/>
        </w:rPr>
        <w:t xml:space="preserve"> vzdelanie</w:t>
      </w:r>
      <w:r w:rsidRPr="00C66B12" w:rsidR="00972F78">
        <w:rPr>
          <w:rFonts w:ascii="Book Antiqua" w:hAnsi="Book Antiqua"/>
          <w:bCs/>
          <w:sz w:val="22"/>
          <w:szCs w:val="22"/>
        </w:rPr>
        <w:t xml:space="preserve"> alebo vysokoškolské ekonomické </w:t>
      </w:r>
      <w:r w:rsidRPr="00C66B12" w:rsidR="00A26DF2">
        <w:rPr>
          <w:rFonts w:ascii="Book Antiqua" w:hAnsi="Book Antiqua"/>
          <w:bCs/>
          <w:sz w:val="22"/>
          <w:szCs w:val="22"/>
        </w:rPr>
        <w:t>vzdelanie</w:t>
      </w:r>
      <w:r w:rsidRPr="00C66B12" w:rsidR="005741B6">
        <w:rPr>
          <w:rFonts w:ascii="Book Antiqua" w:hAnsi="Book Antiqua"/>
          <w:bCs/>
          <w:sz w:val="22"/>
          <w:szCs w:val="22"/>
        </w:rPr>
        <w:t>,</w:t>
      </w:r>
      <w:r w:rsidRPr="00C66B12" w:rsidR="00E92C16">
        <w:rPr>
          <w:rFonts w:ascii="Book Antiqua" w:hAnsi="Book Antiqua"/>
          <w:bCs/>
          <w:sz w:val="22"/>
          <w:szCs w:val="22"/>
        </w:rPr>
        <w:t xml:space="preserve"> </w:t>
      </w:r>
      <w:r w:rsidRPr="00C66B12" w:rsidR="00144062">
        <w:rPr>
          <w:rFonts w:ascii="Book Antiqua" w:hAnsi="Book Antiqua"/>
          <w:bCs/>
          <w:sz w:val="22"/>
          <w:szCs w:val="22"/>
        </w:rPr>
        <w:t>na</w:t>
      </w:r>
      <w:r w:rsidRPr="00C66B12" w:rsidR="00A26DF2">
        <w:rPr>
          <w:rFonts w:ascii="Book Antiqua" w:hAnsi="Book Antiqua"/>
          <w:bCs/>
          <w:sz w:val="22"/>
          <w:szCs w:val="22"/>
        </w:rPr>
        <w:t>jmenej 15 rokov odbornej praxe a</w:t>
      </w:r>
      <w:r w:rsidRPr="00C66B12" w:rsidR="00E92C16">
        <w:rPr>
          <w:rFonts w:ascii="Book Antiqua" w:hAnsi="Book Antiqua"/>
          <w:bCs/>
          <w:sz w:val="22"/>
          <w:szCs w:val="22"/>
        </w:rPr>
        <w:t xml:space="preserve"> z toho najmenej 5 rokov praxe</w:t>
      </w:r>
      <w:r w:rsidRPr="00C66B12" w:rsidR="00144062">
        <w:rPr>
          <w:rFonts w:ascii="Book Antiqua" w:hAnsi="Book Antiqua"/>
          <w:bCs/>
          <w:sz w:val="22"/>
          <w:szCs w:val="22"/>
        </w:rPr>
        <w:t xml:space="preserve"> </w:t>
      </w:r>
      <w:r w:rsidRPr="00C66B12" w:rsidR="00E92C16">
        <w:rPr>
          <w:rFonts w:ascii="Book Antiqua" w:hAnsi="Book Antiqua"/>
          <w:bCs/>
          <w:sz w:val="22"/>
          <w:szCs w:val="22"/>
        </w:rPr>
        <w:t>v riadiacej funkcii</w:t>
      </w:r>
      <w:r w:rsidRPr="00C66B12" w:rsidR="00D72D34">
        <w:rPr>
          <w:rFonts w:ascii="Book Antiqua" w:hAnsi="Book Antiqua"/>
          <w:bCs/>
          <w:sz w:val="22"/>
          <w:szCs w:val="22"/>
        </w:rPr>
        <w:t>.</w:t>
      </w:r>
    </w:p>
    <w:p w:rsidR="00D72D34" w:rsidRPr="00C66B12" w:rsidP="00D72D34">
      <w:pPr>
        <w:pStyle w:val="ListParagraph"/>
        <w:bidi w:val="0"/>
        <w:rPr>
          <w:rFonts w:ascii="Book Antiqua" w:hAnsi="Book Antiqua"/>
          <w:bCs/>
          <w:sz w:val="22"/>
          <w:szCs w:val="22"/>
        </w:rPr>
      </w:pPr>
    </w:p>
    <w:p w:rsidR="00823364" w:rsidRPr="00C66B12" w:rsidP="00D72D34">
      <w:pPr>
        <w:numPr>
          <w:numId w:val="5"/>
        </w:numPr>
        <w:tabs>
          <w:tab w:val="left" w:pos="1134"/>
        </w:tabs>
        <w:bidi w:val="0"/>
        <w:spacing w:line="360" w:lineRule="auto"/>
        <w:ind w:left="709" w:firstLine="0"/>
        <w:jc w:val="both"/>
        <w:rPr>
          <w:rFonts w:ascii="Book Antiqua" w:hAnsi="Book Antiqua"/>
          <w:bCs/>
          <w:sz w:val="22"/>
          <w:szCs w:val="22"/>
        </w:rPr>
      </w:pPr>
      <w:r w:rsidRPr="00C66B12">
        <w:rPr>
          <w:rFonts w:ascii="Book Antiqua" w:hAnsi="Book Antiqua"/>
          <w:bCs/>
          <w:sz w:val="22"/>
          <w:szCs w:val="22"/>
        </w:rPr>
        <w:t>Za podpredsedu najvyššieho kontrolného úradu môže byť zvolený každý občan Slovenskej republiky, ktorý je voliteľný do Národnej rady Slovenskej republiky</w:t>
      </w:r>
      <w:r w:rsidRPr="00C66B12" w:rsidR="00774D36">
        <w:rPr>
          <w:rFonts w:ascii="Book Antiqua" w:hAnsi="Book Antiqua"/>
          <w:bCs/>
          <w:sz w:val="22"/>
          <w:szCs w:val="22"/>
        </w:rPr>
        <w:t>, má vysokoškolské právnické vzdelanie alebo vysoko</w:t>
      </w:r>
      <w:r w:rsidRPr="00C66B12" w:rsidR="005741B6">
        <w:rPr>
          <w:rFonts w:ascii="Book Antiqua" w:hAnsi="Book Antiqua"/>
          <w:bCs/>
          <w:sz w:val="22"/>
          <w:szCs w:val="22"/>
        </w:rPr>
        <w:t>školské ekonomické vzdelanie,</w:t>
      </w:r>
      <w:r w:rsidRPr="00C66B12" w:rsidR="00774D36">
        <w:rPr>
          <w:rFonts w:ascii="Book Antiqua" w:hAnsi="Book Antiqua"/>
          <w:bCs/>
          <w:sz w:val="22"/>
          <w:szCs w:val="22"/>
        </w:rPr>
        <w:t xml:space="preserve"> najmenej 10 rokov odbornej praxe a z toho najmenej 3 r</w:t>
      </w:r>
      <w:r w:rsidRPr="00C66B12" w:rsidR="00D72D34">
        <w:rPr>
          <w:rFonts w:ascii="Book Antiqua" w:hAnsi="Book Antiqua"/>
          <w:bCs/>
          <w:sz w:val="22"/>
          <w:szCs w:val="22"/>
        </w:rPr>
        <w:t>oky praxe v riadiacej funkcii.</w:t>
      </w:r>
    </w:p>
    <w:p w:rsidR="00D72D34" w:rsidRPr="00C66B12" w:rsidP="00D72D34">
      <w:pPr>
        <w:pStyle w:val="ListParagraph"/>
        <w:bidi w:val="0"/>
        <w:rPr>
          <w:rFonts w:ascii="Book Antiqua" w:hAnsi="Book Antiqua"/>
          <w:bCs/>
          <w:sz w:val="22"/>
          <w:szCs w:val="22"/>
        </w:rPr>
      </w:pPr>
    </w:p>
    <w:p w:rsidR="00D72D34" w:rsidRPr="00C66B12" w:rsidP="00D72D34">
      <w:pPr>
        <w:numPr>
          <w:numId w:val="5"/>
        </w:numPr>
        <w:tabs>
          <w:tab w:val="left" w:pos="1134"/>
        </w:tabs>
        <w:bidi w:val="0"/>
        <w:spacing w:line="360" w:lineRule="auto"/>
        <w:ind w:left="709" w:firstLine="0"/>
        <w:jc w:val="both"/>
        <w:rPr>
          <w:rFonts w:ascii="Book Antiqua" w:hAnsi="Book Antiqua"/>
          <w:bCs/>
          <w:sz w:val="22"/>
          <w:szCs w:val="22"/>
        </w:rPr>
      </w:pPr>
      <w:r w:rsidRPr="00C66B12" w:rsidR="00774D36">
        <w:rPr>
          <w:rFonts w:ascii="Book Antiqua" w:hAnsi="Book Antiqua"/>
          <w:bCs/>
          <w:sz w:val="22"/>
          <w:szCs w:val="22"/>
        </w:rPr>
        <w:t>Tá istá osoba nemôže byť opakovane zvolená za predsedu alebo podpredsedu najvyššieho kontrolného úradu.</w:t>
      </w:r>
    </w:p>
    <w:p w:rsidR="00D72D34" w:rsidRPr="00C66B12" w:rsidP="00C61FB1">
      <w:pPr>
        <w:tabs>
          <w:tab w:val="left" w:pos="1134"/>
        </w:tabs>
        <w:bidi w:val="0"/>
        <w:spacing w:line="360" w:lineRule="auto"/>
        <w:jc w:val="both"/>
        <w:rPr>
          <w:rFonts w:ascii="Book Antiqua" w:hAnsi="Book Antiqua"/>
          <w:bCs/>
          <w:sz w:val="22"/>
          <w:szCs w:val="22"/>
        </w:rPr>
      </w:pPr>
    </w:p>
    <w:p w:rsidR="00D72D34" w:rsidRPr="00C66B12" w:rsidP="00D72D34">
      <w:pPr>
        <w:numPr>
          <w:numId w:val="5"/>
        </w:numPr>
        <w:tabs>
          <w:tab w:val="left" w:pos="709"/>
          <w:tab w:val="left" w:pos="1134"/>
        </w:tabs>
        <w:bidi w:val="0"/>
        <w:spacing w:line="360" w:lineRule="auto"/>
        <w:ind w:left="709" w:firstLine="11"/>
        <w:jc w:val="both"/>
        <w:rPr>
          <w:rFonts w:ascii="Book Antiqua" w:hAnsi="Book Antiqua"/>
          <w:bCs/>
          <w:sz w:val="22"/>
          <w:szCs w:val="22"/>
        </w:rPr>
      </w:pPr>
      <w:r w:rsidRPr="00C66B12" w:rsidR="0029474D">
        <w:rPr>
          <w:rFonts w:ascii="Book Antiqua" w:hAnsi="Book Antiqua"/>
          <w:bCs/>
          <w:sz w:val="22"/>
          <w:szCs w:val="22"/>
        </w:rPr>
        <w:t>Funkcie</w:t>
      </w:r>
      <w:r w:rsidRPr="00C66B12">
        <w:rPr>
          <w:rFonts w:ascii="Book Antiqua" w:hAnsi="Book Antiqua"/>
          <w:bCs/>
          <w:sz w:val="22"/>
          <w:szCs w:val="22"/>
        </w:rPr>
        <w:t xml:space="preserve"> predsedu a podpredsedu najvyššieho kontrolného úradu sú nezlučiteľné s výkonom funkcie v inom orgáne verejnej moci, s pracovným pomerom alebo s obdobným pracovným vzťahom, s podnikateľskou činnosťou, s členstvom v riadiacom alebo kontrolnom orgáne právnickej osoby, ktorá vykonáva podnikateľskú činnosť, ani s inou hospodárskou alebo zárobkovou činnosťou okrem správy vlastného majetku, vedeckej, pedagogickej, literárnej alebo umeleckej činnosti.</w:t>
      </w:r>
      <w:r w:rsidRPr="00C66B12" w:rsidR="002D3D18">
        <w:rPr>
          <w:rFonts w:ascii="Book Antiqua" w:hAnsi="Book Antiqua"/>
          <w:bCs/>
          <w:sz w:val="22"/>
          <w:szCs w:val="22"/>
        </w:rPr>
        <w:t>“.</w:t>
      </w:r>
    </w:p>
    <w:p w:rsidR="00D51FC3" w:rsidRPr="00C66B12" w:rsidP="005741B6">
      <w:pPr>
        <w:bidi w:val="0"/>
        <w:spacing w:line="360" w:lineRule="auto"/>
        <w:jc w:val="both"/>
        <w:rPr>
          <w:rFonts w:ascii="Book Antiqua" w:hAnsi="Book Antiqua"/>
          <w:bCs/>
          <w:sz w:val="22"/>
          <w:szCs w:val="22"/>
        </w:rPr>
      </w:pPr>
    </w:p>
    <w:p w:rsidR="006A2A48" w:rsidRPr="00C66B12" w:rsidP="00D51FC3">
      <w:pPr>
        <w:numPr>
          <w:numId w:val="3"/>
        </w:numPr>
        <w:bidi w:val="0"/>
        <w:spacing w:line="360" w:lineRule="auto"/>
        <w:jc w:val="both"/>
        <w:rPr>
          <w:rFonts w:ascii="Book Antiqua" w:hAnsi="Book Antiqua"/>
          <w:bCs/>
          <w:sz w:val="22"/>
          <w:szCs w:val="22"/>
        </w:rPr>
      </w:pPr>
      <w:r w:rsidRPr="00C66B12" w:rsidR="00D51FC3">
        <w:rPr>
          <w:rFonts w:ascii="Book Antiqua" w:hAnsi="Book Antiqua"/>
          <w:bCs/>
          <w:sz w:val="22"/>
          <w:szCs w:val="22"/>
        </w:rPr>
        <w:t>V čl. 63 sa za slovo „členenie“ vkladá čiarka a slová: „podrobnosti o voľbách predsedu a podpredsedu najvyššieho kontrolného úradu“.</w:t>
      </w:r>
    </w:p>
    <w:p w:rsidR="005514DF" w:rsidRPr="00C66B12" w:rsidP="005514DF">
      <w:pPr>
        <w:bidi w:val="0"/>
        <w:spacing w:line="360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</w:p>
    <w:p w:rsidR="005514DF" w:rsidRPr="00C66B12" w:rsidP="00B56A74">
      <w:pPr>
        <w:numPr>
          <w:numId w:val="3"/>
        </w:numPr>
        <w:bidi w:val="0"/>
        <w:spacing w:line="360" w:lineRule="auto"/>
        <w:jc w:val="both"/>
        <w:rPr>
          <w:rFonts w:ascii="Book Antiqua" w:hAnsi="Book Antiqua"/>
          <w:bCs/>
          <w:sz w:val="22"/>
          <w:szCs w:val="22"/>
        </w:rPr>
      </w:pPr>
      <w:r w:rsidRPr="00C66B12" w:rsidR="00D51FC3">
        <w:rPr>
          <w:rFonts w:ascii="Book Antiqua" w:hAnsi="Book Antiqua"/>
          <w:bCs/>
          <w:sz w:val="22"/>
          <w:szCs w:val="22"/>
        </w:rPr>
        <w:t>V č</w:t>
      </w:r>
      <w:r w:rsidRPr="00C66B12">
        <w:rPr>
          <w:rFonts w:ascii="Book Antiqua" w:hAnsi="Book Antiqua"/>
          <w:bCs/>
          <w:sz w:val="22"/>
          <w:szCs w:val="22"/>
        </w:rPr>
        <w:t>l. 89</w:t>
      </w:r>
      <w:r w:rsidRPr="00C66B12" w:rsidR="00D51FC3">
        <w:rPr>
          <w:rFonts w:ascii="Book Antiqua" w:hAnsi="Book Antiqua"/>
          <w:bCs/>
          <w:sz w:val="22"/>
          <w:szCs w:val="22"/>
        </w:rPr>
        <w:t xml:space="preserve"> ods. 2 písm. c) sa na konci</w:t>
      </w:r>
      <w:r w:rsidRPr="00C66B12" w:rsidR="00B56A74">
        <w:rPr>
          <w:rFonts w:ascii="Book Antiqua" w:hAnsi="Book Antiqua"/>
          <w:bCs/>
          <w:sz w:val="22"/>
          <w:szCs w:val="22"/>
        </w:rPr>
        <w:t xml:space="preserve"> vypúšťa čiarka a</w:t>
      </w:r>
      <w:r w:rsidRPr="00C66B12" w:rsidR="00D51FC3">
        <w:rPr>
          <w:rFonts w:ascii="Book Antiqua" w:hAnsi="Book Antiqua"/>
          <w:bCs/>
          <w:sz w:val="22"/>
          <w:szCs w:val="22"/>
        </w:rPr>
        <w:t xml:space="preserve"> pripájajú </w:t>
      </w:r>
      <w:r w:rsidRPr="00C66B12" w:rsidR="00B56A74">
        <w:rPr>
          <w:rFonts w:ascii="Book Antiqua" w:hAnsi="Book Antiqua"/>
          <w:bCs/>
          <w:sz w:val="22"/>
          <w:szCs w:val="22"/>
        </w:rPr>
        <w:t xml:space="preserve">sa </w:t>
      </w:r>
      <w:r w:rsidRPr="00C66B12" w:rsidR="00D51FC3">
        <w:rPr>
          <w:rFonts w:ascii="Book Antiqua" w:hAnsi="Book Antiqua"/>
          <w:bCs/>
          <w:sz w:val="22"/>
          <w:szCs w:val="22"/>
        </w:rPr>
        <w:t>tieto slová „</w:t>
      </w:r>
      <w:r w:rsidRPr="00C66B12" w:rsidR="00B56A74">
        <w:rPr>
          <w:rFonts w:ascii="Book Antiqua" w:hAnsi="Book Antiqua"/>
          <w:bCs/>
          <w:sz w:val="22"/>
          <w:szCs w:val="22"/>
        </w:rPr>
        <w:t>a sľub predsedu a podpredsedu najvyššieho kontrolné</w:t>
      </w:r>
      <w:r w:rsidRPr="00C66B12" w:rsidR="00723FC1">
        <w:rPr>
          <w:rFonts w:ascii="Book Antiqua" w:hAnsi="Book Antiqua"/>
          <w:bCs/>
          <w:sz w:val="22"/>
          <w:szCs w:val="22"/>
        </w:rPr>
        <w:t>ho</w:t>
      </w:r>
      <w:r w:rsidRPr="00C66B12" w:rsidR="00B56A74">
        <w:rPr>
          <w:rFonts w:ascii="Book Antiqua" w:hAnsi="Book Antiqua"/>
          <w:bCs/>
          <w:sz w:val="22"/>
          <w:szCs w:val="22"/>
        </w:rPr>
        <w:t xml:space="preserve"> úradu,</w:t>
      </w:r>
      <w:r w:rsidRPr="00C66B12" w:rsidR="00D51FC3">
        <w:rPr>
          <w:rFonts w:ascii="Book Antiqua" w:hAnsi="Book Antiqua"/>
          <w:bCs/>
          <w:sz w:val="22"/>
          <w:szCs w:val="22"/>
        </w:rPr>
        <w:t>“</w:t>
      </w:r>
      <w:r w:rsidRPr="00C66B12" w:rsidR="00B56A74">
        <w:rPr>
          <w:rFonts w:ascii="Book Antiqua" w:hAnsi="Book Antiqua"/>
          <w:bCs/>
          <w:sz w:val="22"/>
          <w:szCs w:val="22"/>
        </w:rPr>
        <w:t>.</w:t>
      </w:r>
    </w:p>
    <w:p w:rsidR="00E21846" w:rsidRPr="00C66B12" w:rsidP="005D18E8">
      <w:pPr>
        <w:bidi w:val="0"/>
        <w:spacing w:line="360" w:lineRule="auto"/>
        <w:rPr>
          <w:rFonts w:ascii="Book Antiqua" w:hAnsi="Book Antiqua"/>
          <w:bCs/>
          <w:sz w:val="22"/>
          <w:szCs w:val="22"/>
        </w:rPr>
      </w:pPr>
    </w:p>
    <w:p w:rsidR="00F444F8" w:rsidRPr="00C66B12" w:rsidP="000E310D">
      <w:pPr>
        <w:bidi w:val="0"/>
        <w:spacing w:line="360" w:lineRule="auto"/>
        <w:jc w:val="center"/>
        <w:rPr>
          <w:rFonts w:ascii="Book Antiqua" w:hAnsi="Book Antiqua"/>
          <w:b/>
          <w:sz w:val="22"/>
          <w:szCs w:val="22"/>
        </w:rPr>
      </w:pPr>
      <w:r w:rsidRPr="00C66B12" w:rsidR="000E310D">
        <w:rPr>
          <w:rFonts w:ascii="Book Antiqua" w:hAnsi="Book Antiqua"/>
          <w:b/>
          <w:sz w:val="22"/>
          <w:szCs w:val="22"/>
        </w:rPr>
        <w:t>Čl. II</w:t>
      </w:r>
    </w:p>
    <w:p w:rsidR="00355DF8" w:rsidRPr="004A3E2C" w:rsidP="00A37F27">
      <w:pPr>
        <w:bidi w:val="0"/>
        <w:spacing w:line="360" w:lineRule="auto"/>
        <w:ind w:left="708"/>
        <w:jc w:val="both"/>
        <w:rPr>
          <w:rFonts w:ascii="Book Antiqua" w:hAnsi="Book Antiqua"/>
          <w:sz w:val="22"/>
          <w:szCs w:val="22"/>
        </w:rPr>
      </w:pPr>
      <w:r w:rsidRPr="00C66B12">
        <w:rPr>
          <w:rFonts w:ascii="Book Antiqua" w:hAnsi="Book Antiqua"/>
          <w:sz w:val="22"/>
          <w:szCs w:val="22"/>
        </w:rPr>
        <w:t xml:space="preserve">Tento </w:t>
      </w:r>
      <w:r w:rsidRPr="00C66B12" w:rsidR="00F444F8">
        <w:rPr>
          <w:rFonts w:ascii="Book Antiqua" w:hAnsi="Book Antiqua"/>
          <w:sz w:val="22"/>
          <w:szCs w:val="22"/>
        </w:rPr>
        <w:t xml:space="preserve">ústavný </w:t>
      </w:r>
      <w:r w:rsidRPr="00C66B12" w:rsidR="007B2565">
        <w:rPr>
          <w:rFonts w:ascii="Book Antiqua" w:hAnsi="Book Antiqua"/>
          <w:sz w:val="22"/>
          <w:szCs w:val="22"/>
        </w:rPr>
        <w:t>zákon n</w:t>
      </w:r>
      <w:r w:rsidRPr="00C66B12" w:rsidR="005741B6">
        <w:rPr>
          <w:rFonts w:ascii="Book Antiqua" w:hAnsi="Book Antiqua"/>
          <w:sz w:val="22"/>
          <w:szCs w:val="22"/>
        </w:rPr>
        <w:t>adobúda účinnosť 1. novembra 2013.</w:t>
      </w:r>
    </w:p>
    <w:sectPr w:rsidSect="00450A2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8526B"/>
    <w:multiLevelType w:val="hybridMultilevel"/>
    <w:tmpl w:val="A1A0216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color w:val="231F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D362570"/>
    <w:multiLevelType w:val="hybridMultilevel"/>
    <w:tmpl w:val="E41CA1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C6123F0"/>
    <w:multiLevelType w:val="hybridMultilevel"/>
    <w:tmpl w:val="A4DC1C92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">
    <w:nsid w:val="499B1377"/>
    <w:multiLevelType w:val="hybridMultilevel"/>
    <w:tmpl w:val="916EA4C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4E1F30A5"/>
    <w:multiLevelType w:val="hybridMultilevel"/>
    <w:tmpl w:val="F5A8D0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355DF8"/>
    <w:rsid w:val="00026FF8"/>
    <w:rsid w:val="000D2E53"/>
    <w:rsid w:val="000E310D"/>
    <w:rsid w:val="000F4272"/>
    <w:rsid w:val="00113A5A"/>
    <w:rsid w:val="0011595B"/>
    <w:rsid w:val="00120770"/>
    <w:rsid w:val="00134A54"/>
    <w:rsid w:val="00144062"/>
    <w:rsid w:val="001717B1"/>
    <w:rsid w:val="00191453"/>
    <w:rsid w:val="001E271E"/>
    <w:rsid w:val="00220626"/>
    <w:rsid w:val="0022529E"/>
    <w:rsid w:val="002637A5"/>
    <w:rsid w:val="00273F9E"/>
    <w:rsid w:val="002835DF"/>
    <w:rsid w:val="0029474D"/>
    <w:rsid w:val="002A10BC"/>
    <w:rsid w:val="002D3D18"/>
    <w:rsid w:val="00315A87"/>
    <w:rsid w:val="00317EA7"/>
    <w:rsid w:val="003375F9"/>
    <w:rsid w:val="00355DF8"/>
    <w:rsid w:val="00392D5C"/>
    <w:rsid w:val="0039747B"/>
    <w:rsid w:val="003A3B7B"/>
    <w:rsid w:val="003A5A0D"/>
    <w:rsid w:val="00450A28"/>
    <w:rsid w:val="00452619"/>
    <w:rsid w:val="00472D5D"/>
    <w:rsid w:val="00474ADD"/>
    <w:rsid w:val="004931CF"/>
    <w:rsid w:val="00496A32"/>
    <w:rsid w:val="00496EE0"/>
    <w:rsid w:val="004A3E2C"/>
    <w:rsid w:val="00511153"/>
    <w:rsid w:val="00532326"/>
    <w:rsid w:val="005514DF"/>
    <w:rsid w:val="005741B6"/>
    <w:rsid w:val="005748BA"/>
    <w:rsid w:val="005A2487"/>
    <w:rsid w:val="005B0047"/>
    <w:rsid w:val="005D18E8"/>
    <w:rsid w:val="00661B75"/>
    <w:rsid w:val="00663192"/>
    <w:rsid w:val="006A2A48"/>
    <w:rsid w:val="0071290A"/>
    <w:rsid w:val="00723FC1"/>
    <w:rsid w:val="00740E04"/>
    <w:rsid w:val="00764629"/>
    <w:rsid w:val="00774D36"/>
    <w:rsid w:val="00791D62"/>
    <w:rsid w:val="007A60C4"/>
    <w:rsid w:val="007B2565"/>
    <w:rsid w:val="007B5ED5"/>
    <w:rsid w:val="007D10BF"/>
    <w:rsid w:val="007D7456"/>
    <w:rsid w:val="007F3CB7"/>
    <w:rsid w:val="008078FC"/>
    <w:rsid w:val="00823364"/>
    <w:rsid w:val="00830F0E"/>
    <w:rsid w:val="00911577"/>
    <w:rsid w:val="0094671B"/>
    <w:rsid w:val="00950795"/>
    <w:rsid w:val="00972F78"/>
    <w:rsid w:val="009B3C7E"/>
    <w:rsid w:val="00A10A36"/>
    <w:rsid w:val="00A26DF2"/>
    <w:rsid w:val="00A37F27"/>
    <w:rsid w:val="00A62BA4"/>
    <w:rsid w:val="00A65321"/>
    <w:rsid w:val="00A90DCB"/>
    <w:rsid w:val="00AA0244"/>
    <w:rsid w:val="00AD61AB"/>
    <w:rsid w:val="00AE4888"/>
    <w:rsid w:val="00B16FB6"/>
    <w:rsid w:val="00B32B22"/>
    <w:rsid w:val="00B56A74"/>
    <w:rsid w:val="00BA26F3"/>
    <w:rsid w:val="00BC4E65"/>
    <w:rsid w:val="00C210C5"/>
    <w:rsid w:val="00C61FB1"/>
    <w:rsid w:val="00C66B12"/>
    <w:rsid w:val="00C85130"/>
    <w:rsid w:val="00CD076A"/>
    <w:rsid w:val="00D03809"/>
    <w:rsid w:val="00D24847"/>
    <w:rsid w:val="00D33F44"/>
    <w:rsid w:val="00D51FC3"/>
    <w:rsid w:val="00D72D34"/>
    <w:rsid w:val="00D822E9"/>
    <w:rsid w:val="00DB26F1"/>
    <w:rsid w:val="00DB457A"/>
    <w:rsid w:val="00DD7574"/>
    <w:rsid w:val="00DE56A9"/>
    <w:rsid w:val="00E129F9"/>
    <w:rsid w:val="00E21846"/>
    <w:rsid w:val="00E8769E"/>
    <w:rsid w:val="00E92C16"/>
    <w:rsid w:val="00F444F8"/>
    <w:rsid w:val="00F63AF2"/>
    <w:rsid w:val="00F71D10"/>
    <w:rsid w:val="00F94E39"/>
    <w:rsid w:val="00FC34C8"/>
    <w:rsid w:val="00FE3A0B"/>
    <w:rsid w:val="00FF34B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DF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5DF8"/>
    <w:pPr>
      <w:ind w:left="720"/>
      <w:contextualSpacing/>
      <w:jc w:val="left"/>
    </w:pPr>
  </w:style>
  <w:style w:type="character" w:styleId="CommentReference">
    <w:name w:val="annotation reference"/>
    <w:uiPriority w:val="99"/>
    <w:semiHidden/>
    <w:unhideWhenUsed/>
    <w:rsid w:val="002835DF"/>
    <w:rPr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35DF"/>
    <w:pPr>
      <w:jc w:val="left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2835DF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35DF"/>
    <w:pPr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2835DF"/>
    <w:rPr>
      <w:rFonts w:ascii="Times New Roman" w:hAnsi="Times New Roman"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5DF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835DF"/>
    <w:rPr>
      <w:rFonts w:ascii="Tahoma" w:hAnsi="Tahoma" w:cs="Tahoma"/>
      <w:sz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5A87"/>
    <w:pPr>
      <w:jc w:val="left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315A87"/>
    <w:rPr>
      <w:rFonts w:ascii="Times New Roman" w:hAnsi="Times New Roman" w:cs="Times New Roman"/>
    </w:rPr>
  </w:style>
  <w:style w:type="character" w:styleId="FootnoteReference">
    <w:name w:val="footnote reference"/>
    <w:uiPriority w:val="99"/>
    <w:semiHidden/>
    <w:unhideWhenUsed/>
    <w:rsid w:val="00315A87"/>
    <w:rPr>
      <w:vertAlign w:val="superscript"/>
    </w:rPr>
  </w:style>
  <w:style w:type="paragraph" w:styleId="Revision">
    <w:name w:val="Revision"/>
    <w:hidden/>
    <w:uiPriority w:val="99"/>
    <w:semiHidden/>
    <w:rsid w:val="00972F7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383FF-907A-45E0-98FF-C8CE8152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401</Words>
  <Characters>2290</Characters>
  <Application>Microsoft Office Word</Application>
  <DocSecurity>0</DocSecurity>
  <Lines>0</Lines>
  <Paragraphs>0</Paragraphs>
  <ScaleCrop>false</ScaleCrop>
  <Company>Kancelaria NR SR</Company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Meszaros</dc:creator>
  <cp:lastModifiedBy>Gašparíková, Jarmila</cp:lastModifiedBy>
  <cp:revision>2</cp:revision>
  <cp:lastPrinted>2013-01-10T16:21:00Z</cp:lastPrinted>
  <dcterms:created xsi:type="dcterms:W3CDTF">2013-05-31T17:32:00Z</dcterms:created>
  <dcterms:modified xsi:type="dcterms:W3CDTF">2013-05-31T17:32:00Z</dcterms:modified>
</cp:coreProperties>
</file>