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03AF9" w:rsidRPr="00DA66C9" w:rsidP="00F03AF9">
      <w:pPr>
        <w:pBdr>
          <w:bottom w:val="single" w:sz="12" w:space="1" w:color="auto"/>
        </w:pBdr>
        <w:bidi w:val="0"/>
        <w:spacing w:before="120"/>
        <w:jc w:val="center"/>
        <w:rPr>
          <w:rFonts w:ascii="Book Antiqua" w:hAnsi="Book Antiqua"/>
          <w:b/>
          <w:bCs/>
          <w:spacing w:val="20"/>
          <w:sz w:val="22"/>
          <w:szCs w:val="22"/>
        </w:rPr>
      </w:pPr>
      <w:r w:rsidRPr="00DA66C9">
        <w:rPr>
          <w:rFonts w:ascii="Book Antiqua" w:hAnsi="Book Antiqua"/>
          <w:b/>
          <w:bCs/>
          <w:spacing w:val="20"/>
          <w:sz w:val="22"/>
          <w:szCs w:val="22"/>
        </w:rPr>
        <w:t>NÁRODNÁ  RADA  SLOVENSKEJ  REPUBLIKY</w:t>
      </w:r>
    </w:p>
    <w:p w:rsidR="00F03AF9" w:rsidRPr="00DA66C9" w:rsidP="00F03AF9">
      <w:pPr>
        <w:bidi w:val="0"/>
        <w:spacing w:before="120"/>
        <w:jc w:val="center"/>
        <w:rPr>
          <w:rFonts w:ascii="Book Antiqua" w:hAnsi="Book Antiqua"/>
          <w:spacing w:val="20"/>
          <w:sz w:val="22"/>
          <w:szCs w:val="22"/>
        </w:rPr>
      </w:pPr>
    </w:p>
    <w:p w:rsidR="00F03AF9" w:rsidRPr="00DA66C9" w:rsidP="00F03AF9">
      <w:pPr>
        <w:bidi w:val="0"/>
        <w:spacing w:before="120"/>
        <w:jc w:val="center"/>
        <w:rPr>
          <w:rFonts w:ascii="Book Antiqua" w:hAnsi="Book Antiqua"/>
          <w:spacing w:val="20"/>
          <w:sz w:val="22"/>
          <w:szCs w:val="22"/>
        </w:rPr>
      </w:pPr>
      <w:r w:rsidRPr="00DA66C9">
        <w:rPr>
          <w:rFonts w:ascii="Book Antiqua" w:hAnsi="Book Antiqua"/>
          <w:spacing w:val="20"/>
          <w:sz w:val="22"/>
          <w:szCs w:val="22"/>
        </w:rPr>
        <w:t>VI. volebné obdobie</w:t>
      </w:r>
    </w:p>
    <w:p w:rsidR="00F03AF9" w:rsidRPr="00DA66C9" w:rsidP="00F03AF9">
      <w:pPr>
        <w:bidi w:val="0"/>
        <w:spacing w:before="120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F03AF9" w:rsidRPr="00DA66C9" w:rsidP="00F03AF9">
      <w:pPr>
        <w:bidi w:val="0"/>
        <w:spacing w:before="120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F03AF9" w:rsidRPr="00DA66C9" w:rsidP="00F03AF9">
      <w:pPr>
        <w:bidi w:val="0"/>
        <w:spacing w:before="120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  <w:r w:rsidRPr="00DA66C9">
        <w:rPr>
          <w:rFonts w:ascii="Book Antiqua" w:hAnsi="Book Antiqua"/>
          <w:b/>
          <w:bCs/>
          <w:spacing w:val="30"/>
          <w:sz w:val="22"/>
          <w:szCs w:val="22"/>
        </w:rPr>
        <w:t xml:space="preserve">Návrh </w:t>
      </w:r>
    </w:p>
    <w:p w:rsidR="00F03AF9" w:rsidRPr="00DA66C9" w:rsidP="00F03AF9">
      <w:pPr>
        <w:bidi w:val="0"/>
        <w:spacing w:before="120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F03AF9" w:rsidRPr="00DA66C9" w:rsidP="00F03AF9">
      <w:pPr>
        <w:bidi w:val="0"/>
        <w:spacing w:before="120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DA66C9">
        <w:rPr>
          <w:rFonts w:ascii="Book Antiqua" w:hAnsi="Book Antiqua"/>
          <w:b/>
          <w:bCs/>
          <w:caps/>
          <w:spacing w:val="30"/>
          <w:sz w:val="22"/>
          <w:szCs w:val="22"/>
        </w:rPr>
        <w:t>zákon</w:t>
      </w:r>
    </w:p>
    <w:p w:rsidR="00F03AF9" w:rsidRPr="00DA66C9" w:rsidP="00F03AF9">
      <w:pPr>
        <w:bidi w:val="0"/>
        <w:spacing w:before="120"/>
        <w:jc w:val="center"/>
        <w:rPr>
          <w:rFonts w:ascii="Book Antiqua" w:hAnsi="Book Antiqua"/>
          <w:sz w:val="22"/>
          <w:szCs w:val="22"/>
        </w:rPr>
      </w:pPr>
    </w:p>
    <w:p w:rsidR="00F03AF9" w:rsidRPr="00DA66C9" w:rsidP="00F03AF9">
      <w:pPr>
        <w:bidi w:val="0"/>
        <w:spacing w:before="120"/>
        <w:jc w:val="center"/>
        <w:rPr>
          <w:rFonts w:ascii="Book Antiqua" w:hAnsi="Book Antiqua"/>
          <w:sz w:val="22"/>
          <w:szCs w:val="22"/>
        </w:rPr>
      </w:pPr>
      <w:r w:rsidRPr="00DA66C9">
        <w:rPr>
          <w:rFonts w:ascii="Book Antiqua" w:hAnsi="Book Antiqua"/>
          <w:sz w:val="22"/>
          <w:szCs w:val="22"/>
        </w:rPr>
        <w:t>z ... 2013,</w:t>
      </w:r>
    </w:p>
    <w:p w:rsidR="00F03AF9" w:rsidRPr="00DA66C9" w:rsidP="00F03AF9">
      <w:pPr>
        <w:bidi w:val="0"/>
        <w:spacing w:before="120"/>
        <w:jc w:val="center"/>
        <w:rPr>
          <w:rFonts w:ascii="Book Antiqua" w:hAnsi="Book Antiqua"/>
          <w:sz w:val="22"/>
          <w:szCs w:val="22"/>
        </w:rPr>
      </w:pPr>
    </w:p>
    <w:p w:rsidR="000E77AE" w:rsidRPr="000E77AE" w:rsidP="00C40C54">
      <w:pPr>
        <w:bidi w:val="0"/>
        <w:adjustRightInd w:val="0"/>
        <w:spacing w:before="120"/>
        <w:jc w:val="center"/>
        <w:rPr>
          <w:rFonts w:ascii="Book Antiqua" w:hAnsi="Book Antiqua"/>
          <w:b/>
          <w:bCs/>
          <w:sz w:val="22"/>
          <w:szCs w:val="22"/>
        </w:rPr>
      </w:pPr>
      <w:r w:rsidRPr="000E77AE">
        <w:rPr>
          <w:rFonts w:ascii="Book Antiqua" w:hAnsi="Book Antiqua"/>
          <w:b/>
          <w:bCs/>
          <w:sz w:val="22"/>
          <w:szCs w:val="22"/>
        </w:rPr>
        <w:t>ktorým sa mení a dopĺňa zákon č. 300/2005 Z. z. Trestný zákon v znení n</w:t>
      </w:r>
      <w:r w:rsidR="00227FB4">
        <w:rPr>
          <w:rFonts w:ascii="Book Antiqua" w:hAnsi="Book Antiqua"/>
          <w:b/>
          <w:bCs/>
          <w:sz w:val="22"/>
          <w:szCs w:val="22"/>
        </w:rPr>
        <w:t>eskorších predpisov</w:t>
      </w:r>
    </w:p>
    <w:p w:rsidR="000E77AE" w:rsidRPr="000E77AE" w:rsidP="000E77AE">
      <w:pPr>
        <w:bidi w:val="0"/>
        <w:adjustRightInd w:val="0"/>
        <w:spacing w:before="120"/>
        <w:jc w:val="both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ab/>
      </w:r>
    </w:p>
    <w:p w:rsidR="000E77AE" w:rsidRPr="000E77AE" w:rsidP="000E77AE">
      <w:pPr>
        <w:bidi w:val="0"/>
        <w:adjustRightInd w:val="0"/>
        <w:spacing w:before="120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0E77AE">
        <w:rPr>
          <w:rFonts w:ascii="Book Antiqua" w:hAnsi="Book Antiqua"/>
          <w:bCs/>
          <w:sz w:val="22"/>
          <w:szCs w:val="22"/>
        </w:rPr>
        <w:t>Národná rada Slovenskej republiky sa uzniesla na tomto zákone:</w:t>
      </w:r>
    </w:p>
    <w:p w:rsidR="000E77AE" w:rsidRPr="000E77AE" w:rsidP="000E77AE">
      <w:pPr>
        <w:bidi w:val="0"/>
        <w:adjustRightInd w:val="0"/>
        <w:spacing w:before="120"/>
        <w:jc w:val="both"/>
        <w:rPr>
          <w:rFonts w:ascii="Book Antiqua" w:hAnsi="Book Antiqua"/>
          <w:b/>
          <w:bCs/>
          <w:sz w:val="22"/>
          <w:szCs w:val="22"/>
        </w:rPr>
      </w:pPr>
    </w:p>
    <w:p w:rsidR="000E77AE" w:rsidRPr="000E77AE" w:rsidP="000E77AE">
      <w:pPr>
        <w:bidi w:val="0"/>
        <w:adjustRightInd w:val="0"/>
        <w:spacing w:before="120"/>
        <w:jc w:val="center"/>
        <w:rPr>
          <w:rFonts w:ascii="Book Antiqua" w:hAnsi="Book Antiqua"/>
          <w:b/>
          <w:bCs/>
          <w:sz w:val="22"/>
          <w:szCs w:val="22"/>
        </w:rPr>
      </w:pPr>
      <w:r w:rsidRPr="000E77AE">
        <w:rPr>
          <w:rFonts w:ascii="Book Antiqua" w:hAnsi="Book Antiqua"/>
          <w:b/>
          <w:bCs/>
          <w:sz w:val="22"/>
          <w:szCs w:val="22"/>
        </w:rPr>
        <w:t>Čl. I</w:t>
      </w:r>
    </w:p>
    <w:p w:rsidR="000E77AE" w:rsidRPr="000E77AE" w:rsidP="000E77AE">
      <w:pPr>
        <w:bidi w:val="0"/>
        <w:adjustRightInd w:val="0"/>
        <w:spacing w:before="120"/>
        <w:jc w:val="both"/>
        <w:rPr>
          <w:rFonts w:ascii="Book Antiqua" w:hAnsi="Book Antiqua"/>
          <w:b/>
          <w:bCs/>
          <w:sz w:val="22"/>
          <w:szCs w:val="22"/>
        </w:rPr>
      </w:pPr>
    </w:p>
    <w:p w:rsidR="00F03AF9" w:rsidP="000E77AE">
      <w:pPr>
        <w:bidi w:val="0"/>
        <w:adjustRightInd w:val="0"/>
        <w:spacing w:before="120"/>
        <w:jc w:val="both"/>
        <w:rPr>
          <w:rFonts w:ascii="Book Antiqua" w:hAnsi="Book Antiqua"/>
          <w:bCs/>
          <w:sz w:val="22"/>
          <w:szCs w:val="22"/>
        </w:rPr>
      </w:pPr>
      <w:r w:rsidRPr="000E77AE" w:rsidR="000E77AE">
        <w:rPr>
          <w:rFonts w:ascii="Book Antiqua" w:hAnsi="Book Antiqua"/>
          <w:bCs/>
          <w:sz w:val="22"/>
          <w:szCs w:val="22"/>
        </w:rPr>
        <w:tab/>
      </w:r>
      <w:r w:rsidR="007C6E37">
        <w:rPr>
          <w:rFonts w:ascii="Book Antiqua" w:hAnsi="Book Antiqua"/>
          <w:bCs/>
          <w:sz w:val="22"/>
          <w:szCs w:val="22"/>
        </w:rPr>
        <w:t>Zákon č. 300/2005 Z. z. Trestný zákon v znení zákona č. 650/2005 Z. z., zákona               č. 692/2006 Z. z., zákona č. 218/2007 Z. z., zákona č. 491/2008 Z. z., zákona č. 497/2008 Z. z., zákona č. 498/2008 Z. z., zákona č. 59/2009 Z. z., zákona č. 257/2009 Z. z., zákona                  č. 317/2009 Z. z., zákona č. 492/2009 Z. z., zákona č. 576/2009 Z. z., zákona č. 224/2010 Z. z., zákona č. 547/2010 Z. z., zákona č. 33/2011 Z. z., zákona č. 262/2011 Z. z., zákona                   č. 313/2011 Z. z., zákona č. 246/2012 Z. z., zákona č. 428/2012 Z. z., zákona č. 334/2012 Z. z.  a zákona č. .../2013 sa mení a dopĺňa takto:</w:t>
      </w:r>
    </w:p>
    <w:p w:rsidR="000E77AE" w:rsidRPr="000E77AE" w:rsidP="000E77AE">
      <w:pPr>
        <w:bidi w:val="0"/>
        <w:adjustRightInd w:val="0"/>
        <w:spacing w:before="120"/>
        <w:jc w:val="both"/>
        <w:rPr>
          <w:rFonts w:ascii="Book Antiqua" w:hAnsi="Book Antiqua"/>
          <w:sz w:val="22"/>
          <w:szCs w:val="22"/>
        </w:rPr>
      </w:pPr>
    </w:p>
    <w:p w:rsidR="000E77AE" w:rsidRPr="000E77AE" w:rsidP="008B6DA4">
      <w:pPr>
        <w:bidi w:val="0"/>
        <w:adjustRightInd w:val="0"/>
        <w:spacing w:before="120"/>
        <w:jc w:val="both"/>
        <w:rPr>
          <w:rFonts w:ascii="Book Antiqua" w:hAnsi="Book Antiqua"/>
          <w:sz w:val="22"/>
          <w:szCs w:val="22"/>
        </w:rPr>
      </w:pPr>
      <w:r w:rsidR="008B6DA4">
        <w:rPr>
          <w:rFonts w:ascii="Book Antiqua" w:hAnsi="Book Antiqua"/>
          <w:sz w:val="22"/>
          <w:szCs w:val="22"/>
        </w:rPr>
        <w:t xml:space="preserve">V </w:t>
      </w:r>
      <w:r w:rsidRPr="00DA66C9" w:rsidR="00A637C0">
        <w:rPr>
          <w:rFonts w:ascii="Book Antiqua" w:hAnsi="Book Antiqua"/>
          <w:sz w:val="22"/>
          <w:szCs w:val="22"/>
        </w:rPr>
        <w:t xml:space="preserve">§ </w:t>
      </w:r>
      <w:r>
        <w:rPr>
          <w:rFonts w:ascii="Book Antiqua" w:hAnsi="Book Antiqua"/>
          <w:sz w:val="22"/>
          <w:szCs w:val="22"/>
        </w:rPr>
        <w:t>172</w:t>
      </w:r>
      <w:r w:rsidRPr="00DA66C9" w:rsidR="00F03AF9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>odsek 1 znie:</w:t>
      </w:r>
    </w:p>
    <w:p w:rsidR="000E77AE" w:rsidRPr="000E77AE" w:rsidP="000E77AE">
      <w:pPr>
        <w:bidi w:val="0"/>
        <w:adjustRightInd w:val="0"/>
        <w:spacing w:before="120"/>
        <w:jc w:val="both"/>
        <w:rPr>
          <w:rFonts w:ascii="Book Antiqua" w:hAnsi="Book Antiqua"/>
          <w:sz w:val="22"/>
          <w:szCs w:val="22"/>
        </w:rPr>
      </w:pPr>
      <w:r w:rsidR="008B6DA4">
        <w:rPr>
          <w:rFonts w:ascii="Book Antiqua" w:hAnsi="Book Antiqua"/>
          <w:sz w:val="22"/>
          <w:szCs w:val="22"/>
        </w:rPr>
        <w:t>„</w:t>
      </w:r>
      <w:r w:rsidRPr="000E77AE">
        <w:rPr>
          <w:rFonts w:ascii="Book Antiqua" w:hAnsi="Book Antiqua"/>
          <w:sz w:val="22"/>
          <w:szCs w:val="22"/>
        </w:rPr>
        <w:t>(1) Kto neoprávnene</w:t>
      </w:r>
    </w:p>
    <w:p w:rsidR="000E77AE" w:rsidRPr="000E77AE" w:rsidP="000E77AE">
      <w:pPr>
        <w:bidi w:val="0"/>
        <w:adjustRightInd w:val="0"/>
        <w:spacing w:before="120"/>
        <w:jc w:val="both"/>
        <w:rPr>
          <w:rFonts w:ascii="Book Antiqua" w:hAnsi="Book Antiqua"/>
          <w:sz w:val="22"/>
          <w:szCs w:val="22"/>
        </w:rPr>
      </w:pPr>
      <w:r w:rsidRPr="000E77AE">
        <w:rPr>
          <w:rFonts w:ascii="Book Antiqua" w:hAnsi="Book Antiqua"/>
          <w:sz w:val="22"/>
          <w:szCs w:val="22"/>
        </w:rPr>
        <w:t>a) vyrobí,</w:t>
      </w:r>
    </w:p>
    <w:p w:rsidR="000E77AE" w:rsidRPr="000E77AE" w:rsidP="000E77AE">
      <w:pPr>
        <w:bidi w:val="0"/>
        <w:adjustRightInd w:val="0"/>
        <w:spacing w:before="120"/>
        <w:jc w:val="both"/>
        <w:rPr>
          <w:rFonts w:ascii="Book Antiqua" w:hAnsi="Book Antiqua"/>
          <w:sz w:val="22"/>
          <w:szCs w:val="22"/>
        </w:rPr>
      </w:pPr>
      <w:r w:rsidRPr="000E77AE">
        <w:rPr>
          <w:rFonts w:ascii="Book Antiqua" w:hAnsi="Book Antiqua"/>
          <w:sz w:val="22"/>
          <w:szCs w:val="22"/>
        </w:rPr>
        <w:t>b) dovezie, vyvezie, prevezie alebo dá prepraviť,</w:t>
      </w:r>
    </w:p>
    <w:p w:rsidR="000E77AE" w:rsidRPr="000E77AE" w:rsidP="000E77AE">
      <w:pPr>
        <w:bidi w:val="0"/>
        <w:adjustRightInd w:val="0"/>
        <w:spacing w:before="120"/>
        <w:jc w:val="both"/>
        <w:rPr>
          <w:rFonts w:ascii="Book Antiqua" w:hAnsi="Book Antiqua"/>
          <w:sz w:val="22"/>
          <w:szCs w:val="22"/>
        </w:rPr>
      </w:pPr>
      <w:r w:rsidRPr="000E77AE">
        <w:rPr>
          <w:rFonts w:ascii="Book Antiqua" w:hAnsi="Book Antiqua"/>
          <w:sz w:val="22"/>
          <w:szCs w:val="22"/>
        </w:rPr>
        <w:t>c) kúpi, predá, vymení, zadováži, alebo</w:t>
      </w:r>
    </w:p>
    <w:p w:rsidR="000E77AE" w:rsidRPr="00DA66C9" w:rsidP="000E77AE">
      <w:pPr>
        <w:bidi w:val="0"/>
        <w:adjustRightInd w:val="0"/>
        <w:spacing w:before="120"/>
        <w:jc w:val="both"/>
        <w:rPr>
          <w:rFonts w:ascii="Book Antiqua" w:hAnsi="Book Antiqua"/>
          <w:sz w:val="22"/>
          <w:szCs w:val="22"/>
        </w:rPr>
      </w:pPr>
      <w:r w:rsidRPr="000E77AE">
        <w:rPr>
          <w:rFonts w:ascii="Book Antiqua" w:hAnsi="Book Antiqua"/>
          <w:sz w:val="22"/>
          <w:szCs w:val="22"/>
        </w:rPr>
        <w:t>d) prechováva po akúkoľvek dobu, omamnú látku, psychotropnú látku, jed alebo prekurzor alebo kto takú činnosť sprostredkuje,</w:t>
      </w:r>
      <w:r>
        <w:rPr>
          <w:rFonts w:ascii="Book Antiqua" w:hAnsi="Book Antiqua"/>
          <w:sz w:val="22"/>
          <w:szCs w:val="22"/>
        </w:rPr>
        <w:t xml:space="preserve"> </w:t>
      </w:r>
      <w:r w:rsidRPr="000E77AE">
        <w:rPr>
          <w:rFonts w:ascii="Book Antiqua" w:hAnsi="Book Antiqua"/>
          <w:sz w:val="22"/>
          <w:szCs w:val="22"/>
        </w:rPr>
        <w:t>potrestá sa odňatím slobody na štyri roky až desať rokov.</w:t>
      </w:r>
      <w:r w:rsidR="008B6DA4">
        <w:rPr>
          <w:rFonts w:ascii="Book Antiqua" w:hAnsi="Book Antiqua"/>
          <w:sz w:val="22"/>
          <w:szCs w:val="22"/>
        </w:rPr>
        <w:t>“.</w:t>
      </w:r>
    </w:p>
    <w:p w:rsidR="00F03AF9" w:rsidP="0093071B">
      <w:pPr>
        <w:bidi w:val="0"/>
        <w:adjustRightInd w:val="0"/>
        <w:spacing w:before="120"/>
        <w:ind w:left="720"/>
        <w:jc w:val="both"/>
        <w:rPr>
          <w:rFonts w:ascii="Book Antiqua" w:hAnsi="Book Antiqua"/>
          <w:sz w:val="22"/>
          <w:szCs w:val="22"/>
        </w:rPr>
      </w:pPr>
      <w:r w:rsidRPr="00DA66C9">
        <w:rPr>
          <w:rFonts w:ascii="Book Antiqua" w:hAnsi="Book Antiqua"/>
          <w:sz w:val="22"/>
          <w:szCs w:val="22"/>
        </w:rPr>
        <w:tab/>
      </w:r>
    </w:p>
    <w:p w:rsidR="008B6DA4" w:rsidRPr="00DA66C9" w:rsidP="0093071B">
      <w:pPr>
        <w:bidi w:val="0"/>
        <w:adjustRightInd w:val="0"/>
        <w:spacing w:before="120"/>
        <w:ind w:left="720"/>
        <w:jc w:val="both"/>
        <w:rPr>
          <w:rFonts w:ascii="Book Antiqua" w:hAnsi="Book Antiqua"/>
          <w:b/>
          <w:bCs/>
          <w:sz w:val="22"/>
          <w:szCs w:val="22"/>
        </w:rPr>
      </w:pPr>
    </w:p>
    <w:p w:rsidR="00F03AF9" w:rsidRPr="008B6DA4" w:rsidP="008B6DA4">
      <w:pPr>
        <w:bidi w:val="0"/>
        <w:spacing w:before="120"/>
        <w:jc w:val="center"/>
        <w:rPr>
          <w:rFonts w:ascii="Book Antiqua" w:hAnsi="Book Antiqua"/>
          <w:b/>
          <w:bCs/>
          <w:sz w:val="22"/>
          <w:szCs w:val="22"/>
        </w:rPr>
      </w:pPr>
      <w:r w:rsidR="008B6DA4">
        <w:rPr>
          <w:rFonts w:ascii="Book Antiqua" w:hAnsi="Book Antiqua"/>
          <w:b/>
          <w:bCs/>
          <w:sz w:val="22"/>
          <w:szCs w:val="22"/>
        </w:rPr>
        <w:t>Čl. II</w:t>
      </w:r>
    </w:p>
    <w:p w:rsidR="00455702" w:rsidRPr="000E77AE" w:rsidP="000E77AE">
      <w:pPr>
        <w:pStyle w:val="BodyText"/>
        <w:bidi w:val="0"/>
        <w:spacing w:before="120"/>
        <w:ind w:firstLine="708"/>
        <w:rPr>
          <w:rFonts w:ascii="Book Antiqua" w:hAnsi="Book Antiqua"/>
          <w:sz w:val="22"/>
          <w:szCs w:val="22"/>
        </w:rPr>
      </w:pPr>
      <w:r w:rsidRPr="00DA66C9" w:rsidR="00F03AF9">
        <w:rPr>
          <w:rFonts w:ascii="Book Antiqua" w:hAnsi="Book Antiqua"/>
          <w:sz w:val="22"/>
          <w:szCs w:val="22"/>
        </w:rPr>
        <w:t>Tento zákon nad</w:t>
      </w:r>
      <w:r w:rsidR="008B6DA4">
        <w:rPr>
          <w:rFonts w:ascii="Book Antiqua" w:hAnsi="Book Antiqua"/>
          <w:sz w:val="22"/>
          <w:szCs w:val="22"/>
        </w:rPr>
        <w:t>obúda účinnosť 1. novembra 2013.</w:t>
      </w:r>
    </w:p>
    <w:sectPr>
      <w:pgSz w:w="11906" w:h="16838"/>
      <w:pgMar w:top="1417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9673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1">
    <w:nsid w:val="1B5F530D"/>
    <w:multiLevelType w:val="hybridMultilevel"/>
    <w:tmpl w:val="A47218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3">
    <w:nsid w:val="22597A44"/>
    <w:multiLevelType w:val="multilevel"/>
    <w:tmpl w:val="38CAF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  <w:rtl w:val="0"/>
        <w:cs w:val="0"/>
      </w:rPr>
    </w:lvl>
  </w:abstractNum>
  <w:abstractNum w:abstractNumId="4">
    <w:nsid w:val="41965729"/>
    <w:multiLevelType w:val="hybridMultilevel"/>
    <w:tmpl w:val="C76630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4284074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6">
    <w:nsid w:val="4C995951"/>
    <w:multiLevelType w:val="hybridMultilevel"/>
    <w:tmpl w:val="C76630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52106F59"/>
    <w:multiLevelType w:val="hybridMultilevel"/>
    <w:tmpl w:val="5A6A23AA"/>
    <w:lvl w:ilvl="0">
      <w:start w:val="1"/>
      <w:numFmt w:val="lowerLetter"/>
      <w:lvlText w:val="%1)"/>
      <w:lvlJc w:val="left"/>
      <w:pPr>
        <w:ind w:left="177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4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9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6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3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0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530" w:hanging="180"/>
      </w:pPr>
      <w:rPr>
        <w:rFonts w:cs="Times New Roman"/>
        <w:rtl w:val="0"/>
        <w:cs w:val="0"/>
      </w:rPr>
    </w:lvl>
  </w:abstractNum>
  <w:abstractNum w:abstractNumId="8">
    <w:nsid w:val="53D96C8D"/>
    <w:multiLevelType w:val="hybridMultilevel"/>
    <w:tmpl w:val="6C684340"/>
    <w:lvl w:ilvl="0">
      <w:start w:val="1"/>
      <w:numFmt w:val="decimal"/>
      <w:lvlText w:val="%1."/>
      <w:lvlJc w:val="left"/>
      <w:pPr>
        <w:ind w:left="213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85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57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29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501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73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45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17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890" w:hanging="180"/>
      </w:pPr>
      <w:rPr>
        <w:rFonts w:cs="Times New Roman"/>
        <w:rtl w:val="0"/>
        <w:cs w:val="0"/>
      </w:rPr>
    </w:lvl>
  </w:abstractNum>
  <w:abstractNum w:abstractNumId="9">
    <w:nsid w:val="5CC07D33"/>
    <w:multiLevelType w:val="hybridMultilevel"/>
    <w:tmpl w:val="B75CD39C"/>
    <w:lvl w:ilvl="0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10">
    <w:nsid w:val="69280016"/>
    <w:multiLevelType w:val="hybridMultilevel"/>
    <w:tmpl w:val="C76630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1">
    <w:nsid w:val="79C53D00"/>
    <w:multiLevelType w:val="hybridMultilevel"/>
    <w:tmpl w:val="C30C1C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7B14722A"/>
    <w:multiLevelType w:val="hybridMultilevel"/>
    <w:tmpl w:val="2DEC20B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7B4020A3"/>
    <w:multiLevelType w:val="hybridMultilevel"/>
    <w:tmpl w:val="69D69D12"/>
    <w:lvl w:ilvl="0">
      <w:start w:val="1"/>
      <w:numFmt w:val="decimal"/>
      <w:lvlText w:val="%1."/>
      <w:lvlJc w:val="left"/>
      <w:pPr>
        <w:ind w:left="213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85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57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29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501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73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45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17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890" w:hanging="180"/>
      </w:pPr>
      <w:rPr>
        <w:rFonts w:cs="Times New Roman"/>
        <w:rtl w:val="0"/>
        <w:cs w:val="0"/>
      </w:rPr>
    </w:lvl>
  </w:abstractNum>
  <w:abstractNum w:abstractNumId="14">
    <w:nsid w:val="7B925A2E"/>
    <w:multiLevelType w:val="hybridMultilevel"/>
    <w:tmpl w:val="8A6CE2F4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10"/>
  </w:num>
  <w:num w:numId="7">
    <w:abstractNumId w:val="12"/>
  </w:num>
  <w:num w:numId="8">
    <w:abstractNumId w:val="4"/>
  </w:num>
  <w:num w:numId="9">
    <w:abstractNumId w:val="6"/>
  </w:num>
  <w:num w:numId="10">
    <w:abstractNumId w:val="11"/>
  </w:num>
  <w:num w:numId="11">
    <w:abstractNumId w:val="14"/>
  </w:num>
  <w:num w:numId="12">
    <w:abstractNumId w:val="7"/>
  </w:num>
  <w:num w:numId="13">
    <w:abstractNumId w:val="13"/>
  </w:num>
  <w:num w:numId="14">
    <w:abstractNumId w:val="8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B453CC"/>
    <w:rsid w:val="00003C66"/>
    <w:rsid w:val="0001135D"/>
    <w:rsid w:val="00033645"/>
    <w:rsid w:val="00042B13"/>
    <w:rsid w:val="00043A5C"/>
    <w:rsid w:val="00044947"/>
    <w:rsid w:val="0008535F"/>
    <w:rsid w:val="000A5628"/>
    <w:rsid w:val="000B6C80"/>
    <w:rsid w:val="000D7AA0"/>
    <w:rsid w:val="000E09B3"/>
    <w:rsid w:val="000E6C23"/>
    <w:rsid w:val="000E77AE"/>
    <w:rsid w:val="001250C0"/>
    <w:rsid w:val="001552B7"/>
    <w:rsid w:val="00160EAA"/>
    <w:rsid w:val="00160F84"/>
    <w:rsid w:val="0016288D"/>
    <w:rsid w:val="00162FB9"/>
    <w:rsid w:val="00170A4D"/>
    <w:rsid w:val="0018522F"/>
    <w:rsid w:val="0018664E"/>
    <w:rsid w:val="001B0CC4"/>
    <w:rsid w:val="001C0E5C"/>
    <w:rsid w:val="001C3E37"/>
    <w:rsid w:val="001F7918"/>
    <w:rsid w:val="00201F9A"/>
    <w:rsid w:val="002076F8"/>
    <w:rsid w:val="0021654A"/>
    <w:rsid w:val="00227FB4"/>
    <w:rsid w:val="00230962"/>
    <w:rsid w:val="002426BD"/>
    <w:rsid w:val="00242CEE"/>
    <w:rsid w:val="00271426"/>
    <w:rsid w:val="00290F7A"/>
    <w:rsid w:val="002979A2"/>
    <w:rsid w:val="002A1E0F"/>
    <w:rsid w:val="00301689"/>
    <w:rsid w:val="00325703"/>
    <w:rsid w:val="00376205"/>
    <w:rsid w:val="00376408"/>
    <w:rsid w:val="0038148A"/>
    <w:rsid w:val="003832B5"/>
    <w:rsid w:val="00390421"/>
    <w:rsid w:val="003A5584"/>
    <w:rsid w:val="003A5D77"/>
    <w:rsid w:val="003B4540"/>
    <w:rsid w:val="003D2F95"/>
    <w:rsid w:val="00412851"/>
    <w:rsid w:val="00420D1F"/>
    <w:rsid w:val="004210B5"/>
    <w:rsid w:val="00422629"/>
    <w:rsid w:val="0042713B"/>
    <w:rsid w:val="00455702"/>
    <w:rsid w:val="00473EC7"/>
    <w:rsid w:val="004868E6"/>
    <w:rsid w:val="00496AC1"/>
    <w:rsid w:val="004A318E"/>
    <w:rsid w:val="004A7080"/>
    <w:rsid w:val="004D2F2C"/>
    <w:rsid w:val="004D4F3E"/>
    <w:rsid w:val="004F2493"/>
    <w:rsid w:val="00501851"/>
    <w:rsid w:val="00534DE4"/>
    <w:rsid w:val="00576495"/>
    <w:rsid w:val="005821A1"/>
    <w:rsid w:val="00595B43"/>
    <w:rsid w:val="005B1520"/>
    <w:rsid w:val="005B330A"/>
    <w:rsid w:val="005D2B6F"/>
    <w:rsid w:val="005D3588"/>
    <w:rsid w:val="005D6F1A"/>
    <w:rsid w:val="005D76F4"/>
    <w:rsid w:val="005F453B"/>
    <w:rsid w:val="00605536"/>
    <w:rsid w:val="006204A0"/>
    <w:rsid w:val="006513DD"/>
    <w:rsid w:val="006637B2"/>
    <w:rsid w:val="00672758"/>
    <w:rsid w:val="006A0056"/>
    <w:rsid w:val="006B2669"/>
    <w:rsid w:val="006C5A60"/>
    <w:rsid w:val="006D4CEA"/>
    <w:rsid w:val="006E6FD9"/>
    <w:rsid w:val="006F1ED3"/>
    <w:rsid w:val="006F4B16"/>
    <w:rsid w:val="00704743"/>
    <w:rsid w:val="007245D6"/>
    <w:rsid w:val="00735A7D"/>
    <w:rsid w:val="00745ECF"/>
    <w:rsid w:val="007513E3"/>
    <w:rsid w:val="007524FA"/>
    <w:rsid w:val="007555FB"/>
    <w:rsid w:val="00761AE6"/>
    <w:rsid w:val="00763EBF"/>
    <w:rsid w:val="007757A8"/>
    <w:rsid w:val="007A39C6"/>
    <w:rsid w:val="007B5EAA"/>
    <w:rsid w:val="007C1B8A"/>
    <w:rsid w:val="007C6E37"/>
    <w:rsid w:val="007D0A4A"/>
    <w:rsid w:val="007D3CE5"/>
    <w:rsid w:val="007E2AC6"/>
    <w:rsid w:val="007F102A"/>
    <w:rsid w:val="007F1C44"/>
    <w:rsid w:val="007F21E2"/>
    <w:rsid w:val="00845491"/>
    <w:rsid w:val="00852CB2"/>
    <w:rsid w:val="00875A18"/>
    <w:rsid w:val="00897A7B"/>
    <w:rsid w:val="008A28B4"/>
    <w:rsid w:val="008A551F"/>
    <w:rsid w:val="008B0D80"/>
    <w:rsid w:val="008B6DA4"/>
    <w:rsid w:val="008C06C3"/>
    <w:rsid w:val="008C0CC6"/>
    <w:rsid w:val="008D2DEB"/>
    <w:rsid w:val="008D5601"/>
    <w:rsid w:val="008D6EAD"/>
    <w:rsid w:val="008F0A3B"/>
    <w:rsid w:val="008F2531"/>
    <w:rsid w:val="00907406"/>
    <w:rsid w:val="00921B55"/>
    <w:rsid w:val="0093071B"/>
    <w:rsid w:val="00953104"/>
    <w:rsid w:val="00955A00"/>
    <w:rsid w:val="00970D45"/>
    <w:rsid w:val="00985F63"/>
    <w:rsid w:val="00A00111"/>
    <w:rsid w:val="00A119F7"/>
    <w:rsid w:val="00A12DDF"/>
    <w:rsid w:val="00A31EB2"/>
    <w:rsid w:val="00A43EFC"/>
    <w:rsid w:val="00A45AFB"/>
    <w:rsid w:val="00A47EE3"/>
    <w:rsid w:val="00A523AC"/>
    <w:rsid w:val="00A637C0"/>
    <w:rsid w:val="00AC5879"/>
    <w:rsid w:val="00AC5BBF"/>
    <w:rsid w:val="00AD4E83"/>
    <w:rsid w:val="00AE61BD"/>
    <w:rsid w:val="00AF2918"/>
    <w:rsid w:val="00B11627"/>
    <w:rsid w:val="00B178D8"/>
    <w:rsid w:val="00B23A69"/>
    <w:rsid w:val="00B34454"/>
    <w:rsid w:val="00B40425"/>
    <w:rsid w:val="00B4528C"/>
    <w:rsid w:val="00B453CC"/>
    <w:rsid w:val="00B5401E"/>
    <w:rsid w:val="00B658DB"/>
    <w:rsid w:val="00B674BE"/>
    <w:rsid w:val="00B73112"/>
    <w:rsid w:val="00B74A23"/>
    <w:rsid w:val="00BA7434"/>
    <w:rsid w:val="00BB741F"/>
    <w:rsid w:val="00BC5472"/>
    <w:rsid w:val="00BC71A9"/>
    <w:rsid w:val="00BE70D0"/>
    <w:rsid w:val="00BF1433"/>
    <w:rsid w:val="00BF1CD4"/>
    <w:rsid w:val="00C00AB5"/>
    <w:rsid w:val="00C14C5C"/>
    <w:rsid w:val="00C37527"/>
    <w:rsid w:val="00C40C54"/>
    <w:rsid w:val="00C45CCF"/>
    <w:rsid w:val="00C64D47"/>
    <w:rsid w:val="00C67171"/>
    <w:rsid w:val="00C71B26"/>
    <w:rsid w:val="00C76852"/>
    <w:rsid w:val="00C817D8"/>
    <w:rsid w:val="00C930E8"/>
    <w:rsid w:val="00C95AC1"/>
    <w:rsid w:val="00CE25F3"/>
    <w:rsid w:val="00CE413D"/>
    <w:rsid w:val="00CE45B3"/>
    <w:rsid w:val="00D10F3A"/>
    <w:rsid w:val="00D303AA"/>
    <w:rsid w:val="00D5629D"/>
    <w:rsid w:val="00D7416F"/>
    <w:rsid w:val="00DA66C9"/>
    <w:rsid w:val="00DD0074"/>
    <w:rsid w:val="00DD5A9F"/>
    <w:rsid w:val="00DE40B4"/>
    <w:rsid w:val="00DF4599"/>
    <w:rsid w:val="00E0010E"/>
    <w:rsid w:val="00E023ED"/>
    <w:rsid w:val="00E05B43"/>
    <w:rsid w:val="00E17767"/>
    <w:rsid w:val="00E230BC"/>
    <w:rsid w:val="00E31EF2"/>
    <w:rsid w:val="00E353FF"/>
    <w:rsid w:val="00E3722A"/>
    <w:rsid w:val="00E449AB"/>
    <w:rsid w:val="00E82643"/>
    <w:rsid w:val="00EA5D9F"/>
    <w:rsid w:val="00EB0C8D"/>
    <w:rsid w:val="00EB26F4"/>
    <w:rsid w:val="00EC2330"/>
    <w:rsid w:val="00ED1083"/>
    <w:rsid w:val="00ED175F"/>
    <w:rsid w:val="00EE4765"/>
    <w:rsid w:val="00EE72E5"/>
    <w:rsid w:val="00F03AF9"/>
    <w:rsid w:val="00F05214"/>
    <w:rsid w:val="00F10BD5"/>
    <w:rsid w:val="00F149AE"/>
    <w:rsid w:val="00F24D72"/>
    <w:rsid w:val="00F41ABE"/>
    <w:rsid w:val="00F54161"/>
    <w:rsid w:val="00F716EB"/>
    <w:rsid w:val="00F748B3"/>
    <w:rsid w:val="00F775FC"/>
    <w:rsid w:val="00FB567D"/>
    <w:rsid w:val="00FC50A0"/>
    <w:rsid w:val="00FD2145"/>
    <w:rsid w:val="00FF428A"/>
    <w:rsid w:val="00FF54A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5">
    <w:name w:val="heading 5"/>
    <w:basedOn w:val="Normal"/>
    <w:next w:val="Normal"/>
    <w:link w:val="Heading5Char"/>
    <w:uiPriority w:val="99"/>
    <w:qFormat/>
    <w:pPr>
      <w:numPr>
        <w:ilvl w:val="4"/>
        <w:numId w:val="1"/>
      </w:numPr>
      <w:tabs>
        <w:tab w:val="num" w:pos="3240"/>
      </w:tabs>
      <w:spacing w:before="240" w:after="60"/>
      <w:ind w:left="2880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pPr>
      <w:numPr>
        <w:ilvl w:val="5"/>
        <w:numId w:val="1"/>
      </w:numPr>
      <w:tabs>
        <w:tab w:val="num" w:pos="3960"/>
      </w:tabs>
      <w:spacing w:before="240" w:after="60"/>
      <w:ind w:left="3600"/>
      <w:jc w:val="left"/>
      <w:outlineLvl w:val="5"/>
    </w:pPr>
    <w:rPr>
      <w:rFonts w:ascii="Calibri" w:hAnsi="Calibri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pPr>
      <w:numPr>
        <w:ilvl w:val="6"/>
        <w:numId w:val="1"/>
      </w:numPr>
      <w:tabs>
        <w:tab w:val="num" w:pos="4680"/>
      </w:tabs>
      <w:spacing w:before="240" w:after="60"/>
      <w:ind w:left="4320"/>
      <w:jc w:val="left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pPr>
      <w:numPr>
        <w:ilvl w:val="7"/>
        <w:numId w:val="1"/>
      </w:numPr>
      <w:tabs>
        <w:tab w:val="num" w:pos="5400"/>
      </w:tabs>
      <w:spacing w:before="240" w:after="60"/>
      <w:ind w:left="5040"/>
      <w:jc w:val="left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pPr>
      <w:numPr>
        <w:ilvl w:val="8"/>
        <w:numId w:val="1"/>
      </w:numPr>
      <w:tabs>
        <w:tab w:val="num" w:pos="6120"/>
      </w:tabs>
      <w:spacing w:before="240" w:after="60"/>
      <w:ind w:left="5760"/>
      <w:jc w:val="left"/>
      <w:outlineLvl w:val="8"/>
    </w:pPr>
    <w:rPr>
      <w:rFonts w:ascii="Calibri" w:hAnsi="Calibri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link w:val="Heading5"/>
    <w:uiPriority w:val="99"/>
    <w:locked/>
    <w:rPr>
      <w:b/>
      <w:i/>
      <w:sz w:val="26"/>
    </w:rPr>
  </w:style>
  <w:style w:type="character" w:customStyle="1" w:styleId="Heading6Char">
    <w:name w:val="Heading 6 Char"/>
    <w:link w:val="Heading6"/>
    <w:uiPriority w:val="99"/>
    <w:locked/>
    <w:rPr>
      <w:b/>
    </w:rPr>
  </w:style>
  <w:style w:type="character" w:customStyle="1" w:styleId="Heading7Char">
    <w:name w:val="Heading 7 Char"/>
    <w:link w:val="Heading7"/>
    <w:uiPriority w:val="99"/>
    <w:locked/>
    <w:rPr>
      <w:sz w:val="24"/>
    </w:rPr>
  </w:style>
  <w:style w:type="character" w:customStyle="1" w:styleId="Heading8Char">
    <w:name w:val="Heading 8 Char"/>
    <w:link w:val="Heading8"/>
    <w:uiPriority w:val="99"/>
    <w:locked/>
    <w:rPr>
      <w:i/>
      <w:sz w:val="24"/>
    </w:rPr>
  </w:style>
  <w:style w:type="character" w:customStyle="1" w:styleId="Heading9Char">
    <w:name w:val="Heading 9 Char"/>
    <w:link w:val="Heading9"/>
    <w:uiPriority w:val="99"/>
    <w:locked/>
  </w:style>
  <w:style w:type="paragraph" w:customStyle="1" w:styleId="Nadpis1orobas">
    <w:name w:val="Nadpis 1.Čo robí (časť)"/>
    <w:basedOn w:val="Normal"/>
    <w:next w:val="Normal"/>
    <w:uiPriority w:val="99"/>
    <w:pPr>
      <w:keepNext/>
      <w:numPr>
        <w:numId w:val="1"/>
      </w:numPr>
      <w:tabs>
        <w:tab w:val="num" w:pos="567"/>
      </w:tabs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paragraph" w:customStyle="1" w:styleId="Nadpis2loha">
    <w:name w:val="Nadpis 2.Úloha"/>
    <w:basedOn w:val="Normal"/>
    <w:uiPriority w:val="99"/>
    <w:pPr>
      <w:numPr>
        <w:ilvl w:val="1"/>
        <w:numId w:val="1"/>
      </w:numPr>
      <w:tabs>
        <w:tab w:val="num" w:pos="1418"/>
      </w:tabs>
      <w:spacing w:before="120"/>
      <w:ind w:left="1418" w:hanging="851"/>
      <w:jc w:val="both"/>
      <w:outlineLvl w:val="1"/>
    </w:pPr>
    <w:rPr>
      <w:sz w:val="24"/>
      <w:szCs w:val="24"/>
    </w:rPr>
  </w:style>
  <w:style w:type="paragraph" w:customStyle="1" w:styleId="Nadpis3Podloha">
    <w:name w:val="Nadpis 3.Podúloha"/>
    <w:basedOn w:val="Normal"/>
    <w:uiPriority w:val="99"/>
    <w:pPr>
      <w:keepNext/>
      <w:numPr>
        <w:ilvl w:val="2"/>
        <w:numId w:val="1"/>
      </w:numPr>
      <w:tabs>
        <w:tab w:val="num" w:pos="1418"/>
      </w:tabs>
      <w:spacing w:before="120"/>
      <w:ind w:left="2269" w:hanging="851"/>
      <w:jc w:val="left"/>
      <w:outlineLvl w:val="2"/>
    </w:pPr>
    <w:rPr>
      <w:sz w:val="24"/>
      <w:szCs w:val="24"/>
    </w:rPr>
  </w:style>
  <w:style w:type="paragraph" w:customStyle="1" w:styleId="Nadpis4Termn">
    <w:name w:val="Nadpis 4.Termín"/>
    <w:basedOn w:val="Normal"/>
    <w:next w:val="Nadpis2loha"/>
    <w:uiPriority w:val="99"/>
    <w:pPr>
      <w:numPr>
        <w:ilvl w:val="3"/>
        <w:numId w:val="1"/>
      </w:numPr>
      <w:tabs>
        <w:tab w:val="num" w:pos="1418"/>
      </w:tabs>
      <w:spacing w:before="120" w:after="120"/>
      <w:ind w:left="1418" w:hanging="1418"/>
      <w:jc w:val="left"/>
      <w:outlineLvl w:val="3"/>
    </w:pPr>
    <w:rPr>
      <w:i/>
      <w:iCs/>
      <w:sz w:val="24"/>
      <w:szCs w:val="24"/>
    </w:rPr>
  </w:style>
  <w:style w:type="paragraph" w:styleId="BodyText">
    <w:name w:val="Body Text"/>
    <w:basedOn w:val="Normal"/>
    <w:link w:val="BodyTextChar"/>
    <w:uiPriority w:val="99"/>
    <w:pPr>
      <w:jc w:val="both"/>
    </w:pPr>
  </w:style>
  <w:style w:type="character" w:customStyle="1" w:styleId="BodyTextChar">
    <w:name w:val="Body Text Char"/>
    <w:link w:val="BodyText"/>
    <w:uiPriority w:val="99"/>
    <w:locked/>
    <w:rPr>
      <w:rFonts w:ascii="Times New Roman" w:hAnsi="Times New Roman" w:cs="Times New Roman"/>
      <w:sz w:val="20"/>
    </w:rPr>
  </w:style>
  <w:style w:type="character" w:customStyle="1" w:styleId="Heading1CharorobasChar">
    <w:name w:val="Heading 1 Char.Čo robí (časť) Char"/>
    <w:uiPriority w:val="99"/>
    <w:rPr>
      <w:rFonts w:ascii="Times New Roman" w:hAnsi="Times New Roman" w:cs="Times New Roman"/>
      <w:b/>
      <w:kern w:val="32"/>
      <w:sz w:val="28"/>
      <w:lang w:val="x-none" w:eastAsia="x-none"/>
    </w:rPr>
  </w:style>
  <w:style w:type="character" w:styleId="CommentReference">
    <w:name w:val="annotation reference"/>
    <w:uiPriority w:val="99"/>
    <w:rPr>
      <w:sz w:val="16"/>
    </w:rPr>
  </w:style>
  <w:style w:type="paragraph" w:styleId="CommentText">
    <w:name w:val="annotation text"/>
    <w:basedOn w:val="Normal"/>
    <w:link w:val="CommentTextChar"/>
    <w:uiPriority w:val="99"/>
    <w:pPr>
      <w:jc w:val="left"/>
    </w:pPr>
  </w:style>
  <w:style w:type="character" w:customStyle="1" w:styleId="CommentTextChar">
    <w:name w:val="Comment Text Char"/>
    <w:link w:val="CommentText"/>
    <w:uiPriority w:val="99"/>
    <w:semiHidden/>
    <w:locked/>
    <w:rPr>
      <w:rFonts w:ascii="Times New Roman" w:hAnsi="Times New Roman" w:cs="Times New Roman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53CC"/>
    <w:pPr>
      <w:jc w:val="left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453CC"/>
    <w:rPr>
      <w:rFonts w:ascii="Tahoma" w:hAnsi="Tahoma" w:cs="Tahoma"/>
      <w:sz w:val="16"/>
    </w:rPr>
  </w:style>
  <w:style w:type="character" w:customStyle="1" w:styleId="apple-converted-space">
    <w:name w:val="apple-converted-space"/>
    <w:rsid w:val="005F453B"/>
  </w:style>
  <w:style w:type="paragraph" w:styleId="ListParagraph">
    <w:name w:val="List Paragraph"/>
    <w:basedOn w:val="Normal"/>
    <w:uiPriority w:val="34"/>
    <w:qFormat/>
    <w:rsid w:val="00EA5D9F"/>
    <w:pPr>
      <w:ind w:left="708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E87E8-01D6-41F4-820F-A59DFD978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190</Words>
  <Characters>1083</Characters>
  <Application>Microsoft Office Word</Application>
  <DocSecurity>0</DocSecurity>
  <Lines>0</Lines>
  <Paragraphs>0</Paragraphs>
  <ScaleCrop>false</ScaleCrop>
  <Company>Nebo</Company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Maroš Paulini</dc:creator>
  <cp:lastModifiedBy>Gašparíková, Jarmila</cp:lastModifiedBy>
  <cp:revision>2</cp:revision>
  <dcterms:created xsi:type="dcterms:W3CDTF">2013-05-31T10:40:00Z</dcterms:created>
  <dcterms:modified xsi:type="dcterms:W3CDTF">2013-05-31T10:40:00Z</dcterms:modified>
</cp:coreProperties>
</file>