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2980" w:rsidRPr="00D72980" w:rsidP="00D72980">
      <w:pPr>
        <w:bidi w:val="0"/>
        <w:jc w:val="center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D72980">
        <w:rPr>
          <w:rFonts w:ascii="Arial" w:hAnsi="Arial" w:cs="Arial"/>
          <w:b/>
          <w:bCs/>
          <w:sz w:val="22"/>
          <w:szCs w:val="22"/>
          <w:lang w:eastAsia="cs-CZ"/>
        </w:rPr>
        <w:t>Dôvodová správa</w:t>
      </w:r>
    </w:p>
    <w:p w:rsidR="00D72980" w:rsidRPr="00D72980" w:rsidP="00D72980">
      <w:pPr>
        <w:bidi w:val="0"/>
        <w:jc w:val="center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72980" w:rsidRPr="00D72980" w:rsidP="00D72980">
      <w:pPr>
        <w:bidi w:val="0"/>
        <w:jc w:val="center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72980" w:rsidRPr="00D72980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D72980">
        <w:rPr>
          <w:rFonts w:ascii="Arial" w:hAnsi="Arial" w:cs="Arial"/>
          <w:b/>
          <w:bCs/>
          <w:sz w:val="22"/>
          <w:szCs w:val="22"/>
          <w:lang w:eastAsia="cs-CZ"/>
        </w:rPr>
        <w:t>A: Všeobecná</w:t>
      </w:r>
    </w:p>
    <w:p w:rsidR="00D72980" w:rsidRPr="00D72980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842F33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="00527F4F">
        <w:rPr>
          <w:rFonts w:ascii="Arial" w:hAnsi="Arial" w:cs="Arial"/>
          <w:bCs/>
          <w:sz w:val="22"/>
          <w:szCs w:val="22"/>
          <w:lang w:eastAsia="cs-CZ"/>
        </w:rPr>
        <w:t xml:space="preserve">V doterajšej praxi sa uplatňuje pri určitých účtovných prípadoch tzv. pomerné odpočítanie dane. </w:t>
      </w:r>
    </w:p>
    <w:p w:rsidR="00842F33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842F33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A</w:t>
      </w:r>
      <w:r w:rsidRPr="00842F33">
        <w:rPr>
          <w:rFonts w:ascii="Arial" w:hAnsi="Arial" w:cs="Arial"/>
          <w:bCs/>
          <w:sz w:val="22"/>
          <w:szCs w:val="22"/>
          <w:lang w:eastAsia="cs-CZ"/>
        </w:rPr>
        <w:t xml:space="preserve">k platiteľ použije tovary a služby pre dodávky tovarov a služieb, pri ktorých môže odpočítať daň, a súčasne pre dodávky tovarov a služieb, pri ktorých nemôže odpočítať </w:t>
      </w:r>
      <w:r>
        <w:rPr>
          <w:rFonts w:ascii="Arial" w:hAnsi="Arial" w:cs="Arial"/>
          <w:bCs/>
          <w:sz w:val="22"/>
          <w:szCs w:val="22"/>
          <w:lang w:eastAsia="cs-CZ"/>
        </w:rPr>
        <w:t>DPH</w:t>
      </w:r>
      <w:r w:rsidRPr="00842F33">
        <w:rPr>
          <w:rFonts w:ascii="Arial" w:hAnsi="Arial" w:cs="Arial"/>
          <w:bCs/>
          <w:sz w:val="22"/>
          <w:szCs w:val="22"/>
          <w:lang w:eastAsia="cs-CZ"/>
        </w:rPr>
        <w:t xml:space="preserve">, je povinný postupovať pri výpočte pomernej výšky dane, ktorú môže odpočítať, podľa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doterajšieho </w:t>
      </w:r>
      <w:r w:rsidRPr="00842F33">
        <w:rPr>
          <w:rFonts w:ascii="Arial" w:hAnsi="Arial" w:cs="Arial"/>
          <w:bCs/>
          <w:sz w:val="22"/>
          <w:szCs w:val="22"/>
          <w:lang w:eastAsia="cs-CZ"/>
        </w:rPr>
        <w:t>§ 50.</w:t>
      </w:r>
    </w:p>
    <w:p w:rsidR="00842F33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527F4F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="00842F33">
        <w:rPr>
          <w:rFonts w:ascii="Arial" w:hAnsi="Arial" w:cs="Arial"/>
          <w:bCs/>
          <w:sz w:val="22"/>
          <w:szCs w:val="22"/>
          <w:lang w:eastAsia="cs-CZ"/>
        </w:rPr>
        <w:t>Ak teda napríklad podnikateľ, platca DPH, dodáva svoje tovary a služby, ktoré sú zo zákona oslobodené od DPH, je povinný uplatňovať koeficient, ktorý sa</w:t>
      </w:r>
      <w:r w:rsidRPr="00842F33" w:rsidR="00842F33">
        <w:rPr>
          <w:rFonts w:ascii="Arial" w:hAnsi="Arial" w:cs="Arial"/>
          <w:bCs/>
          <w:sz w:val="22"/>
          <w:szCs w:val="22"/>
          <w:lang w:eastAsia="cs-CZ"/>
        </w:rPr>
        <w:t xml:space="preserve"> vypočíta ako podiel, v ktorého čitateli sú výnosy (príjmy) bez dane z tovarov a služieb za kalendárny rok, pri ktorých je daň odpočítateľná, a v ktorého menovateli sú výnosy (príjmy) bez dane zo všetkých tovarov a služieb za kalendárny rok.</w:t>
      </w:r>
    </w:p>
    <w:p w:rsidR="00842F33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842F33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Na jednej strane má teda podnikateľ zakázané účtovať svojmu odberateľovi DPH na tovary a služby, ktoré mu dodá, na strane druhej je </w:t>
      </w:r>
      <w:r w:rsidR="00725C05">
        <w:rPr>
          <w:rFonts w:ascii="Arial" w:hAnsi="Arial" w:cs="Arial"/>
          <w:bCs/>
          <w:sz w:val="22"/>
          <w:szCs w:val="22"/>
          <w:lang w:eastAsia="cs-CZ"/>
        </w:rPr>
        <w:t>za toto po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trestaný </w:t>
      </w:r>
      <w:r w:rsidR="00725C05">
        <w:rPr>
          <w:rFonts w:ascii="Arial" w:hAnsi="Arial" w:cs="Arial"/>
          <w:bCs/>
          <w:sz w:val="22"/>
          <w:szCs w:val="22"/>
          <w:lang w:eastAsia="cs-CZ"/>
        </w:rPr>
        <w:t xml:space="preserve">tým, že na vstupy, ktoré použil na to, aby mohol nejaké dodávky vykonať si nemôže uplatniť odpočet DPH. </w:t>
      </w:r>
    </w:p>
    <w:p w:rsidR="00725C05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725C05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Preto navrhujeme zrušiť toto nesystémové opatrenie.</w:t>
      </w:r>
    </w:p>
    <w:p w:rsidR="00842F33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777BD5" w:rsidRPr="002B2AEC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Uvedením opatren</w:t>
      </w:r>
      <w:r w:rsidR="00725C05">
        <w:rPr>
          <w:rFonts w:ascii="Arial" w:hAnsi="Arial" w:cs="Arial"/>
          <w:bCs/>
          <w:sz w:val="22"/>
          <w:szCs w:val="22"/>
          <w:lang w:eastAsia="cs-CZ"/>
        </w:rPr>
        <w:t>ia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do praxe očakávame</w:t>
      </w:r>
      <w:r w:rsidR="00725C05">
        <w:rPr>
          <w:rFonts w:ascii="Arial" w:hAnsi="Arial" w:cs="Arial"/>
          <w:bCs/>
          <w:sz w:val="22"/>
          <w:szCs w:val="22"/>
          <w:lang w:eastAsia="cs-CZ"/>
        </w:rPr>
        <w:t xml:space="preserve"> zlepšenie podnikateľského prostredia, sprehľadnenie a systémový prístup k uplatňovaniu DPH.</w:t>
      </w:r>
    </w:p>
    <w:p w:rsidR="00D72980" w:rsidRPr="00D72980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72980" w:rsidRPr="00D72980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D72980">
        <w:rPr>
          <w:rFonts w:ascii="Arial" w:hAnsi="Arial" w:cs="Arial"/>
          <w:bCs/>
          <w:sz w:val="22"/>
          <w:szCs w:val="22"/>
          <w:lang w:eastAsia="cs-CZ"/>
        </w:rPr>
        <w:t xml:space="preserve">Navrhovaná právna úprava nebude mať dopad na štátny rozpočet, rozpočty obcí alebo rozpočty vyšších územných celkov a nezakladá nároky na pracovné sily a organizačné zabezpečenie. Materiál </w:t>
      </w:r>
      <w:r>
        <w:rPr>
          <w:rFonts w:ascii="Arial" w:hAnsi="Arial" w:cs="Arial"/>
          <w:bCs/>
          <w:sz w:val="22"/>
          <w:szCs w:val="22"/>
          <w:lang w:eastAsia="cs-CZ"/>
        </w:rPr>
        <w:t>má pozitívny</w:t>
      </w:r>
      <w:r w:rsidRPr="00D72980">
        <w:rPr>
          <w:rFonts w:ascii="Arial" w:hAnsi="Arial" w:cs="Arial"/>
          <w:bCs/>
          <w:sz w:val="22"/>
          <w:szCs w:val="22"/>
          <w:lang w:eastAsia="cs-CZ"/>
        </w:rPr>
        <w:t xml:space="preserve"> ekonomický vplyv na zamestna</w:t>
      </w:r>
      <w:r>
        <w:rPr>
          <w:rFonts w:ascii="Arial" w:hAnsi="Arial" w:cs="Arial"/>
          <w:bCs/>
          <w:sz w:val="22"/>
          <w:szCs w:val="22"/>
          <w:lang w:eastAsia="cs-CZ"/>
        </w:rPr>
        <w:t>nosť a podnikateľské prostredie</w:t>
      </w:r>
      <w:r w:rsidRPr="00D72980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D72980" w:rsidRPr="00D72980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D72980" w:rsidRPr="00D72980" w:rsidP="002B2AEC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D72980">
        <w:rPr>
          <w:rFonts w:ascii="Arial" w:hAnsi="Arial" w:cs="Arial"/>
          <w:bCs/>
          <w:sz w:val="22"/>
          <w:szCs w:val="22"/>
          <w:lang w:eastAsia="cs-CZ"/>
        </w:rPr>
        <w:t>Návrh zákona je v súlade s Ústavou, ústavnými zákonmi a inými zákonmi a medzinárodnými zmluvami a inými medzinárodnými dokumentmi, ktorými je Slovenská republika viazaná.</w:t>
      </w:r>
    </w:p>
    <w:p w:rsidR="00D72980" w:rsidRPr="00D72980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72980" w:rsidRPr="00D72980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72980" w:rsidRP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>B: Osobitná</w:t>
      </w:r>
    </w:p>
    <w:p w:rsidR="00D72980" w:rsidRP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72980" w:rsidRP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>K Čl.</w:t>
      </w:r>
      <w:r w:rsidRPr="00F63BB4" w:rsidR="00FE5567">
        <w:rPr>
          <w:rFonts w:ascii="Arial" w:hAnsi="Arial" w:cs="Arial"/>
          <w:b/>
          <w:bCs/>
          <w:sz w:val="22"/>
          <w:szCs w:val="22"/>
          <w:lang w:eastAsia="cs-CZ"/>
        </w:rPr>
        <w:t xml:space="preserve"> I</w:t>
      </w:r>
    </w:p>
    <w:p w:rsidR="00D72980" w:rsidRP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725C05" w:rsidRPr="00F63BB4" w:rsidP="00725C05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>K bodu 1</w:t>
      </w:r>
    </w:p>
    <w:p w:rsidR="00434460" w:rsidRPr="00F63BB4" w:rsidP="00434460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Legislat</w:t>
      </w:r>
      <w:r w:rsidR="00F63BB4">
        <w:rPr>
          <w:rFonts w:ascii="Arial" w:hAnsi="Arial" w:cs="Arial"/>
          <w:bCs/>
          <w:sz w:val="22"/>
          <w:szCs w:val="22"/>
          <w:lang w:eastAsia="cs-CZ"/>
        </w:rPr>
        <w:t>ívno-technická úprava v súvislosti so zrušením § 50.</w:t>
      </w:r>
    </w:p>
    <w:p w:rsidR="00D72980" w:rsidRP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F63BB4" w:rsidRPr="00F63BB4" w:rsidP="00F63BB4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 xml:space="preserve">K bodu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2</w:t>
      </w:r>
    </w:p>
    <w:p w:rsidR="00F63BB4" w:rsidRPr="00F63BB4" w:rsidP="00F63BB4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Legislat</w:t>
      </w:r>
      <w:r>
        <w:rPr>
          <w:rFonts w:ascii="Arial" w:hAnsi="Arial" w:cs="Arial"/>
          <w:bCs/>
          <w:sz w:val="22"/>
          <w:szCs w:val="22"/>
          <w:lang w:eastAsia="cs-CZ"/>
        </w:rPr>
        <w:t>ívno-technická úprava v súvislosti so zrušením § 50.</w:t>
      </w:r>
    </w:p>
    <w:p w:rsidR="00F63BB4" w:rsidP="00725C05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725C05" w:rsidRPr="00F63BB4" w:rsidP="00725C05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 xml:space="preserve">K bodu </w:t>
      </w:r>
      <w:r w:rsidR="00F63BB4">
        <w:rPr>
          <w:rFonts w:ascii="Arial" w:hAnsi="Arial" w:cs="Arial"/>
          <w:b/>
          <w:bCs/>
          <w:sz w:val="22"/>
          <w:szCs w:val="22"/>
          <w:lang w:eastAsia="cs-CZ"/>
        </w:rPr>
        <w:t>3</w:t>
      </w:r>
    </w:p>
    <w:p w:rsidR="00D6248D" w:rsidRPr="00F63BB4" w:rsidP="00D6248D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Legislat</w:t>
      </w:r>
      <w:r>
        <w:rPr>
          <w:rFonts w:ascii="Arial" w:hAnsi="Arial" w:cs="Arial"/>
          <w:bCs/>
          <w:sz w:val="22"/>
          <w:szCs w:val="22"/>
          <w:lang w:eastAsia="cs-CZ"/>
        </w:rPr>
        <w:t>ívno-technická úprava v súvislosti so zrušením § 50.</w:t>
      </w:r>
    </w:p>
    <w:p w:rsidR="00725C05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F63BB4" w:rsidRPr="00F63BB4" w:rsidP="00F63BB4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 xml:space="preserve">K bodu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4</w:t>
      </w:r>
    </w:p>
    <w:p w:rsidR="00D6248D" w:rsidRPr="00D72980" w:rsidP="00D6248D">
      <w:pPr>
        <w:bidi w:val="0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Navrhuje sa zrušenie § 50, ktor</w:t>
      </w:r>
      <w:r>
        <w:rPr>
          <w:rFonts w:ascii="Arial" w:hAnsi="Arial" w:cs="Arial"/>
          <w:bCs/>
          <w:sz w:val="22"/>
          <w:szCs w:val="22"/>
          <w:lang w:eastAsia="cs-CZ"/>
        </w:rPr>
        <w:t>ý definuje povinnosť pomerného odpočtu dane.</w:t>
      </w:r>
    </w:p>
    <w:p w:rsid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F63BB4" w:rsidRPr="00F63BB4" w:rsidP="00F63BB4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 xml:space="preserve">K bodu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5</w:t>
      </w:r>
    </w:p>
    <w:p w:rsidR="00F63BB4" w:rsidRPr="00F63BB4" w:rsidP="00F63BB4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Legislat</w:t>
      </w:r>
      <w:r>
        <w:rPr>
          <w:rFonts w:ascii="Arial" w:hAnsi="Arial" w:cs="Arial"/>
          <w:bCs/>
          <w:sz w:val="22"/>
          <w:szCs w:val="22"/>
          <w:lang w:eastAsia="cs-CZ"/>
        </w:rPr>
        <w:t>ívno-technická úprava v súvislosti so zrušením § 50.</w:t>
      </w:r>
    </w:p>
    <w:p w:rsid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F63BB4" w:rsidRPr="00F63BB4" w:rsidP="00F63BB4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 xml:space="preserve">K bodu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6</w:t>
      </w:r>
    </w:p>
    <w:p w:rsidR="00F63BB4" w:rsidRPr="00F63BB4" w:rsidP="00F63BB4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Legislat</w:t>
      </w:r>
      <w:r>
        <w:rPr>
          <w:rFonts w:ascii="Arial" w:hAnsi="Arial" w:cs="Arial"/>
          <w:bCs/>
          <w:sz w:val="22"/>
          <w:szCs w:val="22"/>
          <w:lang w:eastAsia="cs-CZ"/>
        </w:rPr>
        <w:t>ívno-technická úprava v súvislosti so zrušením § 50.</w:t>
      </w:r>
    </w:p>
    <w:p w:rsid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F63BB4" w:rsidRPr="00F63BB4" w:rsidP="00F63BB4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 xml:space="preserve">K bodu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7</w:t>
      </w:r>
    </w:p>
    <w:p w:rsidR="00F63BB4" w:rsidRPr="00F63BB4" w:rsidP="00F63BB4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Legislat</w:t>
      </w:r>
      <w:r>
        <w:rPr>
          <w:rFonts w:ascii="Arial" w:hAnsi="Arial" w:cs="Arial"/>
          <w:bCs/>
          <w:sz w:val="22"/>
          <w:szCs w:val="22"/>
          <w:lang w:eastAsia="cs-CZ"/>
        </w:rPr>
        <w:t>ívno-technická úprava v súvislosti so zrušením § 50.</w:t>
      </w:r>
    </w:p>
    <w:p w:rsidR="00F63BB4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F63BB4" w:rsidRPr="00F63BB4" w:rsidP="00F63BB4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 xml:space="preserve">K bodu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8</w:t>
      </w:r>
    </w:p>
    <w:p w:rsidR="00F63BB4" w:rsidRPr="00F63BB4" w:rsidP="00F63BB4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Legislat</w:t>
      </w:r>
      <w:r>
        <w:rPr>
          <w:rFonts w:ascii="Arial" w:hAnsi="Arial" w:cs="Arial"/>
          <w:bCs/>
          <w:sz w:val="22"/>
          <w:szCs w:val="22"/>
          <w:lang w:eastAsia="cs-CZ"/>
        </w:rPr>
        <w:t>ívno-technická úprava v súvislosti so zrušením § 50.</w:t>
      </w:r>
    </w:p>
    <w:p w:rsidR="00725C05" w:rsidRPr="00D72980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6248D" w:rsidRPr="00F63BB4" w:rsidP="00D6248D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/>
          <w:bCs/>
          <w:sz w:val="22"/>
          <w:szCs w:val="22"/>
          <w:lang w:eastAsia="cs-CZ"/>
        </w:rPr>
        <w:t xml:space="preserve">K bodu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8</w:t>
      </w:r>
    </w:p>
    <w:p w:rsidR="00D6248D" w:rsidRPr="00F63BB4" w:rsidP="00D6248D">
      <w:pPr>
        <w:bidi w:val="0"/>
        <w:jc w:val="both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F63BB4">
        <w:rPr>
          <w:rFonts w:ascii="Arial" w:hAnsi="Arial" w:cs="Arial"/>
          <w:bCs/>
          <w:sz w:val="22"/>
          <w:szCs w:val="22"/>
          <w:lang w:eastAsia="cs-CZ"/>
        </w:rPr>
        <w:t>Legislat</w:t>
      </w:r>
      <w:r>
        <w:rPr>
          <w:rFonts w:ascii="Arial" w:hAnsi="Arial" w:cs="Arial"/>
          <w:bCs/>
          <w:sz w:val="22"/>
          <w:szCs w:val="22"/>
          <w:lang w:eastAsia="cs-CZ"/>
        </w:rPr>
        <w:t>ívno-technická úprava v súvislosti so zrušením § 50.</w:t>
      </w:r>
    </w:p>
    <w:p w:rsidR="00D6248D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72980" w:rsidRPr="00D72980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D72980">
        <w:rPr>
          <w:rFonts w:ascii="Arial" w:hAnsi="Arial" w:cs="Arial"/>
          <w:b/>
          <w:bCs/>
          <w:sz w:val="22"/>
          <w:szCs w:val="22"/>
          <w:lang w:eastAsia="cs-CZ"/>
        </w:rPr>
        <w:t>K ČlI.</w:t>
      </w:r>
    </w:p>
    <w:p w:rsidR="00D72980" w:rsidRPr="00D72980" w:rsidP="00D72980">
      <w:pPr>
        <w:bidi w:val="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D72980" w:rsidRPr="00D72980" w:rsidP="00755087">
      <w:pPr>
        <w:bidi w:val="0"/>
        <w:outlineLvl w:val="0"/>
        <w:rPr>
          <w:rFonts w:ascii="Arial" w:hAnsi="Arial" w:cs="Arial"/>
          <w:sz w:val="22"/>
          <w:szCs w:val="22"/>
          <w:lang w:eastAsia="cs-CZ"/>
        </w:rPr>
      </w:pPr>
      <w:r w:rsidRPr="00F30EBE">
        <w:rPr>
          <w:rFonts w:ascii="Arial" w:hAnsi="Arial" w:cs="Arial"/>
          <w:bCs/>
          <w:sz w:val="22"/>
          <w:szCs w:val="22"/>
          <w:lang w:eastAsia="cs-CZ"/>
        </w:rPr>
        <w:t xml:space="preserve">Vzhľadom na dĺžku legislatívneho procesu a potrebnú legisvakanciu sa navrhuje, aby tento zákon nadobudol účinnosť 1. </w:t>
      </w:r>
      <w:r w:rsidR="00434460">
        <w:rPr>
          <w:rFonts w:ascii="Arial" w:hAnsi="Arial" w:cs="Arial"/>
          <w:bCs/>
          <w:sz w:val="22"/>
          <w:szCs w:val="22"/>
          <w:lang w:eastAsia="cs-CZ"/>
        </w:rPr>
        <w:t>januára</w:t>
      </w:r>
      <w:r w:rsidRPr="00F30EBE">
        <w:rPr>
          <w:rFonts w:ascii="Arial" w:hAnsi="Arial" w:cs="Arial"/>
          <w:bCs/>
          <w:sz w:val="22"/>
          <w:szCs w:val="22"/>
          <w:lang w:eastAsia="cs-CZ"/>
        </w:rPr>
        <w:t xml:space="preserve"> 201</w:t>
      </w:r>
      <w:r w:rsidR="00434460">
        <w:rPr>
          <w:rFonts w:ascii="Arial" w:hAnsi="Arial" w:cs="Arial"/>
          <w:bCs/>
          <w:sz w:val="22"/>
          <w:szCs w:val="22"/>
          <w:lang w:eastAsia="cs-CZ"/>
        </w:rPr>
        <w:t>4</w:t>
      </w:r>
      <w:r w:rsidR="00F30EBE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D72980" w:rsidP="008C2C12">
      <w:pPr>
        <w:bidi w:val="0"/>
        <w:jc w:val="center"/>
        <w:outlineLvl w:val="0"/>
        <w:rPr>
          <w:rFonts w:ascii="Arial" w:hAnsi="Arial" w:cs="Arial"/>
          <w:b/>
          <w:sz w:val="22"/>
          <w:szCs w:val="22"/>
          <w:lang w:eastAsia="cs-CZ"/>
        </w:rPr>
      </w:pPr>
    </w:p>
    <w:p w:rsidR="00D72980" w:rsidP="008C2C12">
      <w:pPr>
        <w:bidi w:val="0"/>
        <w:jc w:val="center"/>
        <w:outlineLvl w:val="0"/>
        <w:rPr>
          <w:rFonts w:ascii="Arial" w:hAnsi="Arial" w:cs="Arial"/>
          <w:b/>
          <w:sz w:val="22"/>
          <w:szCs w:val="22"/>
          <w:lang w:eastAsia="cs-CZ"/>
        </w:rPr>
      </w:pPr>
    </w:p>
    <w:p w:rsidR="00D72980" w:rsidP="008C2C12">
      <w:pPr>
        <w:bidi w:val="0"/>
        <w:jc w:val="center"/>
        <w:outlineLvl w:val="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br w:type="page"/>
      </w:r>
    </w:p>
    <w:p w:rsidR="00C83478" w:rsidRPr="00D4086C" w:rsidP="00C83478">
      <w:pPr>
        <w:pStyle w:val="Title"/>
        <w:bidi w:val="0"/>
        <w:rPr>
          <w:rFonts w:ascii="Times New Roman" w:hAnsi="Times New Roman"/>
        </w:rPr>
      </w:pPr>
      <w:r w:rsidRPr="00D4086C">
        <w:rPr>
          <w:rFonts w:ascii="Times New Roman" w:hAnsi="Times New Roman"/>
        </w:rPr>
        <w:t>DOLOŽKA ZLUČITEĽNOSTI</w:t>
      </w:r>
    </w:p>
    <w:p w:rsidR="00C83478" w:rsidRPr="00D4086C" w:rsidP="00C83478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Cs/>
          <w:szCs w:val="24"/>
        </w:rPr>
      </w:pPr>
      <w:r w:rsidRPr="00D4086C">
        <w:rPr>
          <w:rFonts w:ascii="Times New Roman" w:hAnsi="Times New Roman"/>
          <w:bCs/>
          <w:szCs w:val="24"/>
        </w:rPr>
        <w:t>návrhu zákona, ktorým sa mení a dopĺňa zákon č. 222/2004 Z.z. o dani z pridanej hodnoty v znení neskorších predpisov s právom Európskej únie</w:t>
      </w:r>
    </w:p>
    <w:p w:rsidR="00C83478" w:rsidRPr="00D4086C" w:rsidP="00C8347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83478" w:rsidRPr="00D4086C" w:rsidP="00C83478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3478" w:rsidRPr="008C2C12" w:rsidP="00C83478">
      <w:pPr>
        <w:numPr>
          <w:numId w:val="13"/>
        </w:numPr>
        <w:bidi w:val="0"/>
        <w:jc w:val="both"/>
        <w:rPr>
          <w:rFonts w:ascii="Arial" w:hAnsi="Arial" w:cs="Arial"/>
          <w:sz w:val="22"/>
          <w:szCs w:val="22"/>
        </w:rPr>
      </w:pPr>
      <w:r w:rsidRPr="008C2C12">
        <w:rPr>
          <w:rFonts w:ascii="Arial" w:hAnsi="Arial" w:cs="Arial"/>
          <w:b/>
          <w:sz w:val="22"/>
          <w:szCs w:val="22"/>
        </w:rPr>
        <w:t>Predkladateľ zákona:</w:t>
      </w:r>
      <w:r>
        <w:rPr>
          <w:rFonts w:ascii="Arial" w:hAnsi="Arial" w:cs="Arial"/>
          <w:sz w:val="22"/>
          <w:szCs w:val="22"/>
        </w:rPr>
        <w:t xml:space="preserve"> poslanci NR SR Ivan Štefanec a</w:t>
      </w:r>
      <w:r w:rsidRPr="00F30EBE">
        <w:rPr>
          <w:rFonts w:ascii="Arial" w:hAnsi="Arial" w:cs="Arial"/>
          <w:sz w:val="22"/>
          <w:szCs w:val="22"/>
        </w:rPr>
        <w:t xml:space="preserve"> Pavol Frešo</w:t>
      </w:r>
    </w:p>
    <w:p w:rsidR="00C83478" w:rsidRPr="00D4086C" w:rsidP="00C83478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  <w:r w:rsidRPr="00D4086C">
        <w:rPr>
          <w:rFonts w:ascii="Times New Roman" w:hAnsi="Times New Roman"/>
          <w:sz w:val="24"/>
          <w:szCs w:val="24"/>
        </w:rPr>
        <w:t xml:space="preserve"> </w:t>
      </w:r>
    </w:p>
    <w:p w:rsidR="00C83478" w:rsidRPr="00D4086C" w:rsidP="00C83478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C83478" w:rsidRPr="00D4086C" w:rsidP="00C83478">
      <w:pPr>
        <w:numPr>
          <w:numId w:val="13"/>
        </w:num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6C">
        <w:rPr>
          <w:rFonts w:ascii="Times New Roman" w:hAnsi="Times New Roman"/>
          <w:b/>
          <w:bCs/>
          <w:sz w:val="24"/>
          <w:szCs w:val="24"/>
        </w:rPr>
        <w:t>Názov návrhu zákona:</w:t>
      </w:r>
    </w:p>
    <w:p w:rsidR="00C83478" w:rsidRPr="00D4086C" w:rsidP="00C83478">
      <w:pPr>
        <w:pStyle w:val="Zkladntext"/>
        <w:bidi w:val="0"/>
        <w:ind w:left="426"/>
        <w:jc w:val="both"/>
        <w:rPr>
          <w:rFonts w:ascii="Times New Roman" w:hAnsi="Times New Roman"/>
          <w:szCs w:val="24"/>
        </w:rPr>
      </w:pPr>
      <w:r w:rsidRPr="00D4086C">
        <w:rPr>
          <w:rFonts w:ascii="Times New Roman" w:hAnsi="Times New Roman"/>
          <w:szCs w:val="24"/>
        </w:rPr>
        <w:t>Návrh zákona, ktorým sa mení a dopĺňa zákon č. 222/2004 Z.z. o dani z pridanej hodnoty v znení neskorších predpisov a ktorým dopĺňajú niektoré zákony.</w:t>
      </w:r>
    </w:p>
    <w:p w:rsidR="00C83478" w:rsidRPr="00D4086C" w:rsidP="00C83478">
      <w:pPr>
        <w:bidi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C83478" w:rsidRPr="00D4086C" w:rsidP="00C83478">
      <w:pPr>
        <w:numPr>
          <w:numId w:val="13"/>
        </w:num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6C">
        <w:rPr>
          <w:rFonts w:ascii="Times New Roman" w:hAnsi="Times New Roman"/>
          <w:b/>
          <w:bCs/>
          <w:sz w:val="24"/>
          <w:szCs w:val="24"/>
        </w:rPr>
        <w:t xml:space="preserve">Problematika návrhu zákona: </w:t>
      </w:r>
    </w:p>
    <w:p w:rsidR="00C83478" w:rsidRPr="00D4086C" w:rsidP="00C83478">
      <w:pPr>
        <w:pStyle w:val="BodyText"/>
        <w:numPr>
          <w:ilvl w:val="1"/>
          <w:numId w:val="13"/>
        </w:numPr>
        <w:bidi w:val="0"/>
        <w:rPr>
          <w:rFonts w:ascii="Times New Roman" w:hAnsi="Times New Roman"/>
        </w:rPr>
      </w:pPr>
      <w:r w:rsidRPr="00D4086C">
        <w:rPr>
          <w:rFonts w:ascii="Times New Roman" w:hAnsi="Times New Roman"/>
        </w:rPr>
        <w:t>je upravená v práve Európskej únie:</w:t>
      </w:r>
    </w:p>
    <w:p w:rsidR="00C83478" w:rsidRPr="00D4086C" w:rsidP="00C83478">
      <w:pPr>
        <w:pStyle w:val="BodyText"/>
        <w:bidi w:val="0"/>
        <w:ind w:left="896" w:hanging="357"/>
        <w:rPr>
          <w:rFonts w:ascii="Times New Roman" w:hAnsi="Times New Roman"/>
          <w:b/>
          <w:bCs/>
          <w:iCs/>
        </w:rPr>
      </w:pPr>
      <w:r w:rsidRPr="00D4086C">
        <w:rPr>
          <w:rFonts w:ascii="Times New Roman" w:hAnsi="Times New Roman"/>
          <w:b/>
          <w:bCs/>
          <w:iCs/>
        </w:rPr>
        <w:t xml:space="preserve">Primárne právo: </w:t>
      </w:r>
    </w:p>
    <w:p w:rsidR="00C83478" w:rsidRPr="00D4086C" w:rsidP="00C83478">
      <w:pPr>
        <w:pStyle w:val="BodyText"/>
        <w:numPr>
          <w:numId w:val="15"/>
        </w:numPr>
        <w:bidi w:val="0"/>
        <w:ind w:left="896" w:hanging="357"/>
        <w:rPr>
          <w:rFonts w:ascii="Times New Roman" w:hAnsi="Times New Roman"/>
        </w:rPr>
      </w:pPr>
      <w:r w:rsidRPr="00D4086C">
        <w:rPr>
          <w:rFonts w:ascii="Times New Roman" w:hAnsi="Times New Roman"/>
        </w:rPr>
        <w:t xml:space="preserve">čl. 110 až 113 Zmluvy o fungovaní Európskej únie (Ú.v. EÚ C 83, 30.3. 2010), </w:t>
      </w:r>
    </w:p>
    <w:p w:rsidR="00C83478" w:rsidRPr="00D4086C" w:rsidP="00C83478">
      <w:pPr>
        <w:pStyle w:val="BodyTextIndent"/>
        <w:bidi w:val="0"/>
        <w:spacing w:after="120"/>
        <w:ind w:left="567" w:hanging="28"/>
        <w:rPr>
          <w:rFonts w:ascii="Times New Roman" w:hAnsi="Times New Roman"/>
          <w:szCs w:val="24"/>
        </w:rPr>
      </w:pPr>
      <w:r w:rsidRPr="00D4086C">
        <w:rPr>
          <w:rFonts w:ascii="Times New Roman" w:hAnsi="Times New Roman"/>
          <w:b/>
          <w:bCs/>
          <w:iCs/>
          <w:szCs w:val="24"/>
        </w:rPr>
        <w:t>Sekundárne právo</w:t>
      </w:r>
      <w:r w:rsidRPr="00D4086C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D4086C">
        <w:rPr>
          <w:rFonts w:ascii="Times New Roman" w:hAnsi="Times New Roman"/>
          <w:szCs w:val="24"/>
        </w:rPr>
        <w:t>(prijaté po nadobudnutí platnosti Lisabonskej zmluvy, ktorou sa mení a dopĺňa Zmluva o Európskom spoločenstve a Zmluva o Európskej únii - po 30. novembri 2009):</w:t>
      </w:r>
    </w:p>
    <w:p w:rsidR="00C83478" w:rsidRPr="00D4086C" w:rsidP="00C83478">
      <w:pPr>
        <w:numPr>
          <w:numId w:val="16"/>
        </w:numPr>
        <w:autoSpaceDE w:val="0"/>
        <w:autoSpaceDN w:val="0"/>
        <w:bidi w:val="0"/>
        <w:adjustRightInd w:val="0"/>
        <w:spacing w:before="150" w:after="120"/>
        <w:ind w:right="26" w:hanging="153"/>
        <w:jc w:val="both"/>
        <w:rPr>
          <w:rFonts w:ascii="Times New Roman" w:hAnsi="Times New Roman"/>
          <w:sz w:val="24"/>
          <w:szCs w:val="24"/>
        </w:rPr>
      </w:pPr>
      <w:r w:rsidRPr="00D4086C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D4086C">
        <w:rPr>
          <w:rFonts w:ascii="Times New Roman" w:hAnsi="Times New Roman"/>
          <w:bCs/>
          <w:iCs/>
          <w:sz w:val="24"/>
          <w:szCs w:val="24"/>
          <w:u w:val="single"/>
        </w:rPr>
        <w:t>nelegislatívne akty:</w:t>
      </w:r>
    </w:p>
    <w:p w:rsidR="00C83478" w:rsidRPr="00D4086C" w:rsidP="00C83478">
      <w:pPr>
        <w:pStyle w:val="BodyTextIndent"/>
        <w:numPr>
          <w:numId w:val="14"/>
        </w:numPr>
        <w:autoSpaceDE w:val="0"/>
        <w:autoSpaceDN w:val="0"/>
        <w:bidi w:val="0"/>
        <w:adjustRightInd w:val="0"/>
        <w:spacing w:after="120"/>
        <w:ind w:left="896" w:hanging="357"/>
        <w:rPr>
          <w:rStyle w:val="Emphasis"/>
          <w:i w:val="0"/>
          <w:iCs w:val="0"/>
          <w:szCs w:val="24"/>
        </w:rPr>
      </w:pPr>
      <w:r w:rsidRPr="00D4086C">
        <w:rPr>
          <w:rFonts w:ascii="Times New Roman" w:hAnsi="Times New Roman"/>
          <w:bCs/>
          <w:szCs w:val="24"/>
        </w:rPr>
        <w:t>nariadenie Rady (EÚ) č. </w:t>
      </w:r>
      <w:r w:rsidRPr="00D4086C">
        <w:rPr>
          <w:rFonts w:ascii="Times New Roman" w:hAnsi="Times New Roman"/>
          <w:bCs/>
          <w:szCs w:val="24"/>
          <w:u w:val="single"/>
        </w:rPr>
        <w:t>904/2010</w:t>
      </w:r>
      <w:r w:rsidRPr="00D4086C">
        <w:rPr>
          <w:rFonts w:ascii="Times New Roman" w:hAnsi="Times New Roman"/>
          <w:bCs/>
          <w:szCs w:val="24"/>
        </w:rPr>
        <w:t xml:space="preserve">  zo 7. októbra 2010 o administratívnej spolupráci a boji proti podvodom v oblasti dane z pridanej hodnoty (</w:t>
      </w:r>
      <w:r w:rsidRPr="00D4086C">
        <w:rPr>
          <w:rStyle w:val="Emphasis"/>
          <w:i w:val="0"/>
          <w:szCs w:val="24"/>
        </w:rPr>
        <w:t>Ú. v. EÚ L 268, 12.10. 2010),</w:t>
      </w:r>
    </w:p>
    <w:p w:rsidR="00C83478" w:rsidRPr="00D4086C" w:rsidP="00C83478">
      <w:pPr>
        <w:numPr>
          <w:numId w:val="14"/>
        </w:numPr>
        <w:autoSpaceDE w:val="0"/>
        <w:autoSpaceDN w:val="0"/>
        <w:bidi w:val="0"/>
        <w:adjustRightInd w:val="0"/>
        <w:spacing w:before="150" w:after="120"/>
        <w:ind w:right="26"/>
        <w:jc w:val="both"/>
        <w:rPr>
          <w:rStyle w:val="Emphasis"/>
          <w:i w:val="0"/>
          <w:iCs w:val="0"/>
          <w:sz w:val="24"/>
          <w:szCs w:val="24"/>
        </w:rPr>
      </w:pPr>
      <w:r w:rsidRPr="00D4086C">
        <w:rPr>
          <w:rFonts w:ascii="Times New Roman" w:hAnsi="Times New Roman"/>
          <w:sz w:val="24"/>
          <w:szCs w:val="24"/>
        </w:rPr>
        <w:t>vykonávacie nariadenie Rady (EÚ) č. </w:t>
      </w:r>
      <w:r w:rsidRPr="00D4086C">
        <w:rPr>
          <w:rFonts w:ascii="Times New Roman" w:hAnsi="Times New Roman"/>
          <w:sz w:val="24"/>
          <w:szCs w:val="24"/>
          <w:u w:val="single"/>
        </w:rPr>
        <w:t>282/2011</w:t>
      </w:r>
      <w:r w:rsidRPr="00D4086C">
        <w:rPr>
          <w:rFonts w:ascii="Times New Roman" w:hAnsi="Times New Roman"/>
          <w:sz w:val="24"/>
          <w:szCs w:val="24"/>
        </w:rPr>
        <w:t xml:space="preserve"> z  15. marca 2011, ktorým sa ustanovujú vykonávacie opatrenia smernice 2006/112/ES o spoločnom systéme dane z pridanej hodnoty (</w:t>
      </w:r>
      <w:r w:rsidRPr="00D4086C">
        <w:rPr>
          <w:rStyle w:val="Emphasis"/>
          <w:i w:val="0"/>
          <w:sz w:val="24"/>
          <w:szCs w:val="24"/>
        </w:rPr>
        <w:t>Ú. v. EÚ L 77, 23.3.2011),</w:t>
      </w:r>
    </w:p>
    <w:p w:rsidR="00C83478" w:rsidRPr="00D4086C" w:rsidP="00C83478">
      <w:pPr>
        <w:numPr>
          <w:numId w:val="14"/>
        </w:numPr>
        <w:autoSpaceDE w:val="0"/>
        <w:autoSpaceDN w:val="0"/>
        <w:bidi w:val="0"/>
        <w:adjustRightInd w:val="0"/>
        <w:spacing w:before="150" w:after="120"/>
        <w:ind w:right="26"/>
        <w:jc w:val="both"/>
        <w:rPr>
          <w:rStyle w:val="Emphasis"/>
          <w:i w:val="0"/>
          <w:iCs w:val="0"/>
          <w:sz w:val="24"/>
          <w:szCs w:val="24"/>
        </w:rPr>
      </w:pPr>
      <w:r w:rsidRPr="00D4086C">
        <w:rPr>
          <w:rFonts w:ascii="Times New Roman" w:hAnsi="Times New Roman"/>
          <w:bCs/>
          <w:color w:val="000000"/>
          <w:sz w:val="24"/>
          <w:szCs w:val="24"/>
        </w:rPr>
        <w:t xml:space="preserve">vykonávacie nariadenie komisie (EÚ) č. </w:t>
      </w:r>
      <w:r w:rsidRPr="00D4086C">
        <w:rPr>
          <w:rFonts w:ascii="Times New Roman" w:hAnsi="Times New Roman"/>
          <w:bCs/>
          <w:color w:val="000000"/>
          <w:sz w:val="24"/>
          <w:szCs w:val="24"/>
          <w:u w:val="single"/>
        </w:rPr>
        <w:t>79/2012</w:t>
      </w:r>
      <w:r w:rsidRPr="00D4086C">
        <w:rPr>
          <w:rFonts w:ascii="Times New Roman" w:hAnsi="Times New Roman"/>
          <w:bCs/>
          <w:color w:val="000000"/>
          <w:sz w:val="24"/>
          <w:szCs w:val="24"/>
        </w:rPr>
        <w:t xml:space="preserve"> z 31. januára 2012, ktorým sa stanovujú podrobné pravidlá vykonávania niektorých ustanovení nariadenia Rady (EÚ) č. 904/2010 o administratívnej spolupráci a boji proti podvodom v oblasti dane z pridanej hodnoty (</w:t>
      </w:r>
      <w:r w:rsidRPr="00D4086C">
        <w:rPr>
          <w:rStyle w:val="Emphasis"/>
          <w:i w:val="0"/>
          <w:sz w:val="24"/>
          <w:szCs w:val="24"/>
        </w:rPr>
        <w:t>Ú. v. EÚ L 29, 1.2. 2012).</w:t>
      </w:r>
    </w:p>
    <w:p w:rsidR="00C83478" w:rsidRPr="00D4086C" w:rsidP="00C83478">
      <w:pPr>
        <w:pStyle w:val="BodyTextIndent"/>
        <w:bidi w:val="0"/>
        <w:spacing w:after="120"/>
        <w:ind w:left="567" w:firstLine="0"/>
        <w:rPr>
          <w:rFonts w:ascii="Times New Roman" w:hAnsi="Times New Roman"/>
          <w:b/>
          <w:bCs/>
          <w:i/>
          <w:iCs/>
          <w:szCs w:val="24"/>
        </w:rPr>
      </w:pPr>
      <w:r w:rsidRPr="00D4086C">
        <w:rPr>
          <w:rFonts w:ascii="Times New Roman" w:hAnsi="Times New Roman"/>
          <w:b/>
          <w:bCs/>
          <w:iCs/>
          <w:szCs w:val="24"/>
        </w:rPr>
        <w:t>Sekundárne právo</w:t>
      </w:r>
      <w:r w:rsidRPr="00D4086C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D4086C">
        <w:rPr>
          <w:rFonts w:ascii="Times New Roman" w:hAnsi="Times New Roman"/>
          <w:szCs w:val="24"/>
        </w:rPr>
        <w:t>(prijaté pred nadobudnutím platnosti Lisabonskej zmluvy, ktorou sa mení a dopĺňa Zmluva o Európskom spoločenstve a Zmluva o Európskej únii - do 30. novembra 2009)</w:t>
      </w:r>
      <w:r w:rsidRPr="00D4086C">
        <w:rPr>
          <w:rFonts w:ascii="Times New Roman" w:hAnsi="Times New Roman"/>
          <w:bCs/>
          <w:iCs/>
          <w:szCs w:val="24"/>
        </w:rPr>
        <w:t>:</w:t>
      </w:r>
      <w:r w:rsidRPr="00D4086C">
        <w:rPr>
          <w:rFonts w:ascii="Times New Roman" w:hAnsi="Times New Roman"/>
          <w:b/>
          <w:bCs/>
          <w:i/>
          <w:iCs/>
          <w:szCs w:val="24"/>
        </w:rPr>
        <w:t xml:space="preserve"> </w:t>
      </w:r>
    </w:p>
    <w:p w:rsidR="00C83478" w:rsidRPr="00D4086C" w:rsidP="00C83478">
      <w:pPr>
        <w:pStyle w:val="BodyTextIndent"/>
        <w:numPr>
          <w:numId w:val="14"/>
        </w:numPr>
        <w:autoSpaceDE w:val="0"/>
        <w:autoSpaceDN w:val="0"/>
        <w:bidi w:val="0"/>
        <w:adjustRightInd w:val="0"/>
        <w:spacing w:after="120"/>
        <w:ind w:left="896" w:hanging="357"/>
        <w:rPr>
          <w:rFonts w:ascii="Times New Roman" w:hAnsi="Times New Roman"/>
          <w:szCs w:val="24"/>
        </w:rPr>
      </w:pPr>
      <w:r w:rsidRPr="00D4086C">
        <w:rPr>
          <w:rFonts w:ascii="Times New Roman" w:hAnsi="Times New Roman"/>
          <w:bCs/>
          <w:szCs w:val="24"/>
        </w:rPr>
        <w:t xml:space="preserve">smernica Rady </w:t>
      </w:r>
      <w:r w:rsidRPr="00D4086C">
        <w:rPr>
          <w:rFonts w:ascii="Times New Roman" w:hAnsi="Times New Roman"/>
          <w:bCs/>
          <w:szCs w:val="24"/>
          <w:u w:val="single"/>
        </w:rPr>
        <w:t>2006/112/ES</w:t>
      </w:r>
      <w:r w:rsidRPr="00D4086C">
        <w:rPr>
          <w:rFonts w:ascii="Times New Roman" w:hAnsi="Times New Roman"/>
          <w:bCs/>
          <w:szCs w:val="24"/>
        </w:rPr>
        <w:t xml:space="preserve"> z  28. novembra 2006  spoločnom systéme dane z pridanej hodnoty </w:t>
      </w:r>
      <w:r w:rsidRPr="00D4086C">
        <w:rPr>
          <w:rFonts w:ascii="Times New Roman" w:hAnsi="Times New Roman"/>
          <w:szCs w:val="24"/>
        </w:rPr>
        <w:t>(Ú. v. EÚ L 347, 11.12.2006)</w:t>
      </w:r>
      <w:r w:rsidRPr="00D4086C">
        <w:rPr>
          <w:rFonts w:ascii="Times New Roman" w:hAnsi="Times New Roman"/>
          <w:bCs/>
          <w:szCs w:val="24"/>
        </w:rPr>
        <w:t xml:space="preserve"> v platnom znení</w:t>
      </w:r>
      <w:r w:rsidRPr="00D4086C">
        <w:rPr>
          <w:rFonts w:ascii="Times New Roman" w:hAnsi="Times New Roman"/>
          <w:szCs w:val="24"/>
        </w:rPr>
        <w:t>,</w:t>
      </w:r>
    </w:p>
    <w:p w:rsidR="00C83478" w:rsidRPr="00D4086C" w:rsidP="00C83478">
      <w:pPr>
        <w:pStyle w:val="BodyTextIndent"/>
        <w:numPr>
          <w:numId w:val="14"/>
        </w:numPr>
        <w:autoSpaceDE w:val="0"/>
        <w:autoSpaceDN w:val="0"/>
        <w:bidi w:val="0"/>
        <w:adjustRightInd w:val="0"/>
        <w:spacing w:after="120"/>
        <w:ind w:left="896" w:hanging="357"/>
        <w:rPr>
          <w:rFonts w:ascii="Times New Roman" w:hAnsi="Times New Roman"/>
          <w:i/>
          <w:szCs w:val="24"/>
        </w:rPr>
      </w:pPr>
      <w:r w:rsidRPr="00D4086C">
        <w:rPr>
          <w:rFonts w:ascii="Times New Roman" w:hAnsi="Times New Roman"/>
          <w:bCs/>
          <w:szCs w:val="24"/>
        </w:rPr>
        <w:t xml:space="preserve">nariadenie Rady (ES) č. </w:t>
      </w:r>
      <w:r w:rsidRPr="00D4086C">
        <w:rPr>
          <w:rFonts w:ascii="Times New Roman" w:hAnsi="Times New Roman"/>
          <w:bCs/>
          <w:szCs w:val="24"/>
          <w:u w:val="single"/>
        </w:rPr>
        <w:t>1798/2003</w:t>
      </w:r>
      <w:r w:rsidRPr="00D4086C">
        <w:rPr>
          <w:rFonts w:ascii="Times New Roman" w:hAnsi="Times New Roman"/>
          <w:bCs/>
          <w:szCs w:val="24"/>
        </w:rPr>
        <w:t xml:space="preserve"> zo 7. októbra 2003 o administratívnej spolupráci v oblasti dane z pridanej hodnoty a ktoré zrušuje nariadenie (EHS) č. 218/92 (Mimoriadne vydanie </w:t>
      </w:r>
      <w:r w:rsidRPr="00D4086C">
        <w:rPr>
          <w:rStyle w:val="Emphasis"/>
          <w:i w:val="0"/>
          <w:szCs w:val="24"/>
        </w:rPr>
        <w:t>Ú. v. EÚ kap. 9/zv. 1)</w:t>
      </w:r>
      <w:r w:rsidRPr="00D4086C">
        <w:rPr>
          <w:rFonts w:ascii="Times New Roman" w:hAnsi="Times New Roman"/>
          <w:bCs/>
          <w:szCs w:val="24"/>
        </w:rPr>
        <w:t xml:space="preserve"> v platnom znení</w:t>
      </w:r>
      <w:r w:rsidRPr="00D4086C">
        <w:rPr>
          <w:rStyle w:val="Emphasis"/>
          <w:i w:val="0"/>
          <w:szCs w:val="24"/>
        </w:rPr>
        <w:t>.</w:t>
      </w:r>
    </w:p>
    <w:p w:rsidR="00C83478" w:rsidRPr="00D4086C" w:rsidP="00C83478">
      <w:pPr>
        <w:pStyle w:val="BodyText"/>
        <w:numPr>
          <w:ilvl w:val="1"/>
          <w:numId w:val="13"/>
        </w:numPr>
        <w:bidi w:val="0"/>
        <w:jc w:val="both"/>
        <w:rPr>
          <w:rFonts w:ascii="Times New Roman" w:hAnsi="Times New Roman"/>
        </w:rPr>
      </w:pPr>
      <w:r w:rsidRPr="00D4086C">
        <w:rPr>
          <w:rFonts w:ascii="Times New Roman" w:hAnsi="Times New Roman"/>
        </w:rPr>
        <w:t>je obsiahnutá v judikatúre Súdneho dvora Európskej únie:</w:t>
      </w:r>
    </w:p>
    <w:p w:rsidR="00C83478" w:rsidRPr="00D4086C" w:rsidP="00C83478">
      <w:pPr>
        <w:pStyle w:val="c02alineaalta"/>
        <w:numPr>
          <w:numId w:val="1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D4086C">
        <w:rPr>
          <w:rFonts w:ascii="Times New Roman" w:hAnsi="Times New Roman" w:cs="Times New Roman"/>
          <w:sz w:val="24"/>
          <w:szCs w:val="24"/>
        </w:rPr>
        <w:t>rozhodnutie Súdneho dvora vo veci C - 255/02,  Halifax plc</w:t>
      </w:r>
      <w:r w:rsidRPr="00D4086C">
        <w:rPr>
          <w:rFonts w:ascii="Times New Roman" w:hAnsi="Times New Roman" w:cs="Times New Roman"/>
          <w:color w:val="000066"/>
          <w:sz w:val="24"/>
          <w:szCs w:val="24"/>
        </w:rPr>
        <w:t xml:space="preserve">, </w:t>
      </w:r>
      <w:r w:rsidRPr="00D4086C">
        <w:rPr>
          <w:rFonts w:ascii="Times New Roman" w:hAnsi="Times New Roman" w:cs="Times New Roman"/>
          <w:sz w:val="24"/>
          <w:szCs w:val="24"/>
        </w:rPr>
        <w:t>Leeds Permanent Development Services Ltd a County Wide Property Investments Ltd proti Commissioners of Customs &amp; Excise, rok 2006,</w:t>
      </w:r>
    </w:p>
    <w:p w:rsidR="00C83478" w:rsidRPr="00D4086C" w:rsidP="00C83478">
      <w:pPr>
        <w:numPr>
          <w:numId w:val="14"/>
        </w:numPr>
        <w:bidi w:val="0"/>
        <w:spacing w:before="150" w:after="150"/>
        <w:ind w:right="26"/>
        <w:jc w:val="both"/>
        <w:rPr>
          <w:rFonts w:ascii="Times New Roman" w:hAnsi="Times New Roman"/>
          <w:sz w:val="24"/>
          <w:szCs w:val="24"/>
        </w:rPr>
      </w:pPr>
      <w:r w:rsidRPr="00D4086C">
        <w:rPr>
          <w:rFonts w:ascii="Times New Roman" w:hAnsi="Times New Roman"/>
          <w:sz w:val="24"/>
          <w:szCs w:val="24"/>
        </w:rPr>
        <w:t>rozhodnutie Súdneho dvora vo veci C - 384/04, Commissioners of Customs &amp; Excise a Attorney General proti Federation of Technological Industries a i., rok 2006,</w:t>
      </w:r>
    </w:p>
    <w:p w:rsidR="00C83478" w:rsidRPr="00D4086C" w:rsidP="00C83478">
      <w:pPr>
        <w:numPr>
          <w:numId w:val="14"/>
        </w:numPr>
        <w:bidi w:val="0"/>
        <w:spacing w:before="150" w:after="150"/>
        <w:ind w:right="26"/>
        <w:jc w:val="both"/>
        <w:rPr>
          <w:rFonts w:ascii="Times New Roman" w:hAnsi="Times New Roman"/>
          <w:sz w:val="24"/>
          <w:szCs w:val="24"/>
        </w:rPr>
      </w:pPr>
      <w:r w:rsidRPr="00D4086C">
        <w:rPr>
          <w:rFonts w:ascii="Times New Roman" w:hAnsi="Times New Roman"/>
          <w:sz w:val="24"/>
          <w:szCs w:val="24"/>
        </w:rPr>
        <w:t>rozhodnutie Súdneho dvora v spojených veciach C - 439/04 a C - 440/04 Mobistar SA proti Institut belge des services postaux et des télécommunications (IBPT), rok 2006.</w:t>
      </w:r>
    </w:p>
    <w:p w:rsidR="00C83478" w:rsidRPr="00D4086C" w:rsidP="00C83478">
      <w:pPr>
        <w:pStyle w:val="BodyText"/>
        <w:bidi w:val="0"/>
        <w:ind w:left="425"/>
        <w:jc w:val="both"/>
        <w:rPr>
          <w:rFonts w:ascii="Times New Roman" w:hAnsi="Times New Roman"/>
        </w:rPr>
      </w:pPr>
    </w:p>
    <w:p w:rsidR="00C83478" w:rsidRPr="00D4086C" w:rsidP="00C83478">
      <w:pPr>
        <w:numPr>
          <w:numId w:val="13"/>
        </w:numPr>
        <w:tabs>
          <w:tab w:val="left" w:pos="360"/>
        </w:tabs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6C">
        <w:rPr>
          <w:rFonts w:ascii="Times New Roman" w:hAnsi="Times New Roman"/>
          <w:b/>
          <w:bCs/>
          <w:sz w:val="24"/>
          <w:szCs w:val="24"/>
        </w:rPr>
        <w:t>Záväzky Slovenskej republiky vo vzťahu k Európskej únii:</w:t>
      </w:r>
    </w:p>
    <w:p w:rsidR="00C83478" w:rsidRPr="00D4086C" w:rsidP="00C83478">
      <w:pPr>
        <w:pStyle w:val="BodyText"/>
        <w:numPr>
          <w:numId w:val="12"/>
        </w:numPr>
        <w:tabs>
          <w:tab w:val="left" w:pos="360"/>
          <w:tab w:val="left" w:pos="540"/>
        </w:tabs>
        <w:bidi w:val="0"/>
        <w:jc w:val="both"/>
        <w:rPr>
          <w:rFonts w:ascii="Times New Roman" w:hAnsi="Times New Roman"/>
        </w:rPr>
      </w:pPr>
      <w:r w:rsidRPr="00D4086C">
        <w:rPr>
          <w:rFonts w:ascii="Times New Roman" w:hAnsi="Times New Roman"/>
        </w:rPr>
        <w:t>Lehota na prebratie smernice Rady 2010/45/EÚ  je stanovená do 31.12. 2012. Lehota na prebratie článku 4 smernice Rady 2008/8/ES  je stanovená do 1.1. 2013.</w:t>
      </w:r>
    </w:p>
    <w:p w:rsidR="00C83478" w:rsidRPr="00D4086C" w:rsidP="00C83478">
      <w:pPr>
        <w:pStyle w:val="BodyText"/>
        <w:numPr>
          <w:numId w:val="12"/>
        </w:numPr>
        <w:tabs>
          <w:tab w:val="left" w:pos="360"/>
          <w:tab w:val="left" w:pos="540"/>
        </w:tabs>
        <w:bidi w:val="0"/>
        <w:jc w:val="both"/>
        <w:rPr>
          <w:rFonts w:ascii="Times New Roman" w:hAnsi="Times New Roman"/>
        </w:rPr>
      </w:pPr>
      <w:r w:rsidRPr="00D4086C">
        <w:rPr>
          <w:rFonts w:ascii="Times New Roman" w:hAnsi="Times New Roman"/>
        </w:rPr>
        <w:t>Lehota na prebratie smernice Rady 2010</w:t>
      </w:r>
      <w:r w:rsidRPr="00D4086C">
        <w:rPr>
          <w:rFonts w:ascii="Times New Roman" w:hAnsi="Times New Roman"/>
          <w:bCs/>
        </w:rPr>
        <w:t>/45/EÚ</w:t>
      </w:r>
      <w:r w:rsidRPr="00D4086C">
        <w:rPr>
          <w:rFonts w:ascii="Times New Roman" w:hAnsi="Times New Roman"/>
        </w:rPr>
        <w:t xml:space="preserve"> podľa určenia gestorských ústredných orgánov štátnej správy zodpovedných za prebratie smerníc a vypracovanie tabuliek zhody k návrhom všeobecne záväzných právnych predpisov je stanovená do 31.12. 2012.</w:t>
      </w:r>
    </w:p>
    <w:p w:rsidR="00C83478" w:rsidRPr="00D4086C" w:rsidP="00C83478">
      <w:pPr>
        <w:pStyle w:val="BodyText"/>
        <w:tabs>
          <w:tab w:val="left" w:pos="360"/>
          <w:tab w:val="left" w:pos="540"/>
        </w:tabs>
        <w:bidi w:val="0"/>
        <w:ind w:left="785"/>
        <w:jc w:val="both"/>
        <w:rPr>
          <w:rFonts w:ascii="Times New Roman" w:hAnsi="Times New Roman"/>
        </w:rPr>
      </w:pPr>
      <w:r w:rsidRPr="00D4086C">
        <w:rPr>
          <w:rFonts w:ascii="Times New Roman" w:hAnsi="Times New Roman"/>
        </w:rPr>
        <w:t>Lehota na prebratie článku 4 smernice Rady 2008</w:t>
      </w:r>
      <w:r w:rsidRPr="00D4086C">
        <w:rPr>
          <w:rFonts w:ascii="Times New Roman" w:hAnsi="Times New Roman"/>
          <w:bCs/>
        </w:rPr>
        <w:t>/8/ES</w:t>
      </w:r>
      <w:r w:rsidRPr="00D4086C">
        <w:rPr>
          <w:rFonts w:ascii="Times New Roman" w:hAnsi="Times New Roman"/>
        </w:rPr>
        <w:t xml:space="preserve"> podľa určenia gestorských ústredných orgánov štátnej správy zodpovedných za prebratie smerníc a vypracovanie tabuliek zhody k návrhom všeobecne záväzných právnych predpisov je stanovená do 1.1. 2013.</w:t>
      </w:r>
    </w:p>
    <w:p w:rsidR="00C83478" w:rsidRPr="00D4086C" w:rsidP="00C83478">
      <w:pPr>
        <w:pStyle w:val="BodyText"/>
        <w:numPr>
          <w:numId w:val="12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D4086C">
        <w:rPr>
          <w:rFonts w:ascii="Times New Roman" w:hAnsi="Times New Roman"/>
        </w:rPr>
        <w:t>Proti SR nebolo začaté konanie o porušení Zmluvy o založení Európskych spoločenstiev podľa čl. 258 až 260 Zmluvy o fungovaní Európskej únie.</w:t>
      </w:r>
    </w:p>
    <w:p w:rsidR="00C83478" w:rsidRPr="00D4086C" w:rsidP="00C83478">
      <w:pPr>
        <w:pStyle w:val="BodyText"/>
        <w:numPr>
          <w:numId w:val="12"/>
        </w:numPr>
        <w:tabs>
          <w:tab w:val="left" w:pos="360"/>
        </w:tabs>
        <w:bidi w:val="0"/>
        <w:ind w:left="782" w:hanging="357"/>
        <w:jc w:val="both"/>
        <w:rPr>
          <w:rFonts w:ascii="Times New Roman" w:hAnsi="Times New Roman"/>
        </w:rPr>
      </w:pPr>
      <w:r w:rsidRPr="00D4086C">
        <w:rPr>
          <w:rFonts w:ascii="Times New Roman" w:hAnsi="Times New Roman"/>
        </w:rPr>
        <w:t xml:space="preserve">Smernica </w:t>
      </w:r>
      <w:r w:rsidRPr="00D4086C">
        <w:rPr>
          <w:rFonts w:ascii="Times New Roman" w:hAnsi="Times New Roman"/>
          <w:bCs/>
        </w:rPr>
        <w:t>Rady 2006/112/ES</w:t>
      </w:r>
      <w:r w:rsidRPr="00D4086C">
        <w:rPr>
          <w:rFonts w:ascii="Times New Roman" w:hAnsi="Times New Roman"/>
        </w:rPr>
        <w:t xml:space="preserve"> bola úplne prebratá do </w:t>
      </w:r>
      <w:r w:rsidRPr="00D4086C">
        <w:rPr>
          <w:rFonts w:ascii="Times New Roman" w:hAnsi="Times New Roman"/>
          <w:bCs/>
        </w:rPr>
        <w:t>zákona č. 222/2004 Z.z. o dani z pridanej hodnoty v znení neskorších predpisov</w:t>
      </w:r>
      <w:r w:rsidRPr="00D4086C">
        <w:rPr>
          <w:rFonts w:ascii="Times New Roman" w:hAnsi="Times New Roman"/>
        </w:rPr>
        <w:t>.</w:t>
      </w:r>
    </w:p>
    <w:p w:rsidR="00C83478" w:rsidRPr="00D4086C" w:rsidP="00C83478">
      <w:pPr>
        <w:pStyle w:val="BodyText"/>
        <w:tabs>
          <w:tab w:val="left" w:pos="360"/>
        </w:tabs>
        <w:bidi w:val="0"/>
        <w:ind w:left="425"/>
        <w:jc w:val="both"/>
        <w:rPr>
          <w:rFonts w:ascii="Times New Roman" w:hAnsi="Times New Roman"/>
        </w:rPr>
      </w:pPr>
    </w:p>
    <w:p w:rsidR="00C83478" w:rsidRPr="00D4086C" w:rsidP="00C83478">
      <w:pPr>
        <w:pStyle w:val="BodyTextIndent"/>
        <w:autoSpaceDE w:val="0"/>
        <w:autoSpaceDN w:val="0"/>
        <w:bidi w:val="0"/>
        <w:adjustRightInd w:val="0"/>
        <w:ind w:hanging="357"/>
        <w:rPr>
          <w:rFonts w:ascii="Times New Roman" w:hAnsi="Times New Roman"/>
          <w:szCs w:val="24"/>
        </w:rPr>
      </w:pPr>
    </w:p>
    <w:p w:rsidR="00C83478" w:rsidRPr="00D4086C" w:rsidP="00C83478">
      <w:pPr>
        <w:tabs>
          <w:tab w:val="left" w:pos="360"/>
        </w:tabs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6C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zákona s právom Európskej únie:</w:t>
      </w:r>
    </w:p>
    <w:p w:rsidR="00C83478" w:rsidRPr="00D4086C" w:rsidP="00C83478">
      <w:pPr>
        <w:bidi w:val="0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D4086C">
        <w:rPr>
          <w:rFonts w:ascii="Times New Roman" w:hAnsi="Times New Roman"/>
          <w:sz w:val="24"/>
          <w:szCs w:val="24"/>
        </w:rPr>
        <w:t xml:space="preserve"> Úplný.</w:t>
      </w:r>
    </w:p>
    <w:p w:rsidR="00C83478" w:rsidRPr="00D4086C" w:rsidP="00C83478">
      <w:pPr>
        <w:bidi w:val="0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478" w:rsidRPr="00D4086C" w:rsidP="00C83478">
      <w:pPr>
        <w:tabs>
          <w:tab w:val="left" w:pos="360"/>
        </w:tabs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6C">
        <w:rPr>
          <w:rFonts w:ascii="Times New Roman" w:hAnsi="Times New Roman"/>
          <w:b/>
          <w:bCs/>
          <w:sz w:val="24"/>
          <w:szCs w:val="24"/>
        </w:rPr>
        <w:t>6.</w:t>
        <w:tab/>
        <w:t xml:space="preserve">Gestor a spolupracujúce rezorty: </w:t>
      </w:r>
    </w:p>
    <w:p w:rsidR="0095164D" w:rsidP="0095164D">
      <w:pPr>
        <w:pStyle w:val="ListParagraph"/>
        <w:bidi w:val="0"/>
        <w:rPr>
          <w:rFonts w:ascii="Arial" w:hAnsi="Arial" w:cs="Arial"/>
          <w:sz w:val="22"/>
          <w:szCs w:val="22"/>
        </w:rPr>
      </w:pPr>
    </w:p>
    <w:p w:rsid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164D" w:rsidRPr="0095164D" w:rsidP="0095164D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>DOLOŽKA VYBRANÝCH VPLYVOV</w:t>
      </w: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> </w:t>
      </w:r>
    </w:p>
    <w:p w:rsidR="0095164D" w:rsidRPr="0095164D" w:rsidP="0095164D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 xml:space="preserve">A.1. Názov materiálu: </w:t>
      </w:r>
      <w:r w:rsidRPr="003A285D" w:rsidR="003A285D">
        <w:rPr>
          <w:rFonts w:ascii="Arial" w:hAnsi="Arial" w:cs="Arial"/>
          <w:bCs/>
          <w:sz w:val="22"/>
          <w:szCs w:val="22"/>
        </w:rPr>
        <w:t>návrhu zákona, ktorým sa mení a dopĺňa zákon č. 222/2004 Z.z. o dani z pridanej hodnoty v znení neskorších predpisov</w:t>
      </w: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sz w:val="22"/>
          <w:szCs w:val="22"/>
        </w:rPr>
        <w:t> </w:t>
      </w: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285D" w:rsidRPr="003A285D" w:rsidP="0095164D">
            <w:pPr>
              <w:bidi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285D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5164D" w:rsidRPr="003A285D" w:rsidP="0095164D">
            <w:pPr>
              <w:bidi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285D" w:rsidR="003A285D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sz w:val="22"/>
                <w:szCs w:val="22"/>
              </w:rPr>
              <w:t>3, Sociálne vplyvy</w:t>
            </w:r>
          </w:p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sz w:val="22"/>
                <w:szCs w:val="22"/>
              </w:rPr>
              <w:t>– vplyvy na hospodárenie    obyvateľstva,</w:t>
            </w:r>
          </w:p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sz w:val="22"/>
                <w:szCs w:val="22"/>
              </w:rPr>
              <w:t>– sociálnu exklúziu,</w:t>
            </w:r>
          </w:p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 w:rsidR="003A285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5164D" w:rsidRPr="0095164D" w:rsidP="0095164D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64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> </w:t>
      </w: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> </w:t>
      </w: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 xml:space="preserve">A.3. Poznámky </w:t>
      </w: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sz w:val="22"/>
          <w:szCs w:val="22"/>
        </w:rPr>
        <w:t> </w:t>
      </w: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 xml:space="preserve">A.4. Alternatívne riešenia </w:t>
      </w:r>
    </w:p>
    <w:p w:rsidR="0095164D" w:rsidRPr="0095164D" w:rsidP="0095164D">
      <w:pPr>
        <w:bidi w:val="0"/>
        <w:jc w:val="both"/>
        <w:rPr>
          <w:rFonts w:ascii="Arial" w:hAnsi="Arial" w:cs="Arial"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> </w:t>
      </w:r>
    </w:p>
    <w:p w:rsidR="0095164D" w:rsidRPr="0095164D" w:rsidP="0095164D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95164D">
        <w:rPr>
          <w:rFonts w:ascii="Arial" w:hAnsi="Arial" w:cs="Arial"/>
          <w:b/>
          <w:bCs/>
          <w:sz w:val="22"/>
          <w:szCs w:val="22"/>
        </w:rPr>
        <w:t>A.5. Stanovisko gestorov</w:t>
      </w:r>
    </w:p>
    <w:p w:rsidR="0095164D" w:rsidRPr="008C2C12" w:rsidP="0095164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72980" w:rsidRPr="008C2C12">
      <w:pPr>
        <w:bidi w:val="0"/>
        <w:rPr>
          <w:rFonts w:ascii="Times New Roman" w:hAnsi="Times New Roman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80" w:rsidP="00D7298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72980" w:rsidP="00D7298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80" w:rsidP="00D7298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E16B5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72980" w:rsidP="00D7298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6C"/>
    <w:multiLevelType w:val="hybridMultilevel"/>
    <w:tmpl w:val="4452893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abstractNum w:abstractNumId="1">
    <w:nsid w:val="03352735"/>
    <w:multiLevelType w:val="hybridMultilevel"/>
    <w:tmpl w:val="BE685242"/>
    <w:lvl w:ilvl="0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D501D"/>
    <w:multiLevelType w:val="hybridMultilevel"/>
    <w:tmpl w:val="2174E798"/>
    <w:lvl w:ilvl="0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91587B"/>
    <w:multiLevelType w:val="hybridMultilevel"/>
    <w:tmpl w:val="81EA75BC"/>
    <w:lvl w:ilvl="0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191D2169"/>
    <w:multiLevelType w:val="hybridMultilevel"/>
    <w:tmpl w:val="435C7804"/>
    <w:lvl w:ilvl="0">
      <w:start w:val="2"/>
      <w:numFmt w:val="decimal"/>
      <w:lvlText w:val="%1."/>
      <w:lvlJc w:val="left"/>
      <w:pPr>
        <w:ind w:left="720" w:hanging="360"/>
      </w:pPr>
      <w:rPr>
        <w:rFonts w:cs="Arial Narrow" w:hint="default"/>
        <w:u w:val="none"/>
        <w:rtl w:val="0"/>
        <w:cs w:val="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40619A"/>
    <w:multiLevelType w:val="hybridMultilevel"/>
    <w:tmpl w:val="4B9CF35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344BBD"/>
    <w:multiLevelType w:val="hybridMultilevel"/>
    <w:tmpl w:val="DEB0B2B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2093"/>
        </w:tabs>
        <w:ind w:left="2093" w:hanging="22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  <w:rtl w:val="0"/>
        <w:cs w:val="0"/>
      </w:rPr>
    </w:lvl>
  </w:abstractNum>
  <w:abstractNum w:abstractNumId="7">
    <w:nsid w:val="1D1F69AF"/>
    <w:multiLevelType w:val="hybridMultilevel"/>
    <w:tmpl w:val="664AA01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10">
    <w:nsid w:val="2AA41EC0"/>
    <w:multiLevelType w:val="hybridMultilevel"/>
    <w:tmpl w:val="867E2C3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6B133A5"/>
    <w:multiLevelType w:val="hybridMultilevel"/>
    <w:tmpl w:val="E0D26C1C"/>
    <w:lvl w:ilvl="0">
      <w:start w:val="0"/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3C3AC9"/>
    <w:multiLevelType w:val="hybridMultilevel"/>
    <w:tmpl w:val="886652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5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0"/>
  </w:num>
  <w:num w:numId="13">
    <w:abstractNumId w:val="14"/>
  </w:num>
  <w:num w:numId="14">
    <w:abstractNumId w:val="11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C2C12"/>
    <w:rsid w:val="000F3902"/>
    <w:rsid w:val="00134D03"/>
    <w:rsid w:val="001F5222"/>
    <w:rsid w:val="002329E9"/>
    <w:rsid w:val="002B2AEC"/>
    <w:rsid w:val="0033755F"/>
    <w:rsid w:val="003A285D"/>
    <w:rsid w:val="00434460"/>
    <w:rsid w:val="004423DB"/>
    <w:rsid w:val="00443FF2"/>
    <w:rsid w:val="004872DF"/>
    <w:rsid w:val="004B6A44"/>
    <w:rsid w:val="00527F4F"/>
    <w:rsid w:val="00547242"/>
    <w:rsid w:val="006349CD"/>
    <w:rsid w:val="0071390C"/>
    <w:rsid w:val="00725C05"/>
    <w:rsid w:val="00755087"/>
    <w:rsid w:val="00777BD5"/>
    <w:rsid w:val="007900A5"/>
    <w:rsid w:val="007B512A"/>
    <w:rsid w:val="007C6C10"/>
    <w:rsid w:val="00842F33"/>
    <w:rsid w:val="008C0E6C"/>
    <w:rsid w:val="008C2C12"/>
    <w:rsid w:val="00914BA4"/>
    <w:rsid w:val="0095164D"/>
    <w:rsid w:val="00A273B7"/>
    <w:rsid w:val="00A36BC0"/>
    <w:rsid w:val="00A8770B"/>
    <w:rsid w:val="00B038A0"/>
    <w:rsid w:val="00BD0A73"/>
    <w:rsid w:val="00C83478"/>
    <w:rsid w:val="00CE16B5"/>
    <w:rsid w:val="00D4086C"/>
    <w:rsid w:val="00D417D7"/>
    <w:rsid w:val="00D567E0"/>
    <w:rsid w:val="00D6248D"/>
    <w:rsid w:val="00D72980"/>
    <w:rsid w:val="00E20E9B"/>
    <w:rsid w:val="00E3026C"/>
    <w:rsid w:val="00F012E5"/>
    <w:rsid w:val="00F30EBE"/>
    <w:rsid w:val="00F6156A"/>
    <w:rsid w:val="00F63BB4"/>
    <w:rsid w:val="00FE55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C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C2C12"/>
    <w:rPr>
      <w:rFonts w:ascii="Times New Roman" w:hAnsi="Times New Roman" w:cs="Times New Roman"/>
      <w:i/>
      <w:iCs/>
      <w:rtl w:val="0"/>
      <w:cs w:val="0"/>
    </w:rPr>
  </w:style>
  <w:style w:type="paragraph" w:styleId="Footer">
    <w:name w:val="footer"/>
    <w:basedOn w:val="Normal"/>
    <w:link w:val="FooterChar"/>
    <w:uiPriority w:val="99"/>
    <w:rsid w:val="008C2C1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2C1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8C2C12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8C2C12"/>
    <w:pPr>
      <w:ind w:left="708"/>
      <w:jc w:val="left"/>
    </w:pPr>
  </w:style>
  <w:style w:type="paragraph" w:styleId="NormalWeb">
    <w:name w:val="Normal (Web)"/>
    <w:basedOn w:val="Normal"/>
    <w:uiPriority w:val="99"/>
    <w:rsid w:val="008C2C1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4BA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4BA4"/>
    <w:rPr>
      <w:rFonts w:ascii="Times New Roman" w:hAnsi="Times New Roman" w:cs="Times New Roman"/>
      <w:rtl w:val="0"/>
      <w:cs w:val="0"/>
    </w:rPr>
  </w:style>
  <w:style w:type="paragraph" w:customStyle="1" w:styleId="Zkladntext">
    <w:name w:val="Základní text"/>
    <w:uiPriority w:val="99"/>
    <w:rsid w:val="00C83478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BodyTextIndentChar"/>
    <w:uiPriority w:val="99"/>
    <w:rsid w:val="00C83478"/>
    <w:pPr>
      <w:ind w:firstLine="709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83478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C83478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C83478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C83478"/>
    <w:pPr>
      <w:spacing w:after="120"/>
      <w:jc w:val="lef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3478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c02alineaalta">
    <w:name w:val="c02alineaalta"/>
    <w:basedOn w:val="Normal"/>
    <w:rsid w:val="00C83478"/>
    <w:pPr>
      <w:spacing w:after="240"/>
      <w:ind w:left="567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1016</Words>
  <Characters>5797</Characters>
  <Application>Microsoft Office Word</Application>
  <DocSecurity>0</DocSecurity>
  <Lines>0</Lines>
  <Paragraphs>0</Paragraphs>
  <ScaleCrop>false</ScaleCrop>
  <Company>Kancelaria NR SR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Ivan_Stefanec</dc:creator>
  <cp:lastModifiedBy>Gašparíková, Jarmila</cp:lastModifiedBy>
  <cp:revision>2</cp:revision>
  <dcterms:created xsi:type="dcterms:W3CDTF">2013-05-31T14:27:00Z</dcterms:created>
  <dcterms:modified xsi:type="dcterms:W3CDTF">2013-05-31T14:27:00Z</dcterms:modified>
</cp:coreProperties>
</file>