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4135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2F50">
        <w:rPr>
          <w:rFonts w:ascii="Times New Roman" w:hAnsi="Times New Roman"/>
          <w:b/>
          <w:sz w:val="24"/>
          <w:szCs w:val="24"/>
        </w:rPr>
        <w:t>Dôvodová správa</w:t>
      </w:r>
    </w:p>
    <w:p w:rsidR="00F14135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4135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2F50">
        <w:rPr>
          <w:rFonts w:ascii="Times New Roman" w:hAnsi="Times New Roman"/>
          <w:b/>
          <w:sz w:val="24"/>
          <w:szCs w:val="24"/>
        </w:rPr>
        <w:t>Všeobecná časť</w:t>
      </w:r>
    </w:p>
    <w:p w:rsidR="00F14135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F50">
        <w:rPr>
          <w:rFonts w:ascii="Times New Roman" w:hAnsi="Times New Roman"/>
          <w:sz w:val="24"/>
          <w:szCs w:val="24"/>
        </w:rPr>
        <w:t xml:space="preserve">Návrh zákona, </w:t>
      </w:r>
      <w:r w:rsidRPr="00EC2F50" w:rsidR="0050010A">
        <w:rPr>
          <w:rFonts w:ascii="Times New Roman" w:hAnsi="Times New Roman"/>
          <w:sz w:val="24"/>
          <w:szCs w:val="24"/>
        </w:rPr>
        <w:t>ktorým sa mení a dopĺňa zákon č. 43/2004 Z. z. o starobnom dôchodkovom sporení a o zmene a doplnení niektorých zákonov v znení neskorších predpisov</w:t>
      </w:r>
      <w:r w:rsidRPr="00EC2F50" w:rsidR="0050010A">
        <w:rPr>
          <w:rFonts w:ascii="Times New Roman" w:hAnsi="Times New Roman"/>
          <w:b/>
          <w:sz w:val="24"/>
          <w:szCs w:val="24"/>
        </w:rPr>
        <w:t xml:space="preserve"> </w:t>
      </w:r>
      <w:r w:rsidRPr="00EC2F50">
        <w:rPr>
          <w:rFonts w:ascii="Times New Roman" w:hAnsi="Times New Roman"/>
          <w:sz w:val="24"/>
          <w:szCs w:val="24"/>
        </w:rPr>
        <w:t xml:space="preserve">predkladajú do legislatívneho procesu poslanci Národnej rady Slovenskej republiky </w:t>
      </w:r>
      <w:r w:rsidR="00185116">
        <w:rPr>
          <w:rFonts w:ascii="Times New Roman" w:hAnsi="Times New Roman"/>
          <w:sz w:val="24"/>
          <w:szCs w:val="24"/>
        </w:rPr>
        <w:t>Jozef Mihál, Erika Jurinová, Ľudovít Kaník, Július Brocka a Ivan Švejna.</w:t>
      </w:r>
    </w:p>
    <w:p w:rsidR="00F94A42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F50" w:rsidR="00F14135">
        <w:rPr>
          <w:rFonts w:ascii="Times New Roman" w:hAnsi="Times New Roman"/>
          <w:sz w:val="24"/>
          <w:szCs w:val="24"/>
        </w:rPr>
        <w:t xml:space="preserve">Hlavným účelom predloženej novely zákona </w:t>
      </w:r>
      <w:r w:rsidRPr="00EC2F50" w:rsidR="00D94E60">
        <w:rPr>
          <w:rFonts w:ascii="Times New Roman" w:hAnsi="Times New Roman"/>
          <w:sz w:val="24"/>
          <w:szCs w:val="24"/>
        </w:rPr>
        <w:t xml:space="preserve">je </w:t>
      </w:r>
      <w:r w:rsidRPr="00EC2F50" w:rsidR="009546D8">
        <w:rPr>
          <w:rFonts w:ascii="Times New Roman" w:hAnsi="Times New Roman"/>
          <w:sz w:val="24"/>
          <w:szCs w:val="24"/>
        </w:rPr>
        <w:t xml:space="preserve">zvýšenie ochrany vkladov všetkých sporiteľov, ktorí si sporia na dôchodok prostredníctvom druhého dôchodkového piliera a súčasne </w:t>
      </w:r>
      <w:r w:rsidRPr="00EC2F50" w:rsidR="00EC2F50">
        <w:rPr>
          <w:rFonts w:ascii="Times New Roman" w:hAnsi="Times New Roman"/>
          <w:sz w:val="24"/>
          <w:szCs w:val="24"/>
        </w:rPr>
        <w:t>sa zv</w:t>
      </w:r>
      <w:r w:rsidR="00A04661">
        <w:rPr>
          <w:rFonts w:ascii="Times New Roman" w:hAnsi="Times New Roman"/>
          <w:sz w:val="24"/>
          <w:szCs w:val="24"/>
        </w:rPr>
        <w:t>y</w:t>
      </w:r>
      <w:r w:rsidRPr="00EC2F50" w:rsidR="00EC2F50">
        <w:rPr>
          <w:rFonts w:ascii="Times New Roman" w:hAnsi="Times New Roman"/>
          <w:sz w:val="24"/>
          <w:szCs w:val="24"/>
        </w:rPr>
        <w:t>šuje</w:t>
      </w:r>
      <w:r w:rsidR="00072156">
        <w:rPr>
          <w:rFonts w:ascii="Times New Roman" w:hAnsi="Times New Roman"/>
          <w:sz w:val="24"/>
          <w:szCs w:val="24"/>
        </w:rPr>
        <w:t xml:space="preserve"> okruh</w:t>
      </w:r>
      <w:r w:rsidRPr="00EC2F50" w:rsidR="009546D8">
        <w:rPr>
          <w:rFonts w:ascii="Times New Roman" w:hAnsi="Times New Roman"/>
          <w:sz w:val="24"/>
          <w:szCs w:val="24"/>
        </w:rPr>
        <w:t xml:space="preserve"> informácií, ktoré budú dôchodkové správcovské spoločnosti povinné zverejňovať.</w:t>
      </w:r>
    </w:p>
    <w:p w:rsidR="009546D8" w:rsidRPr="00072156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53917">
        <w:rPr>
          <w:rFonts w:ascii="Times New Roman" w:hAnsi="Times New Roman"/>
          <w:sz w:val="24"/>
          <w:szCs w:val="24"/>
        </w:rPr>
        <w:t>N</w:t>
      </w:r>
      <w:r w:rsidRPr="00072156" w:rsidR="00DB3339">
        <w:rPr>
          <w:rFonts w:ascii="Times New Roman" w:hAnsi="Times New Roman"/>
          <w:sz w:val="24"/>
          <w:szCs w:val="24"/>
        </w:rPr>
        <w:t>ovelou</w:t>
      </w:r>
      <w:r w:rsidRPr="00072156">
        <w:rPr>
          <w:rFonts w:ascii="Times New Roman" w:hAnsi="Times New Roman"/>
          <w:sz w:val="24"/>
          <w:szCs w:val="24"/>
        </w:rPr>
        <w:t xml:space="preserve"> sa rozširuje definícia pojmu „konflikt</w:t>
      </w:r>
      <w:r w:rsidRPr="00072156" w:rsidR="00DB3339">
        <w:rPr>
          <w:rFonts w:ascii="Times New Roman" w:hAnsi="Times New Roman"/>
          <w:sz w:val="24"/>
          <w:szCs w:val="24"/>
        </w:rPr>
        <w:t>u</w:t>
      </w:r>
      <w:r w:rsidRPr="00072156">
        <w:rPr>
          <w:rFonts w:ascii="Times New Roman" w:hAnsi="Times New Roman"/>
          <w:sz w:val="24"/>
          <w:szCs w:val="24"/>
        </w:rPr>
        <w:t xml:space="preserve"> záujmov“, kde sa pridáva nová skutočnosť, podľa ktorej </w:t>
      </w:r>
      <w:r w:rsidRPr="00072156" w:rsidR="00DB3339">
        <w:rPr>
          <w:rFonts w:ascii="Times New Roman" w:hAnsi="Times New Roman"/>
          <w:sz w:val="24"/>
          <w:szCs w:val="24"/>
        </w:rPr>
        <w:t xml:space="preserve">už nebude </w:t>
      </w:r>
      <w:r w:rsidRPr="00072156">
        <w:rPr>
          <w:rFonts w:ascii="Times New Roman" w:hAnsi="Times New Roman"/>
          <w:sz w:val="24"/>
          <w:szCs w:val="24"/>
        </w:rPr>
        <w:t>môcť dôchodková správcovská spoločnosť nadobúdať do s</w:t>
      </w:r>
      <w:r w:rsidRPr="00072156" w:rsidR="00EC2F50">
        <w:rPr>
          <w:rFonts w:ascii="Times New Roman" w:hAnsi="Times New Roman"/>
          <w:sz w:val="24"/>
          <w:szCs w:val="24"/>
        </w:rPr>
        <w:t>vojho majetku cenné papiere, keď</w:t>
      </w:r>
      <w:r w:rsidRPr="00072156">
        <w:rPr>
          <w:rFonts w:ascii="Times New Roman" w:hAnsi="Times New Roman"/>
          <w:sz w:val="24"/>
          <w:szCs w:val="24"/>
        </w:rPr>
        <w:t xml:space="preserve"> bude zjavné, že pochádzajú od</w:t>
      </w:r>
      <w:r w:rsidRPr="00072156" w:rsidR="00B667CC">
        <w:rPr>
          <w:rFonts w:ascii="Times New Roman" w:hAnsi="Times New Roman"/>
          <w:sz w:val="24"/>
          <w:szCs w:val="24"/>
        </w:rPr>
        <w:t xml:space="preserve"> osôb prepojených na, alebo ovládajúcich konkrétnu dôchodkovú správcovskú spoločnosť</w:t>
      </w:r>
      <w:r w:rsidRPr="00072156">
        <w:rPr>
          <w:rFonts w:ascii="Times New Roman" w:hAnsi="Times New Roman"/>
          <w:sz w:val="24"/>
          <w:szCs w:val="24"/>
        </w:rPr>
        <w:t>. Táto zmena má hlavne za cieľ zamedziť špekulatívnym obchodom medzi jednotlivými dôchodkovými správcovskými spoločnosťami a</w:t>
      </w:r>
      <w:r w:rsidRPr="00072156" w:rsidR="00DB3339">
        <w:rPr>
          <w:rFonts w:ascii="Times New Roman" w:hAnsi="Times New Roman"/>
          <w:sz w:val="24"/>
          <w:szCs w:val="24"/>
        </w:rPr>
        <w:t xml:space="preserve">  „spriaznenými </w:t>
      </w:r>
      <w:r w:rsidRPr="00072156" w:rsidR="00A04661">
        <w:rPr>
          <w:rFonts w:ascii="Times New Roman" w:hAnsi="Times New Roman"/>
          <w:sz w:val="24"/>
          <w:szCs w:val="24"/>
        </w:rPr>
        <w:t>spoločnosťami</w:t>
      </w:r>
      <w:r w:rsidRPr="00072156" w:rsidR="00DB3339">
        <w:rPr>
          <w:rFonts w:ascii="Times New Roman" w:hAnsi="Times New Roman"/>
          <w:sz w:val="24"/>
          <w:szCs w:val="24"/>
        </w:rPr>
        <w:t>“.</w:t>
      </w:r>
    </w:p>
    <w:p w:rsidR="00DB3339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53917">
        <w:rPr>
          <w:rFonts w:ascii="Times New Roman" w:hAnsi="Times New Roman"/>
          <w:sz w:val="24"/>
          <w:szCs w:val="24"/>
        </w:rPr>
        <w:t>Zavádza sa</w:t>
      </w:r>
      <w:r w:rsidRPr="00EC2F50">
        <w:rPr>
          <w:rFonts w:ascii="Times New Roman" w:hAnsi="Times New Roman"/>
          <w:sz w:val="24"/>
          <w:szCs w:val="24"/>
        </w:rPr>
        <w:t xml:space="preserve"> nové obmedzenie v prípade </w:t>
      </w:r>
      <w:r w:rsidRPr="00EC2F50" w:rsidR="00EC2F50">
        <w:rPr>
          <w:rFonts w:ascii="Times New Roman" w:hAnsi="Times New Roman"/>
          <w:sz w:val="24"/>
          <w:szCs w:val="24"/>
        </w:rPr>
        <w:t>nakupovania</w:t>
      </w:r>
      <w:r w:rsidRPr="00EC2F50">
        <w:rPr>
          <w:rFonts w:ascii="Times New Roman" w:hAnsi="Times New Roman"/>
          <w:sz w:val="24"/>
          <w:szCs w:val="24"/>
        </w:rPr>
        <w:t xml:space="preserve"> cenný</w:t>
      </w:r>
      <w:r w:rsidR="00A04661">
        <w:rPr>
          <w:rFonts w:ascii="Times New Roman" w:hAnsi="Times New Roman"/>
          <w:sz w:val="24"/>
          <w:szCs w:val="24"/>
        </w:rPr>
        <w:t>ch</w:t>
      </w:r>
      <w:r w:rsidRPr="00EC2F50">
        <w:rPr>
          <w:rFonts w:ascii="Times New Roman" w:hAnsi="Times New Roman"/>
          <w:sz w:val="24"/>
          <w:szCs w:val="24"/>
        </w:rPr>
        <w:t xml:space="preserve"> pa</w:t>
      </w:r>
      <w:r w:rsidR="00753917">
        <w:rPr>
          <w:rFonts w:ascii="Times New Roman" w:hAnsi="Times New Roman"/>
          <w:sz w:val="24"/>
          <w:szCs w:val="24"/>
        </w:rPr>
        <w:t xml:space="preserve">pierov, kde bude v zákone </w:t>
      </w:r>
      <w:r w:rsidRPr="00EC2F50">
        <w:rPr>
          <w:rFonts w:ascii="Times New Roman" w:hAnsi="Times New Roman"/>
          <w:sz w:val="24"/>
          <w:szCs w:val="24"/>
        </w:rPr>
        <w:t>stanovené, že cenné papiere s priebežnými poplatkami nad 2 % už nebude možné nakupovať. Týmto opatrením sa zamedzí nehospodárnym nákupom zo strany dôchodkových správcovských spoločností a súčasne budú povinné nakupovať len tie cenné papiere, kde celková miera náklad</w:t>
      </w:r>
      <w:r w:rsidR="00072156">
        <w:rPr>
          <w:rFonts w:ascii="Times New Roman" w:hAnsi="Times New Roman"/>
          <w:sz w:val="24"/>
          <w:szCs w:val="24"/>
        </w:rPr>
        <w:t>ov nepresiahne zákonom stanovenú hranicu</w:t>
      </w:r>
      <w:r w:rsidRPr="00EC2F50">
        <w:rPr>
          <w:rFonts w:ascii="Times New Roman" w:hAnsi="Times New Roman"/>
          <w:sz w:val="24"/>
          <w:szCs w:val="24"/>
        </w:rPr>
        <w:t>.</w:t>
      </w:r>
      <w:r w:rsidR="006F4D92">
        <w:rPr>
          <w:rFonts w:ascii="Times New Roman" w:hAnsi="Times New Roman"/>
          <w:sz w:val="24"/>
          <w:szCs w:val="24"/>
        </w:rPr>
        <w:t xml:space="preserve"> Ustanovenie sa týka predovšetkým podielových fondov, ktorých nákup do portfólia dôchodkových fondov sa umožnil poslednou novelou.</w:t>
      </w:r>
    </w:p>
    <w:p w:rsidR="00DB3339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F50">
        <w:rPr>
          <w:rFonts w:ascii="Times New Roman" w:hAnsi="Times New Roman"/>
          <w:sz w:val="24"/>
          <w:szCs w:val="24"/>
        </w:rPr>
        <w:t>V </w:t>
      </w:r>
      <w:r w:rsidR="00EC299D">
        <w:rPr>
          <w:rFonts w:ascii="Times New Roman" w:hAnsi="Times New Roman"/>
          <w:sz w:val="24"/>
          <w:szCs w:val="24"/>
        </w:rPr>
        <w:t>poslednej časti novely sa rozširuj</w:t>
      </w:r>
      <w:r w:rsidRPr="00EC2F50">
        <w:rPr>
          <w:rFonts w:ascii="Times New Roman" w:hAnsi="Times New Roman"/>
          <w:sz w:val="24"/>
          <w:szCs w:val="24"/>
        </w:rPr>
        <w:t xml:space="preserve">e okruh povinne zverejňovaných údajov, čo má za cieľ zvýšenie informovanosti jednotlivých sporiteľov, ako aj zvýšenie verejnej kontroly voči dôchodkovým správcovským spoločnostiam. </w:t>
      </w:r>
    </w:p>
    <w:p w:rsidR="00815D85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C2F50">
        <w:rPr>
          <w:rFonts w:ascii="Times New Roman" w:hAnsi="Times New Roman"/>
          <w:color w:val="000000"/>
          <w:sz w:val="24"/>
          <w:szCs w:val="24"/>
        </w:rPr>
        <w:t xml:space="preserve">Návrh zákona nebude mať dopad na štátny rozpočet, na rozpočty </w:t>
      </w:r>
      <w:r w:rsidRPr="00EC2F50" w:rsidR="00EC2F50">
        <w:rPr>
          <w:rFonts w:ascii="Times New Roman" w:hAnsi="Times New Roman"/>
          <w:color w:val="000000"/>
          <w:sz w:val="24"/>
          <w:szCs w:val="24"/>
        </w:rPr>
        <w:t>obcí a vyšších územných celkov,</w:t>
      </w:r>
      <w:r w:rsidRPr="00EC2F50">
        <w:rPr>
          <w:rFonts w:ascii="Times New Roman" w:hAnsi="Times New Roman"/>
          <w:color w:val="000000"/>
          <w:sz w:val="24"/>
          <w:szCs w:val="24"/>
        </w:rPr>
        <w:t> </w:t>
      </w:r>
      <w:r w:rsidRPr="00EC2F50" w:rsidR="00EC2F50">
        <w:rPr>
          <w:rFonts w:ascii="Times New Roman" w:hAnsi="Times New Roman"/>
          <w:color w:val="000000"/>
          <w:sz w:val="24"/>
          <w:szCs w:val="24"/>
        </w:rPr>
        <w:t xml:space="preserve">informatizáciu spoločnosti, </w:t>
      </w:r>
      <w:r w:rsidRPr="00EC2F50">
        <w:rPr>
          <w:rFonts w:ascii="Times New Roman" w:hAnsi="Times New Roman"/>
          <w:color w:val="000000"/>
          <w:sz w:val="24"/>
          <w:szCs w:val="24"/>
        </w:rPr>
        <w:t>sociálne vplyvy a na životné prostredie</w:t>
      </w:r>
      <w:r w:rsidRPr="00EC2F50" w:rsidR="00EC2F50">
        <w:rPr>
          <w:rFonts w:ascii="Times New Roman" w:hAnsi="Times New Roman"/>
          <w:color w:val="000000"/>
          <w:sz w:val="24"/>
          <w:szCs w:val="24"/>
        </w:rPr>
        <w:t xml:space="preserve"> a súčasne sa očakáva zvýšenie regulačného zaťaženia na podnikateľské prostredie</w:t>
      </w:r>
      <w:r w:rsidRPr="00EC2F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D85" w:rsidRPr="00EC2F50" w:rsidP="00072156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C2F50">
        <w:rPr>
          <w:rFonts w:ascii="Times New Roman" w:hAnsi="Times New Roman"/>
          <w:color w:val="000000"/>
          <w:sz w:val="24"/>
          <w:szCs w:val="24"/>
        </w:rPr>
        <w:t>Návrh zákona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815D85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1FB2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2F50">
        <w:rPr>
          <w:rFonts w:ascii="Times New Roman" w:hAnsi="Times New Roman"/>
          <w:b/>
          <w:sz w:val="24"/>
          <w:szCs w:val="24"/>
        </w:rPr>
        <w:t>Osobitná časť</w:t>
      </w:r>
    </w:p>
    <w:p w:rsidR="00F3219C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2F50" w:rsidR="00E71FB2">
        <w:rPr>
          <w:rFonts w:ascii="Times New Roman" w:hAnsi="Times New Roman"/>
          <w:b/>
          <w:sz w:val="24"/>
          <w:szCs w:val="24"/>
        </w:rPr>
        <w:t>K Čl. I</w:t>
      </w:r>
    </w:p>
    <w:p w:rsidR="009546D8" w:rsidRPr="00EC2F50" w:rsidP="00072156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2F50">
        <w:rPr>
          <w:rFonts w:ascii="Times New Roman" w:hAnsi="Times New Roman"/>
          <w:b/>
          <w:sz w:val="24"/>
          <w:szCs w:val="24"/>
        </w:rPr>
        <w:t>K bodu 1</w:t>
      </w:r>
    </w:p>
    <w:p w:rsidR="00EC2F50" w:rsidP="007E041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F50">
        <w:rPr>
          <w:rFonts w:ascii="Times New Roman" w:hAnsi="Times New Roman"/>
          <w:sz w:val="24"/>
          <w:szCs w:val="24"/>
        </w:rPr>
        <w:t>Navrhovanou úpravou sa rozširuje definícia, čo nesmie dôchodková správcovská spoločnosť nadobúdať do svojho majetku. Ide o cenné papiere s prepojením na osoby ovl</w:t>
      </w:r>
      <w:r w:rsidR="006F4D92">
        <w:rPr>
          <w:rFonts w:ascii="Times New Roman" w:hAnsi="Times New Roman"/>
          <w:sz w:val="24"/>
          <w:szCs w:val="24"/>
        </w:rPr>
        <w:t>á</w:t>
      </w:r>
      <w:r w:rsidRPr="00EC2F50">
        <w:rPr>
          <w:rFonts w:ascii="Times New Roman" w:hAnsi="Times New Roman"/>
          <w:sz w:val="24"/>
          <w:szCs w:val="24"/>
        </w:rPr>
        <w:t>dajúce dôchodkovú správcovskú spoločnosť. Osoby ovládajúce sú definované v § 66a Obchodného zákonníka, ako aj v § 49b Zákona o ban</w:t>
      </w:r>
      <w:r w:rsidR="00EC299D">
        <w:rPr>
          <w:rFonts w:ascii="Times New Roman" w:hAnsi="Times New Roman"/>
          <w:sz w:val="24"/>
          <w:szCs w:val="24"/>
        </w:rPr>
        <w:t xml:space="preserve">kách. Zákon o bankách definuje </w:t>
      </w:r>
      <w:r w:rsidRPr="00EC2F50">
        <w:rPr>
          <w:rFonts w:ascii="Times New Roman" w:hAnsi="Times New Roman"/>
          <w:sz w:val="24"/>
          <w:szCs w:val="24"/>
        </w:rPr>
        <w:t>ovládajúci vzťah, ako vzťah osoby, kde</w:t>
      </w:r>
      <w:r w:rsidR="007E041A">
        <w:rPr>
          <w:rFonts w:ascii="Times New Roman" w:hAnsi="Times New Roman"/>
          <w:sz w:val="24"/>
          <w:szCs w:val="24"/>
        </w:rPr>
        <w:t xml:space="preserve"> </w:t>
      </w:r>
      <w:r w:rsidRPr="00EC2F50">
        <w:rPr>
          <w:rFonts w:ascii="Times New Roman" w:hAnsi="Times New Roman"/>
          <w:sz w:val="24"/>
          <w:szCs w:val="24"/>
        </w:rPr>
        <w:t>jedna osoba kontroluje inú osobu, jedna osoba má majetkovú účasť v inej osobe alebo</w:t>
      </w:r>
      <w:r w:rsidR="007E041A">
        <w:rPr>
          <w:rFonts w:ascii="Times New Roman" w:hAnsi="Times New Roman"/>
          <w:sz w:val="24"/>
          <w:szCs w:val="24"/>
        </w:rPr>
        <w:t xml:space="preserve"> </w:t>
      </w:r>
      <w:r w:rsidRPr="00EC2F50">
        <w:rPr>
          <w:rFonts w:ascii="Times New Roman" w:hAnsi="Times New Roman"/>
          <w:sz w:val="24"/>
          <w:szCs w:val="24"/>
        </w:rPr>
        <w:t>osoby sú navzájom prepojené vzťahom vyjadrujúcim vplyv na riadení porovnateľný s vplyvom zodpovedajúcim majetkovej účasti alebo cez väčšinu tých istých osôb v štatutárnych orgánoch alebo dozorných orgán</w:t>
      </w:r>
      <w:r w:rsidR="007E041A">
        <w:rPr>
          <w:rFonts w:ascii="Times New Roman" w:hAnsi="Times New Roman"/>
          <w:sz w:val="24"/>
          <w:szCs w:val="24"/>
        </w:rPr>
        <w:t>och dvoch alebo viacerých osôb.</w:t>
      </w:r>
    </w:p>
    <w:p w:rsidR="00EC2F50" w:rsidP="007E041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Rozšírením tejto definície sa má zamedziť špekulatívnym obchodom medzi dôchodkovými správcovskými spoločnosťami na jednej strane a ich spriaznenými osobami na strane druhej. </w:t>
      </w:r>
    </w:p>
    <w:p w:rsidR="00EC2F50" w:rsidP="0007215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2F50" w:rsidRPr="001A44FC" w:rsidP="00072156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44FC">
        <w:rPr>
          <w:rFonts w:ascii="Times New Roman" w:hAnsi="Times New Roman"/>
          <w:b/>
          <w:sz w:val="24"/>
          <w:szCs w:val="24"/>
        </w:rPr>
        <w:t>K bodu 2</w:t>
      </w:r>
    </w:p>
    <w:p w:rsidR="001A44FC" w:rsidP="0007215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2F50" w:rsidP="007E041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rozšírenie definície prepojených a ovládaných osôb sa navrhuje rozšíriť okruh obchodov, ktoré nebude môcť dôchodková správcovská spoločnosť uzatvárať.</w:t>
      </w:r>
    </w:p>
    <w:p w:rsidR="00EC2F50" w:rsidP="0007215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2F50" w:rsidRPr="001A44FC" w:rsidP="00072156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44FC">
        <w:rPr>
          <w:rFonts w:ascii="Times New Roman" w:hAnsi="Times New Roman"/>
          <w:b/>
          <w:sz w:val="24"/>
          <w:szCs w:val="24"/>
        </w:rPr>
        <w:t>K bodu 3</w:t>
      </w:r>
    </w:p>
    <w:p w:rsidR="001A44FC" w:rsidP="0007215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2F50" w:rsidRPr="00EC2F50" w:rsidP="007E041A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rozšírenie </w:t>
      </w:r>
      <w:r w:rsidR="001A44FC">
        <w:rPr>
          <w:rFonts w:ascii="Times New Roman" w:hAnsi="Times New Roman"/>
          <w:sz w:val="24"/>
          <w:szCs w:val="24"/>
        </w:rPr>
        <w:t xml:space="preserve">definície pri konflikte záujmov sa vkladá </w:t>
      </w:r>
      <w:r>
        <w:rPr>
          <w:rFonts w:ascii="Times New Roman" w:hAnsi="Times New Roman"/>
          <w:sz w:val="24"/>
          <w:szCs w:val="24"/>
        </w:rPr>
        <w:t>nová možnosť, aby dôchodkové správcovské spoločnosti požiadali pre</w:t>
      </w:r>
      <w:r w:rsidR="001A44F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uskutočnením určitého obchodu o takzvanú ex- ante kontrolu od Národnej banky Slovenska, ktorá im </w:t>
      </w:r>
      <w:r w:rsidR="001A44FC">
        <w:rPr>
          <w:rFonts w:ascii="Times New Roman" w:hAnsi="Times New Roman"/>
          <w:sz w:val="24"/>
          <w:szCs w:val="24"/>
        </w:rPr>
        <w:t xml:space="preserve">na základe ich žiadosti </w:t>
      </w:r>
      <w:r w:rsidR="007E041A">
        <w:rPr>
          <w:rFonts w:ascii="Times New Roman" w:hAnsi="Times New Roman"/>
          <w:sz w:val="24"/>
          <w:szCs w:val="24"/>
        </w:rPr>
        <w:t>vydá</w:t>
      </w:r>
      <w:r w:rsidR="001A44FC">
        <w:rPr>
          <w:rFonts w:ascii="Times New Roman" w:hAnsi="Times New Roman"/>
          <w:sz w:val="24"/>
          <w:szCs w:val="24"/>
        </w:rPr>
        <w:t xml:space="preserve"> rozhodnutie, či v konkrétnom prípade nie sú v konflikte záujmov.</w:t>
      </w:r>
    </w:p>
    <w:p w:rsidR="00EC2F50" w:rsidP="00072156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44FC" w:rsidRPr="001A44FC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44FC">
        <w:rPr>
          <w:rFonts w:ascii="Times New Roman" w:hAnsi="Times New Roman"/>
          <w:b/>
          <w:sz w:val="24"/>
          <w:szCs w:val="24"/>
        </w:rPr>
        <w:t>K bodu 4</w:t>
      </w:r>
    </w:p>
    <w:p w:rsidR="001A44FC" w:rsidP="007E041A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Stanovuje sa maximálne percento priebežných poplatkov pri nakupovaní cenných papierov na úroveň 2 %. Priebežné poplatky </w:t>
      </w:r>
      <w:r w:rsidR="007E041A">
        <w:rPr>
          <w:rFonts w:ascii="Times New Roman" w:hAnsi="Times New Roman"/>
          <w:sz w:val="24"/>
          <w:szCs w:val="24"/>
        </w:rPr>
        <w:t>sú definované v Nariadení</w:t>
      </w:r>
      <w:r>
        <w:rPr>
          <w:rFonts w:ascii="Times New Roman" w:hAnsi="Times New Roman"/>
          <w:sz w:val="24"/>
          <w:szCs w:val="24"/>
        </w:rPr>
        <w:t xml:space="preserve"> komisie (EÚ) č. 583/2010 v Článku 10 ods. 2 písm. b), </w:t>
      </w:r>
      <w:r w:rsidR="007E041A">
        <w:rPr>
          <w:rFonts w:ascii="Times New Roman" w:hAnsi="Times New Roman"/>
          <w:sz w:val="24"/>
          <w:szCs w:val="24"/>
        </w:rPr>
        <w:t>pričom sa tým rozumie</w:t>
      </w:r>
      <w:r>
        <w:rPr>
          <w:rFonts w:ascii="Times New Roman" w:hAnsi="Times New Roman"/>
          <w:sz w:val="24"/>
          <w:szCs w:val="24"/>
        </w:rPr>
        <w:t xml:space="preserve"> celková miera nákladov. V prípade, ak cenné papiere budú mať tieto priebežné poplatky vyššie ako 2 %, nebude možné ich nakupovať. Takýmto opatrením sa zamedzí nehospodárnym nákupom cenných papierov.</w:t>
      </w:r>
    </w:p>
    <w:p w:rsidR="001A44FC" w:rsidRPr="001A44FC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44FC">
        <w:rPr>
          <w:rFonts w:ascii="Times New Roman" w:hAnsi="Times New Roman"/>
          <w:b/>
          <w:sz w:val="24"/>
          <w:szCs w:val="24"/>
        </w:rPr>
        <w:t>K bodu 5</w:t>
      </w:r>
    </w:p>
    <w:p w:rsidR="001A44FC" w:rsidP="007E041A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F4D92">
        <w:rPr>
          <w:rFonts w:ascii="Times New Roman" w:hAnsi="Times New Roman"/>
          <w:sz w:val="24"/>
          <w:szCs w:val="24"/>
        </w:rPr>
        <w:t xml:space="preserve">Dôchodková </w:t>
      </w:r>
      <w:r>
        <w:rPr>
          <w:rFonts w:ascii="Times New Roman" w:hAnsi="Times New Roman"/>
          <w:sz w:val="24"/>
          <w:szCs w:val="24"/>
        </w:rPr>
        <w:t xml:space="preserve">správcovská spoločnosť </w:t>
      </w:r>
      <w:r w:rsidR="006F4D92">
        <w:rPr>
          <w:rFonts w:ascii="Times New Roman" w:hAnsi="Times New Roman"/>
          <w:sz w:val="24"/>
          <w:szCs w:val="24"/>
        </w:rPr>
        <w:t xml:space="preserve">bude povinná </w:t>
      </w:r>
      <w:r>
        <w:rPr>
          <w:rFonts w:ascii="Times New Roman" w:hAnsi="Times New Roman"/>
          <w:sz w:val="24"/>
          <w:szCs w:val="24"/>
        </w:rPr>
        <w:t xml:space="preserve">zverejňovať </w:t>
      </w:r>
      <w:r w:rsidR="006F4D92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pri najväčších investíciách aj všetky emisie podielových fondov v portfóliu.</w:t>
      </w:r>
    </w:p>
    <w:p w:rsidR="001A44FC" w:rsidRPr="001A44FC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A44FC">
        <w:rPr>
          <w:rFonts w:ascii="Times New Roman" w:hAnsi="Times New Roman"/>
          <w:b/>
          <w:sz w:val="24"/>
          <w:szCs w:val="24"/>
        </w:rPr>
        <w:t>K bodu 6</w:t>
      </w:r>
    </w:p>
    <w:p w:rsidR="009546D8" w:rsidRPr="00EC2F50" w:rsidP="007E041A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1A44FC">
        <w:rPr>
          <w:rFonts w:ascii="Times New Roman" w:hAnsi="Times New Roman"/>
          <w:sz w:val="24"/>
          <w:szCs w:val="24"/>
        </w:rPr>
        <w:t xml:space="preserve">Zavádza sa povinnosť pre dôchodkovú správcovskú spoločnosť </w:t>
      </w:r>
      <w:r w:rsidR="00EC299D">
        <w:rPr>
          <w:rFonts w:ascii="Times New Roman" w:hAnsi="Times New Roman"/>
          <w:sz w:val="24"/>
          <w:szCs w:val="24"/>
        </w:rPr>
        <w:t>vždy k 1. januáru a</w:t>
      </w:r>
      <w:r w:rsidR="002F7618">
        <w:rPr>
          <w:rFonts w:ascii="Times New Roman" w:hAnsi="Times New Roman"/>
          <w:sz w:val="24"/>
          <w:szCs w:val="24"/>
        </w:rPr>
        <w:t xml:space="preserve"> k 1. júlu príslušného kalendárneho roka zverejňovať celkové portfólio dôchodkových fondov za predchádzajúcich šesť kalendárnych mesiacov</w:t>
      </w:r>
      <w:r w:rsidR="001A44FC">
        <w:rPr>
          <w:rFonts w:ascii="Times New Roman" w:hAnsi="Times New Roman"/>
          <w:sz w:val="24"/>
          <w:szCs w:val="24"/>
        </w:rPr>
        <w:t>.</w:t>
      </w:r>
    </w:p>
    <w:p w:rsidR="00E71FB2" w:rsidRPr="00EC2F50" w:rsidP="0007215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2F50">
        <w:rPr>
          <w:rFonts w:ascii="Times New Roman" w:hAnsi="Times New Roman"/>
          <w:b/>
          <w:sz w:val="24"/>
          <w:szCs w:val="24"/>
        </w:rPr>
        <w:t>K Čl. II</w:t>
      </w:r>
    </w:p>
    <w:p w:rsidR="00E71FB2" w:rsidRPr="00EC2F50" w:rsidP="007E041A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F50" w:rsidR="00E45059">
        <w:rPr>
          <w:rFonts w:ascii="Times New Roman" w:hAnsi="Times New Roman"/>
          <w:sz w:val="24"/>
          <w:szCs w:val="24"/>
        </w:rPr>
        <w:t>Vzhľadom na dĺžku legislatívneho procesu</w:t>
      </w:r>
      <w:r w:rsidRPr="00EC2F50">
        <w:rPr>
          <w:rFonts w:ascii="Times New Roman" w:hAnsi="Times New Roman"/>
          <w:sz w:val="24"/>
          <w:szCs w:val="24"/>
        </w:rPr>
        <w:t xml:space="preserve"> sa</w:t>
      </w:r>
      <w:r w:rsidRPr="00EC2F50" w:rsidR="00E45059">
        <w:rPr>
          <w:rFonts w:ascii="Times New Roman" w:hAnsi="Times New Roman"/>
          <w:sz w:val="24"/>
          <w:szCs w:val="24"/>
        </w:rPr>
        <w:t xml:space="preserve"> navrhuje stanoviť</w:t>
      </w:r>
      <w:r w:rsidRPr="00EC2F50">
        <w:rPr>
          <w:rFonts w:ascii="Times New Roman" w:hAnsi="Times New Roman"/>
          <w:sz w:val="24"/>
          <w:szCs w:val="24"/>
        </w:rPr>
        <w:t xml:space="preserve"> účinnosť na </w:t>
      </w:r>
      <w:r w:rsidR="007E041A">
        <w:rPr>
          <w:rFonts w:ascii="Times New Roman" w:hAnsi="Times New Roman"/>
          <w:sz w:val="24"/>
          <w:szCs w:val="24"/>
        </w:rPr>
        <w:t xml:space="preserve">              </w:t>
      </w:r>
      <w:r w:rsidRPr="00EC2F50">
        <w:rPr>
          <w:rFonts w:ascii="Times New Roman" w:hAnsi="Times New Roman"/>
          <w:sz w:val="24"/>
          <w:szCs w:val="24"/>
        </w:rPr>
        <w:t xml:space="preserve">1. </w:t>
      </w:r>
      <w:r w:rsidRPr="00EC2F50" w:rsidR="00AC4114">
        <w:rPr>
          <w:rFonts w:ascii="Times New Roman" w:hAnsi="Times New Roman"/>
          <w:sz w:val="24"/>
          <w:szCs w:val="24"/>
        </w:rPr>
        <w:t>októbra</w:t>
      </w:r>
      <w:r w:rsidRPr="00EC2F50">
        <w:rPr>
          <w:rFonts w:ascii="Times New Roman" w:hAnsi="Times New Roman"/>
          <w:sz w:val="24"/>
          <w:szCs w:val="24"/>
        </w:rPr>
        <w:t xml:space="preserve"> 2013.</w:t>
      </w:r>
    </w:p>
    <w:sectPr w:rsidSect="00F321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2AB"/>
    <w:multiLevelType w:val="hybridMultilevel"/>
    <w:tmpl w:val="C978988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14135"/>
    <w:rsid w:val="00072156"/>
    <w:rsid w:val="00156CE4"/>
    <w:rsid w:val="00185116"/>
    <w:rsid w:val="001A44FC"/>
    <w:rsid w:val="00204F68"/>
    <w:rsid w:val="002F7618"/>
    <w:rsid w:val="0036242F"/>
    <w:rsid w:val="00382DC2"/>
    <w:rsid w:val="004306E3"/>
    <w:rsid w:val="00482C2E"/>
    <w:rsid w:val="00495E56"/>
    <w:rsid w:val="004B1C58"/>
    <w:rsid w:val="0050010A"/>
    <w:rsid w:val="00527025"/>
    <w:rsid w:val="00557371"/>
    <w:rsid w:val="006F2A02"/>
    <w:rsid w:val="006F4D92"/>
    <w:rsid w:val="00753917"/>
    <w:rsid w:val="007E041A"/>
    <w:rsid w:val="00811058"/>
    <w:rsid w:val="00815D85"/>
    <w:rsid w:val="009546D8"/>
    <w:rsid w:val="00A04661"/>
    <w:rsid w:val="00A1005D"/>
    <w:rsid w:val="00A4796A"/>
    <w:rsid w:val="00AC4114"/>
    <w:rsid w:val="00B449C7"/>
    <w:rsid w:val="00B667CC"/>
    <w:rsid w:val="00C1177E"/>
    <w:rsid w:val="00C40C2D"/>
    <w:rsid w:val="00D94E60"/>
    <w:rsid w:val="00DB3339"/>
    <w:rsid w:val="00DC67E6"/>
    <w:rsid w:val="00E3053A"/>
    <w:rsid w:val="00E45059"/>
    <w:rsid w:val="00E71FB2"/>
    <w:rsid w:val="00EC299D"/>
    <w:rsid w:val="00EC2F50"/>
    <w:rsid w:val="00F13BF7"/>
    <w:rsid w:val="00F14135"/>
    <w:rsid w:val="00F3219C"/>
    <w:rsid w:val="00F94A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3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135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A0466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61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04661"/>
    <w:rPr>
      <w:rFonts w:eastAsia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6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04661"/>
    <w:rPr>
      <w:rFonts w:eastAsia="Times New Roman"/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61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04661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701</Words>
  <Characters>3997</Characters>
  <Application>Microsoft Office Word</Application>
  <DocSecurity>0</DocSecurity>
  <Lines>0</Lines>
  <Paragraphs>0</Paragraphs>
  <ScaleCrop>false</ScaleCrop>
  <Company>Kancelaria NR SR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cp:lastPrinted>2013-05-30T12:23:00Z</cp:lastPrinted>
  <dcterms:created xsi:type="dcterms:W3CDTF">2013-05-31T14:31:00Z</dcterms:created>
  <dcterms:modified xsi:type="dcterms:W3CDTF">2013-05-31T14:31:00Z</dcterms:modified>
</cp:coreProperties>
</file>