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74C" w:rsidRPr="00F12352" w:rsidP="00F1235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spacing w:val="30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pacing w:val="30"/>
          <w:kern w:val="1"/>
          <w:sz w:val="24"/>
          <w:szCs w:val="24"/>
          <w:lang w:val="sk-SK"/>
        </w:rPr>
        <w:t>Dôvodová správa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kern w:val="1"/>
          <w:sz w:val="24"/>
          <w:szCs w:val="24"/>
          <w:lang w:val="sk-SK"/>
        </w:rPr>
        <w:t>A. Všeobecná časť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 xml:space="preserve">Návrh zákona o elektronickej podobe výkonu pôsobnosti orgánov verejnej moci a o zmene a doplnení niektorých zákonov (zákon o e-Governmente) sa predkladá na základe legislatívneho zámeru zákona o elektronickej verejnej správe, ktorý vláda SR schválila uznesením vlády SR č. 657/2010 z 29. septembra 2010. 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             Cieľom návrhu zákona je ustanoviť všeobecnú právnu úpravu spôsobu výkonu verejnej moci v elektronickej podobe vrátane súvisiacich právnych inštitútov, a tým umožniť realizáciu elektronických služieb orgánov verejnej moci jednotným spôsobom, bez potreby zásahu do každého osobitného právneho predpisu, ktorý upravuje v konkrétnych prípadoch tento výkon. Podstatou návrhu je kodifikovanie elektronickej komunikácie ako nosnej formy komunikácie s verejnou mocou i samotnej verejnej moci medzi sebou tak, aby sa komunikačné procesy zjednodušili, zrýchlili, sprehľadnili, zjednotili a aby sa zvýšila bezpečnosť tejto komunikácie. Takisto je ďalším dôležitým faktorom zavedenie úplne nových inštitútov (napríklad konverzia dokumentov, elektronické schránky), ktoré v právnom prostredí chýbali a sú nevyhnutné pre riadne fungovanie elektronických procesov. Cieľom pritom nie je nahrádzať existujúce predpisy, (najmä upravujúce správne/súdne konanie) návrhom zákona, ale ustanoviť takpovediac elektronickú alternatívu k „papierovému, listinnému“ spôsobu výkonu verejnej moci, pri zachovaní regulácie tohto výkonu v jeho podrobnostiach osobitnými predpismi.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 xml:space="preserve">              Návrh zákona obsahuje úpravu nových právnych inštitútov, ktoré nemajú svoj legálny obsah v dnešnom práve a sú pre plnohodnotný výkon verejnej moci </w:t>
      </w:r>
      <w:r w:rsidRPr="00F12352" w:rsidR="00A31422">
        <w:rPr>
          <w:rFonts w:ascii="Times New Roman" w:hAnsi="Times New Roman"/>
          <w:kern w:val="1"/>
          <w:sz w:val="24"/>
          <w:szCs w:val="24"/>
          <w:lang w:val="sk-SK"/>
        </w:rPr>
        <w:t xml:space="preserve">v elektronickej podobe </w:t>
      </w:r>
      <w:r w:rsidRPr="00F12352">
        <w:rPr>
          <w:rFonts w:ascii="Times New Roman" w:hAnsi="Times New Roman"/>
          <w:kern w:val="1"/>
          <w:sz w:val="24"/>
          <w:szCs w:val="24"/>
          <w:lang w:val="sk-SK"/>
        </w:rPr>
        <w:t xml:space="preserve">nevyhnutné. Ide o 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a.           elektronické schránky,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b.          identifikácia a autentifikácia osôb,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c.           autorizácia,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d.          zaručená konverzia,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2120" w:right="-6" w:hanging="70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e.                              úhradu platieb platených orgánu verejnej moci zo zákona alebo na základe  zákona,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f.           referenčné registre.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             Návrh zákona ustanovuje tiež elektronickú alternatívu k existujúcim právnym inštitútom, ktoré sú v platnom práve buď upravené výlučne na listinný spôsob výkonu verejnej moci, alebo sú prispôsobené aj pre výkon</w:t>
      </w:r>
      <w:r w:rsidRPr="00F12352" w:rsidR="00A31422">
        <w:rPr>
          <w:rFonts w:ascii="Times New Roman" w:hAnsi="Times New Roman"/>
          <w:kern w:val="1"/>
          <w:sz w:val="24"/>
          <w:szCs w:val="24"/>
          <w:lang w:val="sk-SK"/>
        </w:rPr>
        <w:t xml:space="preserve"> v elektronickej podobe</w:t>
      </w:r>
      <w:r w:rsidRPr="00F12352">
        <w:rPr>
          <w:rFonts w:ascii="Times New Roman" w:hAnsi="Times New Roman"/>
          <w:kern w:val="1"/>
          <w:sz w:val="24"/>
          <w:szCs w:val="24"/>
          <w:lang w:val="sk-SK"/>
        </w:rPr>
        <w:t xml:space="preserve">, avšak ich úprava je fragmentovaná a nejednotná. Ide najmä o 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a.           architektúru informačných systémov pre elektronický výkon verejnej moci,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2106" w:right="-6" w:hanging="689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b.                             podmienky a spôsob elektronického výkonu verejnej moci a elektronickej komunikácie orgánov verejnej moci navzájom,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c.    elektronické podanie a elektronický úradný dokument,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1701" w:right="-6" w:hanging="283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d.          elektronické doručovanie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             Vzhľadom na to, že predmet úpravy návrhu zákona zasahuje aj do oblastí, upravených inými právnymi predpismi, ako aj vzhľadom na potrebu prispôsobenia existujúcich právnych inštitútov návrhu zákona, v osobitných článkoch sa navrhujú zmeniť a doplniť súvisiace právne predpisy.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ind w:left="567" w:right="-6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             Návrh zákona je v súlade s  Ústavou Slovenskej republiky, ústavnými zákonmi a všeobecne záväznými právnymi predpismi, medzinárodnými záväzkami Slovenskej republiky ako aj s právom Európskej únie.</w:t>
      </w:r>
    </w:p>
    <w:p w:rsidR="00F0774C" w:rsidRPr="00F12352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F12352">
        <w:rPr>
          <w:rFonts w:ascii="Times New Roman" w:hAnsi="Times New Roman"/>
          <w:kern w:val="1"/>
          <w:sz w:val="24"/>
          <w:szCs w:val="24"/>
          <w:lang w:val="sk-SK"/>
        </w:rPr>
        <w:t> </w:t>
      </w:r>
    </w:p>
    <w:p w:rsidR="00F12352" w:rsidRPr="00F12352" w:rsidP="00F12352">
      <w:pPr>
        <w:bidi w:val="0"/>
        <w:ind w:right="-108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 w:rsidR="00F0774C">
        <w:rPr>
          <w:rFonts w:ascii="Times New Roman" w:hAnsi="Times New Roman"/>
          <w:kern w:val="1"/>
          <w:sz w:val="24"/>
          <w:szCs w:val="24"/>
          <w:lang w:val="sk-SK"/>
        </w:rPr>
        <w:t> </w:t>
      </w: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Doložka vybraných vplyvov</w:t>
      </w:r>
    </w:p>
    <w:p w:rsidR="00F12352" w:rsidRPr="00F12352" w:rsidP="00F12352">
      <w:pPr>
        <w:bidi w:val="0"/>
        <w:ind w:right="-108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A.1. Názov materiálu: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Návrh zákona 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>o elektronickej podobe výkonu pôsobnosti orgánov verejnej moci a o zmene a doplnení niektorých zákonov (zákon o e-Governmente)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627"/>
        <w:gridCol w:w="1701"/>
        <w:gridCol w:w="1985"/>
      </w:tblGrid>
      <w:tr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Pozitívne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Negatívne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1. Vplyvy na rozpočet verejnej správy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3, Sociálne vplyvy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– vplyvy  na hospodárenie obyvateľstva,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-sociálnu exklúziu,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b/>
          <w:bCs/>
        </w:rPr>
        <w:t>A.3. Poznámky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</w:rPr>
        <w:t> 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i/>
          <w:iCs/>
        </w:rPr>
        <w:t xml:space="preserve">      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b/>
          <w:bCs/>
        </w:rPr>
        <w:t>A.4. Alternatívne riešenia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</w:rPr>
        <w:t> 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b/>
          <w:bCs/>
        </w:rPr>
        <w:t> 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b/>
          <w:bCs/>
        </w:rPr>
        <w:t>A.5. Stanovisko gestorov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Ministerstvo financií SR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Nemáme pripomienky k doložke vybraných vplyvov z hľadiska vplyvov na informatizáciu spoločnosti.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 xml:space="preserve">  </w:t>
      </w:r>
      <w:r w:rsidRPr="00F12352">
        <w:rPr>
          <w:rFonts w:ascii="Times New Roman" w:hAnsi="Times New Roman"/>
          <w:sz w:val="24"/>
          <w:szCs w:val="24"/>
          <w:lang w:val="sk-SK"/>
        </w:rPr>
        <w:t> 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Z návrhu zákona vyplývajú negatívne dôsledky na rozpočet verejnej správy, ktoré nie sú v doložke vybraných vplyvov zohľadnené. Vplyvy vyplývajúce z § 7 ods. (10) zákona  /úhrady za činnosť integrovaného obslužného miesta/ a ustanovení  Čl. II /súdne poplatky/ a Čl. III /správne poplatky/ žiadame premietnuť do doložky a analýzy vplyvov.</w:t>
      </w:r>
      <w:r w:rsidRPr="00F12352">
        <w:rPr>
          <w:rStyle w:val="spanr"/>
          <w:rFonts w:ascii="Times New Roman" w:hAnsi="Times New Roman"/>
          <w:bCs/>
          <w:sz w:val="24"/>
          <w:szCs w:val="24"/>
          <w:lang w:val="sk-SK"/>
        </w:rPr>
        <w:t xml:space="preserve"> V súlade s </w:t>
      </w:r>
      <w:r w:rsidRPr="00F12352">
        <w:rPr>
          <w:rFonts w:ascii="Times New Roman" w:hAnsi="Times New Roman"/>
          <w:sz w:val="24"/>
          <w:szCs w:val="24"/>
          <w:lang w:val="sk-SK"/>
        </w:rPr>
        <w:t>§ 33 zákona č. 523/2004 Z. z. o rozpočtových pravidlách verejnej správy a o zmene a doplnení niektorých zákonov je potrebné uviesť a zdôvodniť predpokladané finančné dôsledky na rozpočet verejnej správy na bežný rok a nasledujúce tri rozpočtové roky. Spolu s tým musí byť uvedený aj návrh na úhradu zvýšených výdavkov alebo znížených príjmov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F12352">
        <w:rPr>
          <w:rFonts w:ascii="Times New Roman" w:hAnsi="Times New Roman"/>
          <w:i/>
        </w:rPr>
        <w:t>Ministerstvo práce, sociálnych vecí a rodiny Slovenskej republiky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V analýze sociálnych vplyvov, v časti 4.1. Celkový počet obyvateľstva/domácností ovplyvnených predkladaným materiálom odporúčame v predloženom texte slová „verejných orgánov“ nahradiť slovami „elektronického výkonu verejnej moci.“.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Odôvodnenie: </w:t>
      </w: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 </w:t>
      </w:r>
      <w:r w:rsidRPr="00F12352">
        <w:rPr>
          <w:rFonts w:ascii="Times New Roman" w:hAnsi="Times New Roman"/>
          <w:sz w:val="24"/>
          <w:szCs w:val="24"/>
          <w:lang w:val="sk-SK"/>
        </w:rPr>
        <w:t>Zmenu navrhujeme z dôvodu, že nepôjde o obyvateľov a domácnosti, ktoré využívajú služby verejných orgánov vo všeobecnosti, ale o dotknutých obyvateľov a domácnosti, ktoré búdu využívať elektronický výkon verejnej moci.</w:t>
      </w:r>
    </w:p>
    <w:p w:rsidR="00F12352" w:rsidRPr="00F12352" w:rsidP="00F12352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Cs/>
          <w:i/>
          <w:sz w:val="24"/>
          <w:szCs w:val="24"/>
          <w:lang w:val="sk-SK"/>
        </w:rPr>
      </w:pPr>
      <w:r w:rsidRPr="00F12352">
        <w:rPr>
          <w:rFonts w:ascii="Times New Roman" w:hAnsi="Times New Roman"/>
          <w:bCs/>
          <w:i/>
          <w:sz w:val="24"/>
          <w:szCs w:val="24"/>
          <w:lang w:val="sk-SK"/>
        </w:rPr>
        <w:t>Ministerstvo hospodárstva SR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K materiálu „ Návrh zákona o elektronickom výkone verejnej moci a o zmene a doplnení niektorých zákonov“, neuplatňujeme žiadne pripomienky a zároveň odporúčame do predkladacej správy doplniť negatívne vplyvy na podnikateľské prostredie, ktoré vyplývajú z materiálu a z doložky vybraných vplyvov.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Vplyvy na rozpočet verejnej správy,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na zamestnanosť vo verejnej správe a financovanie návrhu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2.1. Zhrnutie vplyvov na rozpočet verejnej správy v návrhu</w:t>
      </w:r>
    </w:p>
    <w:p w:rsidR="00F12352" w:rsidRPr="00F12352" w:rsidP="00F12352">
      <w:pPr>
        <w:bidi w:val="0"/>
        <w:ind w:left="7080"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ind w:left="7080"/>
        <w:jc w:val="right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Tabuľka č. 1 </w:t>
      </w:r>
    </w:p>
    <w:p w:rsidR="00F12352" w:rsidRPr="00F12352" w:rsidP="00F12352">
      <w:pPr>
        <w:bidi w:val="0"/>
        <w:ind w:left="7080"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00"/>
        <w:gridCol w:w="1357"/>
        <w:gridCol w:w="1357"/>
        <w:gridCol w:w="1357"/>
        <w:gridCol w:w="1358"/>
      </w:tblGrid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 </w:t>
            </w: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k-SK"/>
              </w:rPr>
              <w:t>Rozpočet verejnej správy (v tis. eur)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Vplyv na rozpočet verejnej správy 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2016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Príjmy verejnej správy celkom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Štátny rozpočet (VPS)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z toho: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 - vplyv na ŠR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 - 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Výdavky verejnej správy celkom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25 890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tom: </w:t>
            </w: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MF/0A9 Medzirezortný program OP Informatizácia spoločnosti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25 890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z toho: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</w:t>
            </w: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vplyv na ŠR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11 627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38 248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28 814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23 890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EÚ prostriedky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7 990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28 805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21 700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17 992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Spolufinancovanie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1 875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5 083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3 829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3 175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Pro Rata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1 762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4 360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3 285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2 723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</w:t>
            </w: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3 000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3 000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2 000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</w:t>
            </w: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Financovanie zabezpečené v rozpočte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 tom za každý subjekt verejnej správy / program zvlášť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12 627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41 248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31 814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25 890</w:t>
            </w:r>
          </w:p>
        </w:tc>
      </w:tr>
    </w:tbl>
    <w:p w:rsidR="00F12352" w:rsidRPr="00F12352" w:rsidP="00F12352">
      <w:pP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2.2. Financovanie návrhu</w:t>
      </w:r>
    </w:p>
    <w:p w:rsidR="00F12352" w:rsidRPr="00F12352" w:rsidP="00F12352">
      <w:pPr>
        <w:bidi w:val="0"/>
        <w:ind w:left="708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Tabuľka č. 2</w:t>
      </w:r>
    </w:p>
    <w:p w:rsidR="00F12352" w:rsidRPr="00F12352" w:rsidP="00F12352">
      <w:pPr>
        <w:bidi w:val="0"/>
        <w:ind w:left="7080"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ind w:left="7080"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Vplyv na rozpočet verejnej správy (v eurách)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2016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12 627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41 248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31 814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25 890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11 627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38 248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28 814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23 890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11 627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38 248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28 814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23 890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3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3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000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0</w:t>
            </w:r>
          </w:p>
        </w:tc>
      </w:tr>
    </w:tbl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Návrh na riešenie úbytku príjmov alebo zvýšených výdavkov podľa § 33 ods. 1 zákona č. 523/2004 Z. z. o rozpočtových pravidlách verejnej správy: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Projekty financované v rámci Prioritnej osi č. 1, opatrenia 1.1 Elektronizácia verejnej správy a rozvoj elektronických služieb na centrálnej úrovni sú financované z Operačného programu Informatizácia spoločnosti (OPIS) v plnej výške cez rozpočet Platobnej jednotky Ministerstva financií SR, a teda nesmú byť rozpočtované duplicitne v rozpočtoch príslušných kapitol. Projekty v rámci Prioritnej osi č. 1, opatrenia 1.1 Elektronizácia verejnej správy a elektronických služieb na centrálnej úrovni sú financované z  EÚ vo výške 75,31% a spolufinancované zo štátneho rozpočtu vo výške 13,29% a systémom pro rata 11,4 % projektu zabezpečované transferom z  rozpočtu  Platobnej jednotky   MF SR. Vzhľadom na to, že tento proces je čo do rozsahu bezprostredne závislý od spôsobu realizácie a nasadenia spoločných modulov a ďalších elektronických prostriedkov komunikácie, ako aj vzhľadom na to, že v určitom rozsahu existuje výkon verejnej moci elektronicky aj v súčasnosti, konkrétne cieľové odhadované finančné dosahy  budú závislé na stave realizácie konkrétnych projektov. 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V budúcnosti, t.j. až po zabezpečení všetkých krokov k úplnej elektronizácii administratívnych procesov, možno  očakávať úsporu rozpočtových nákladov verejnej správy, a to nákladov na, archívne kapacity, kancelársky spotrebný materiál atď.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Dôsledkom zjednotenia pravidiel pre prístup k údajom, bude jednoduchšie prepojenie informačných systémov, a tým lacnejšia realizácia povinností na zdieľanie údajov, ktoré budú vychádzať z rôznych právnych predpisov, a ktorých cieľom je odstránenie byrokratickej záťaže právnických a fyzických osôb.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2.3. Popis a charakteristika návrhu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2.3.1. Popis návrhu:</w:t>
      </w:r>
      <w:r w:rsidRPr="00F1235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Cieľom návrhu zákona je vytvorenie funkčného modelu elektronických služieb orgánov verejnej správy a verejnej moci a prepojenie základných registrov verejnej správy. Návrh zákona vytvára spoločné modelové rozhranie pre interoperabilitu a využívanie údajov z nich za účelom jednotného spôsobu využívania spravovaných dát, ktoré sa v nich nachádzajú. Využitie elektronických osobných schránok umožní zníženie papierovej agendy a jej plnoprávne prevedenie na elektronickú formu. Znamená to odbremenenie administratívy verejnej moci a zrýchlenie procesov z pohľadu občanov i podnikateľského sektora. 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Zákon podporí rozšírenie využívania zaručeného elektronického podpisu na všetky služby eGovernmentu ako základného verifikačného nástroja elektronickej komunikácie s verejnou správou. Jeho plošné zavedenie bude technickou a organizačnou úlohou verejnej správy.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Veľmi významnou spoločenskou črtou zavŕšenia procesu elektronizácie verejnej správy bude využívanie zdieľania dát, a tým zvýšenie komfortu občanov aj podnikateľských subjektov pri styku s úradmi a obmedzenie zbytočnej byrokracie spôsobené opakovaným prenosom rovnakých údajov rôznym úradom, ktoré ich vyžadujú. Súčasne sa bude redukovať nutnosť predkladania dokladov v listinnej forme, ktoré si príslušný orgán verejnej správy a verejnej moci bude môcť obstarať sám z registrov verejnej správy a verejnej moci a prípadne aj iných informačných systémov vedených inými orgánmi verejnej moci.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2.3.2. Charakteristika návrhu podľa bodu  2.3.2. Metodiky :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 w:val="0"/>
          <w:szCs w:val="24"/>
        </w:rPr>
      </w:pPr>
      <w:r w:rsidRPr="00F12352">
        <w:rPr>
          <w:rFonts w:ascii="Times New Roman" w:hAnsi="Times New Roman"/>
          <w:b w:val="0"/>
          <w:szCs w:val="24"/>
          <w:bdr w:val="single" w:sz="4" w:space="0" w:color="auto"/>
        </w:rPr>
        <w:t xml:space="preserve">  X   </w:t>
      </w:r>
      <w:r w:rsidRPr="00F12352">
        <w:rPr>
          <w:rFonts w:ascii="Times New Roman" w:hAnsi="Times New Roman"/>
          <w:b w:val="0"/>
          <w:szCs w:val="24"/>
        </w:rPr>
        <w:t xml:space="preserve">  nová služba alebo nariadenie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2.3.4. Výpočty vplyvov na verejné financie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Návrh zákona bude mať z dôvodu realizácie projektov informatizácie spoločnosti výrazný hospodársky a finančný dosah, a to na verejné financie formou vstupných nárokov na výdavky štátneho rozpočtu, ktoré budú spojené s potrebou orgánov verejnej moci zabezpečiť možnosť využívania elektronických prostriedkov pri výkone verejnej moci a rovnako bude mať vplyv aj formou udržiavacích nákladov na chod jednotlivých služieb elektronickej verejnej správy. Výdavky si jednotlivé inštitúcie uplatnia v rámci príslušnej rozpočtovej kapitoly a rozpisu východísk rozpočtu verejnej správy na roky 2014 až 2016 na základe predložených požiadaviek. Schválená výška výdavkov bude zabezpečená v rozpočte príslušnej kapitoly.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Prínosom bude lepší výkon verejnej moci, založený na rýchlom a účelnom zdieľaní dát, kde možno očakávať celkové zníženie nákladov na získavanie údajov, napríklad o podnikateľských subjektoch, vrátane zníženia s tým súvisiacich administratívnych a materiálových nákladov. Súčasne dôjde ku skvalitneniu obsahu informačných systémov verejnej správy, a tým aj výkonu verejnej moci. </w:t>
      </w:r>
    </w:p>
    <w:p w:rsidR="00F12352" w:rsidRPr="00F12352" w:rsidP="00F12352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</w:rPr>
        <w:t xml:space="preserve">Reálny rast nákladov sa vzhľadom na predpokladanú účinnosť zákona predpokladá až od roku 2014. To zakladá nárok na hospodárenie verejnoprávnych inštitúcií a tiež nárok na štátny rozpočet prostredníctvom financovania zriadenia jednotlivých spoločných modulov, na ktoré sú naviazané projekty rozvoja IKT a takisto v prípade zriadenia a prevádzkovania nových registrov. Výdavky spojené s realizáciou zákona budú zabezpečené z Operačného programu Informatizácia spoločnosti (1. prioritná os) a v rámci schválených limitov výdavkov jednotlivých kapitol štátneho rozpočtu na príslušný rozpočtový rok. </w:t>
      </w:r>
    </w:p>
    <w:p w:rsidR="00F12352" w:rsidRPr="00F12352" w:rsidP="00F123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F12352">
        <w:rPr>
          <w:rFonts w:ascii="Times New Roman" w:hAnsi="Times New Roman"/>
        </w:rPr>
        <w:t xml:space="preserve">V zmysle uznesenia vlády SR </w:t>
      </w:r>
      <w:r w:rsidRPr="00F12352">
        <w:rPr>
          <w:rFonts w:ascii="Times New Roman" w:hAnsi="Times New Roman"/>
          <w:bCs/>
        </w:rPr>
        <w:t xml:space="preserve">č. 387 </w:t>
      </w:r>
      <w:r w:rsidRPr="00F12352">
        <w:rPr>
          <w:rFonts w:ascii="Times New Roman" w:hAnsi="Times New Roman"/>
        </w:rPr>
        <w:t xml:space="preserve">z 30. júla 2012  </w:t>
      </w:r>
      <w:r w:rsidRPr="00F12352">
        <w:rPr>
          <w:rFonts w:ascii="Times New Roman" w:hAnsi="Times New Roman"/>
          <w:bCs/>
        </w:rPr>
        <w:t>k Správe o makroekonomickom vývoji a vývoji verejných financií za prvý polrok 2012 a predikcii vývoja do konca roka bolo v bode C. 1 ministrovi financií SR uložené viazať v kapitolách štátneho rozpočtu prostriedky v objeme 120 mil. eur a v bode D. 2 primátorom miest, starostom obcí a predsedom vyšších územných celkov odporučené prispôsobovať v záujme konsolidácie verejných financií výdavky miest, obcí a vyšších územných celkov vývoju ich príjmov. Uvedené opatrenie je záväzným limitom pre zamedzenie zvyšovania nákladov na bežnú prevádzku i investičné projekty, nekryté schválenými rozpočtovými opatreniami.</w:t>
      </w:r>
    </w:p>
    <w:p w:rsidR="00F12352" w:rsidRPr="00F12352" w:rsidP="00F12352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F12352" w:rsidRPr="00F12352" w:rsidP="00F12352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  <w:bCs/>
        </w:rPr>
        <w:t xml:space="preserve">Všetky moduly Ústredného portálu verejnej správy ako aj všetky referenčné registre sú v správe ústredných orgánov verejnej správy (ÚOŠS). Ich tvorba a prevádzka je krytá z rozpočtovej kapitoly príslušného ÚOŠS, preto sa územnej samosprávy uvedené náklady priamo netýkajú. </w:t>
      </w:r>
      <w:r w:rsidRPr="00F12352">
        <w:rPr>
          <w:rFonts w:ascii="Times New Roman" w:hAnsi="Times New Roman"/>
        </w:rPr>
        <w:t xml:space="preserve">Orgány územnej samosprávy sú do systému elektronickej verejnej správy osobitne zapojené najmä Národným projektom Dátového centra miest a obcí. </w:t>
      </w:r>
    </w:p>
    <w:p w:rsidR="00F12352" w:rsidRPr="00F12352" w:rsidP="00F12352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</w:rPr>
        <w:t>K realizácii niektorých ustanovení zákona sú využívané nástroje, ktoré už v súčasnosti slúžia na realizáciu povinností vyplývajúcich z iných predpisov. Týmito nástrojmi sú napríklad elektronický podpis a elektronická podateľňa, ktoré sú orgány povinné využívať na základe zákona o elektronickom podpise a procesných predpisoch upravujúcich výkon ich pôsobnosti.</w:t>
      </w:r>
    </w:p>
    <w:p w:rsidR="00F12352" w:rsidRPr="00F12352" w:rsidP="00F12352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</w:rPr>
      </w:pPr>
      <w:r w:rsidRPr="00F12352">
        <w:rPr>
          <w:rFonts w:ascii="Times New Roman" w:hAnsi="Times New Roman"/>
        </w:rPr>
        <w:t>Obstarávacie náklady na IKT sú už v súčasnosti vo väčšine preinvestované v rámci obnovy životného cyklu, a  napr. "logovanie" prístupu k dátam a uchovávanie záznamov o ňom je štandardnou súčasťou moderného zabezpečenia informačného systému, a preto je možné tieto náklady uhradiť účelnou alokáciou prostriedkov v rámci obnovy životného cyklu informačných systémov.</w:t>
      </w:r>
    </w:p>
    <w:p w:rsidR="00F12352" w:rsidP="00F12352">
      <w:pPr>
        <w:bidi w:val="0"/>
        <w:ind w:firstLine="708"/>
        <w:jc w:val="both"/>
        <w:rPr>
          <w:rStyle w:val="spanr"/>
          <w:rFonts w:ascii="Times New Roman" w:hAnsi="Times New Roman"/>
          <w:bCs/>
          <w:sz w:val="24"/>
          <w:szCs w:val="24"/>
          <w:lang w:val="sk-SK"/>
        </w:rPr>
      </w:pPr>
      <w:r w:rsidRPr="00F12352">
        <w:rPr>
          <w:rStyle w:val="spanr"/>
          <w:rFonts w:ascii="Times New Roman" w:hAnsi="Times New Roman"/>
          <w:bCs/>
          <w:sz w:val="24"/>
          <w:szCs w:val="24"/>
          <w:lang w:val="sk-SK"/>
        </w:rPr>
        <w:t xml:space="preserve">Vzhľadom na fakt, že vláda SR schválila svojim uznesením č. 561 zo 17. 10. 2012 </w:t>
      </w:r>
      <w:r w:rsidRPr="00F12352">
        <w:rPr>
          <w:rStyle w:val="spanr"/>
          <w:rFonts w:ascii="Times New Roman" w:hAnsi="Times New Roman"/>
          <w:bCs/>
          <w:i/>
          <w:sz w:val="24"/>
          <w:szCs w:val="24"/>
          <w:lang w:val="sk-SK"/>
        </w:rPr>
        <w:t>Návrh nového systému platenia, evidencie a zúčtovania správnych, a súdnych poplatkov</w:t>
      </w:r>
      <w:r w:rsidRPr="00F12352">
        <w:rPr>
          <w:rStyle w:val="spanr"/>
          <w:rFonts w:ascii="Times New Roman" w:hAnsi="Times New Roman"/>
          <w:bCs/>
          <w:sz w:val="24"/>
          <w:szCs w:val="24"/>
          <w:lang w:val="sk-SK"/>
        </w:rPr>
        <w:t>, ktorý predstavuje komplexný spôsob úhrady správnych a súdnych poplatkov, z toho dôvodu neobsahuje návrh tohto zákona úpravu elektronického platenia týchto poplatkov. Z uvedeného dôvodu sa nepredpokladá rast príjmov štátneho rozpočtu zo správnych a súdnych poplatkov zabezpečovaných prostredníctvom návrhu tohto zákona.</w:t>
      </w:r>
    </w:p>
    <w:p w:rsidR="00F12352" w:rsidP="00F12352">
      <w:pPr>
        <w:bidi w:val="0"/>
        <w:ind w:firstLine="708"/>
        <w:jc w:val="both"/>
        <w:rPr>
          <w:rStyle w:val="spanr"/>
          <w:rFonts w:ascii="Times New Roman" w:hAnsi="Times New Roman"/>
          <w:bCs/>
          <w:sz w:val="24"/>
          <w:szCs w:val="24"/>
          <w:lang w:val="sk-SK"/>
        </w:rPr>
      </w:pPr>
    </w:p>
    <w:p w:rsidR="00F12352" w:rsidP="00F12352">
      <w:pPr>
        <w:bidi w:val="0"/>
        <w:ind w:firstLine="708"/>
        <w:jc w:val="both"/>
        <w:rPr>
          <w:rStyle w:val="spanr"/>
          <w:rFonts w:ascii="Times New Roman" w:hAnsi="Times New Roman"/>
          <w:bCs/>
          <w:sz w:val="24"/>
          <w:szCs w:val="24"/>
          <w:lang w:val="sk-SK"/>
        </w:rPr>
      </w:pPr>
    </w:p>
    <w:p w:rsidR="00F12352" w:rsidRPr="00F12352" w:rsidP="00F12352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>Tabuľka č. 4</w:t>
      </w:r>
    </w:p>
    <w:tbl>
      <w:tblPr>
        <w:tblStyle w:val="TableNormal"/>
        <w:tblpPr w:leftFromText="141" w:rightFromText="141" w:vertAnchor="text" w:horzAnchor="margin" w:tblpXSpec="center" w:tblpY="145"/>
        <w:tblW w:w="10560" w:type="dxa"/>
        <w:tblCellMar>
          <w:left w:w="70" w:type="dxa"/>
          <w:right w:w="70" w:type="dxa"/>
        </w:tblCellMar>
      </w:tblPr>
      <w:tblGrid>
        <w:gridCol w:w="4183"/>
        <w:gridCol w:w="739"/>
        <w:gridCol w:w="1194"/>
        <w:gridCol w:w="1195"/>
        <w:gridCol w:w="1263"/>
        <w:gridCol w:w="1986"/>
      </w:tblGrid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Výdavky (v tis. eur)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Vplyv na rozpočet verejnej správy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poznámka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2016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Bežné výdavky (600)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2 300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7 100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7 816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6 900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Poistné a príspevok do poisťovní (620)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Tovary a služby (630)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6 350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6 966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7 000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Bežné transfery (640)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750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Splácanie úrokov a ostatné platby súvisiace s úvermi, pôžičkami a NFV (650)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Kapitálové výdavky (700)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9 327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31 148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20 998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16 990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Obstarávanie kapitálových aktív (710)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7 210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25 648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15 314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11 090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Kapitálové transfery (720)</w:t>
            </w:r>
            <w:r w:rsidRPr="00F12352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2 117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5 500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5 684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5 900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Dopad na výdavky verejnej správy celkom</w:t>
            </w:r>
          </w:p>
        </w:tc>
        <w:tc>
          <w:tcPr>
            <w:tcW w:w="739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12 627</w:t>
            </w:r>
          </w:p>
        </w:tc>
        <w:tc>
          <w:tcPr>
            <w:tcW w:w="1194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         41 248</w:t>
            </w:r>
          </w:p>
        </w:tc>
        <w:tc>
          <w:tcPr>
            <w:tcW w:w="1195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         31 814</w:t>
            </w:r>
          </w:p>
        </w:tc>
        <w:tc>
          <w:tcPr>
            <w:tcW w:w="1263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          25 890</w:t>
            </w:r>
          </w:p>
        </w:tc>
        <w:tc>
          <w:tcPr>
            <w:tcW w:w="1986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 z toho výdavky na ŠR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11 627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38 248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28 814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23 890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     Bežné výdavky</w:t>
            </w: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(600)</w:t>
            </w: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2 300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7 100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7 816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6 900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              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     Kapitálové výdavky (700)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9 327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31 148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20 998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16 990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ab/>
        <w:tab/>
        <w:tab/>
        <w:tab/>
        <w:tab/>
        <w:tab/>
        <w:tab/>
        <w:tab/>
        <w:tab/>
        <w:tab/>
      </w: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ab/>
        <w:tab/>
        <w:tab/>
        <w:tab/>
        <w:tab/>
        <w:tab/>
        <w:tab/>
        <w:tab/>
        <w:tab/>
        <w:tab/>
        <w:tab/>
      </w: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>Tabuľka č. 5</w:t>
      </w: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2806"/>
        <w:tblW w:w="10560" w:type="dxa"/>
        <w:tblCellMar>
          <w:left w:w="70" w:type="dxa"/>
          <w:right w:w="70" w:type="dxa"/>
        </w:tblCellMar>
      </w:tblPr>
      <w:tblGrid>
        <w:gridCol w:w="4465"/>
        <w:gridCol w:w="1134"/>
        <w:gridCol w:w="1134"/>
        <w:gridCol w:w="1134"/>
        <w:gridCol w:w="1134"/>
        <w:gridCol w:w="1559"/>
      </w:tblGrid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Príjmy (v tis. eur)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Vplyv na rozpočet verejnej správy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poznámka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Daňové príjmy (100)</w:t>
            </w:r>
            <w:r w:rsidRPr="00F1235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Nedaňové príjmy (200)</w:t>
            </w:r>
            <w:r w:rsidRPr="00F1235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sk-SK"/>
              </w:rPr>
              <w:t xml:space="preserve">1 </w:t>
            </w: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221004 -  správne poplatky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Granty a transfery (300)</w:t>
            </w:r>
            <w:r w:rsidRPr="00F1235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56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</w:t>
            </w:r>
          </w:p>
        </w:tc>
      </w:tr>
    </w:tbl>
    <w:p w:rsid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RPr="00F12352" w:rsidP="00F12352">
      <w:pPr>
        <w:pStyle w:val="BodyText"/>
        <w:tabs>
          <w:tab w:val="num" w:pos="1080"/>
        </w:tabs>
        <w:bidi w:val="0"/>
        <w:ind w:right="-578"/>
        <w:jc w:val="both"/>
        <w:rPr>
          <w:rFonts w:ascii="Times New Roman" w:hAnsi="Times New Roman"/>
          <w:b w:val="0"/>
          <w:bCs/>
          <w:szCs w:val="24"/>
        </w:rPr>
      </w:pPr>
    </w:p>
    <w:p w:rsidR="00F12352" w:rsidRPr="00F12352" w:rsidP="00F12352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 xml:space="preserve">Tabuľka č. 6  </w:t>
      </w:r>
    </w:p>
    <w:p w:rsidR="00F12352" w:rsidRPr="00F12352" w:rsidP="00F1235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F12352" w:rsidRPr="00F12352" w:rsidP="00F1235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F12352">
        <w:rPr>
          <w:rFonts w:ascii="Times New Roman" w:hAnsi="Times New Roman"/>
          <w:b w:val="0"/>
          <w:bCs/>
          <w:szCs w:val="24"/>
        </w:rPr>
        <w:t xml:space="preserve">            </w:t>
      </w:r>
    </w:p>
    <w:tbl>
      <w:tblPr>
        <w:tblStyle w:val="TableNormal"/>
        <w:tblW w:w="10657" w:type="dxa"/>
        <w:tblInd w:w="-522" w:type="dxa"/>
        <w:tblCellMar>
          <w:left w:w="70" w:type="dxa"/>
          <w:right w:w="70" w:type="dxa"/>
        </w:tblCellMar>
      </w:tblPr>
      <w:tblGrid>
        <w:gridCol w:w="4625"/>
        <w:gridCol w:w="762"/>
        <w:gridCol w:w="1275"/>
        <w:gridCol w:w="1134"/>
        <w:gridCol w:w="1134"/>
        <w:gridCol w:w="1727"/>
      </w:tblGrid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Zamestnanosť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Vplyv na rozpočet verejnej správy (v tis. eur)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poznámka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2016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Počet zamestnancov celkom*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Priemerný mzdový výdavok (v eurách)*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Mzdy, platy, služobné príjmy a ostatné osobné vyrovnania (610)*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Poistné a príspevok do poisťovní (620)*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</w:tbl>
    <w:p w:rsidR="00F12352" w:rsidRPr="00F12352" w:rsidP="00F12352">
      <w:pPr>
        <w:bidi w:val="0"/>
        <w:ind w:left="-567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F12352">
        <w:rPr>
          <w:rFonts w:ascii="Times New Roman" w:hAnsi="Times New Roman"/>
          <w:bCs/>
          <w:i/>
          <w:sz w:val="24"/>
          <w:szCs w:val="24"/>
          <w:lang w:val="sk-SK"/>
        </w:rPr>
        <w:t>*Mzdové náklady sú marginálne, pretože o</w:t>
      </w:r>
      <w:r w:rsidRPr="00F12352">
        <w:rPr>
          <w:rFonts w:ascii="Times New Roman" w:hAnsi="Times New Roman"/>
          <w:i/>
          <w:sz w:val="24"/>
          <w:szCs w:val="24"/>
          <w:lang w:val="sk-SK"/>
        </w:rPr>
        <w:t>bslužné činnosti budú v absolútnej väčšine vykonávať preškolení súčasní pracovníci povinných osôb (orgánov verejnej správy a verejnej moci).</w:t>
      </w: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Vplyvy na podnikateľské prostredie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3.1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. Ktoré podnikateľské subjekty budú predkladaným návrhom ovplyvnené a aký je ich počet?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Všetky podnikateľské subjekty v SR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3.2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. Aký je predpokladaný charakter a rozsah nákladov a prínosov?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- Prínosy: Zjednotenia  komunikačných kanálov komunikácie s verejnými orgánmi, rýchlosť, transparentnosť procesov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- Náklady na poštovné služby, na zvýšenie úrovne informačnej bezpečnosti, aktualizáciu webových služieb, opravu chybových dát, pravidelnú aktualizáciu dát v IS, zodpovednostné krytie spôsobených škôd resp. pokuty pri nedodržiavaní povinností.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  <w:lang w:val="sk-SK"/>
              </w:rPr>
              <w:t>Navrhovaná úprava zaručenej konverzie bude z hľadiska podnikateľského prostredia predstavovať na jednej strane náklady, ale aj racionalizáciu časových a priestorových kapacít spojených s archivovaním konvertovaných dokumentov do elektronickej podoby.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3.3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F12352" w:rsidRPr="00F12352" w:rsidP="00F12352">
            <w:pPr>
              <w:bidi w:val="0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 Bežné náklady na udržiavanie internetového pripojenia (broadband) a na nákup/aktualizáciu nevyhnutných softvérových produktov, v prípade doterajšieho nevybavenia subjektu výpočtovou technikou aj nákup hardvéru.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3.4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F12352" w:rsidRPr="00F12352" w:rsidP="00F12352">
            <w:pPr>
              <w:bidi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Výrazne pozitívne dôsledky budú v oblasti zvýšenia efektivity komunikácie s verejnou správou, transparentnosti a odstraňovaním administratívnej náročnosti procesov a z toho vyplývajúceho zvyšovania podpory podnikateľskému prostrediu, vo zvýšení úrovne bezpečnosti elektronickej komunikácie s verejnými orgánmi.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3.5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. Aké sú predpokladané spoločensko – ekonomické dôsledky pripravovaných regulácií?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Výrazné odstránenie administratívnej náročnosti procesov pri komunikácii s verejnými orgánmi.</w:t>
            </w:r>
          </w:p>
        </w:tc>
      </w:tr>
    </w:tbl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sz w:val="24"/>
          <w:szCs w:val="24"/>
          <w:lang w:val="sk-SK"/>
        </w:rPr>
        <w:t>Sociálne vplyvy -  vplyvy na hospodárenie obyvateľstva, sociálnu exklúziu, rovnosť príležitostí a rodovú rovnosť  a na zamestnanosť</w:t>
      </w: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377" w:type="dxa"/>
        <w:jc w:val="center"/>
        <w:tblInd w:w="-362" w:type="dxa"/>
        <w:tblCellMar>
          <w:left w:w="70" w:type="dxa"/>
          <w:right w:w="70" w:type="dxa"/>
        </w:tblCellMar>
      </w:tblPr>
      <w:tblGrid>
        <w:gridCol w:w="5237"/>
        <w:gridCol w:w="4140"/>
      </w:tblGrid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4.1.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Nebude mať negatívny dosah na rast výdavkov obyvateľa/domácnosti. Pokles výdavkov bude v prípade využitia elektronických platieb za verejné služby.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Počet dotknutých obyvateľov a domácností je identický s okruhom žiadateľov o služby elektronického výkonu verejnej moci.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      za jednotlivé ovplyvnené  skupiny domácností</w:t>
            </w:r>
          </w:p>
          <w:p w:rsidR="00F12352" w:rsidRPr="00F12352" w:rsidP="00F12352">
            <w:pPr>
              <w:bidi w:val="0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4.2.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Zrýchlenie prístupu k službám v dôsledku využívania elektronickej komunikácie ako rýchleho komunikačného nástroja. </w:t>
            </w: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4.3.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Zhodnoťte vplyv na rovnosť príležitostí: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Zhodnoťte vplyv na rodovú rovnosť.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Bude mať pozitívny vplyv na rovnosť príležitostí, nakoľko zavedením elektronických služieb sa uľahčí prístup k službám napr. občanom so zdravotným alebo iným postihnutím.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377" w:type="dxa"/>
          <w:jc w:val="center"/>
          <w:tblInd w:w="-362" w:type="dxa"/>
          <w:tblCellMar>
            <w:left w:w="70" w:type="dxa"/>
            <w:right w:w="70" w:type="dxa"/>
          </w:tblCellMar>
        </w:tblPrEx>
        <w:trPr>
          <w:trHeight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4.4. 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Zhodnoťte vplyvy na zamestnanosť.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Aké sú  vplyvy na zamestnanosť ?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Ktoré skupiny zamestnancov budú ohrozené schválením predkladaného materiálu ?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Nebude mať negatívny dosah na zamestnanosť.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Pozitívny dosah na zamestnanosť sa predpokladá v oblasti vysokej racionalizácie využitia existujúcich pracovných síl pre zavádzanie elektronických procesov verejnej správy a zvýšenia ich odborných zručností..</w:t>
            </w:r>
          </w:p>
        </w:tc>
      </w:tr>
    </w:tbl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</w:p>
    <w:p w:rsidR="00F12352" w:rsidRPr="00F12352" w:rsidP="00F12352">
      <w:pPr>
        <w:pStyle w:val="BodyText"/>
        <w:bidi w:val="0"/>
        <w:jc w:val="both"/>
        <w:rPr>
          <w:rFonts w:ascii="Times New Roman" w:hAnsi="Times New Roman"/>
          <w:bCs/>
          <w:szCs w:val="24"/>
        </w:rPr>
      </w:pPr>
      <w:r w:rsidRPr="00F12352">
        <w:rPr>
          <w:rFonts w:ascii="Times New Roman" w:hAnsi="Times New Roman"/>
          <w:bCs/>
          <w:szCs w:val="24"/>
        </w:rPr>
        <w:t>Vplyvy na informatizáciu spoločnosti</w:t>
      </w:r>
    </w:p>
    <w:p w:rsidR="00F12352" w:rsidRPr="00F12352" w:rsidP="00F1235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4136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Obsah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Áno, zavádzajú sa spoločné moduly, základné registre, posilňuje sa význam prístupových miest   ako miest jednotného kontaktu pri realizácii služieb  verejných orgánov, čím sa rozšíri, zefektívni a skvalitní prístup verejnosti k elektronickým službám verejných orgánov.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Úroveň IV (transakčná).</w:t>
            </w:r>
          </w:p>
          <w:p w:rsidR="00F12352" w:rsidRPr="00F12352" w:rsidP="00F12352">
            <w:pPr>
              <w:bidi w:val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6.2.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Vytvárajú sa podmienky pre sémantickú interoperabilitu?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(Popíšte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Áno, 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predmetom úpravy návrhu zákona sú aj pravidlá prepojiteľnosti ISVS.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Ľudia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6.3.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Zabezpečuje sa vzdelávanie v oblasti počítačovej gramotnosti a rozširovanie vedomostí o IKT?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Nie,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zákon je zameraný na správcov a prevádzkovateľov ISVS povinných osôb, zabezpečujúcich v rámci svojej vnútornej organizácie aj prevádzku IS, vzdelanie pracovníkov v oblasti IKT vyplýva z ich pracovného zaradenia. U používateľskej verejnosti sa týmto zákonom nepredpokladá štátom zabezpečované IKT vzdelávanie na tieto účely.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6.4.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Zabezpečuje sa rozvoj elektronického vzdelávania?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Nie.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6.5.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hoci zákon je technicko-procesnou normou zameranou na IT architektúru verejnej správy, propagácia je nevyhnutná pre rozšírenie používania e-služieb.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6.6.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prostredníctvom technických štandardov prístupnosti a využívaním tzv. prístupových miest  sa zlepšuje ich prístupnosť k službám verejnej správy a verejnej moci.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Infraštruktúra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6.7.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Rozširuje, inovuje, vytvára alebo zavádza sa nový informačný systém?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jeho funkciu.)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zákon predpokladá vytvorenie a zavádzanie viacerých nových ISVS, napr. spoločné moduly UPVS, a pod. Zároveň sa zvýrazňuje potreba rozširovania existujúcich ISVS, aktualizácie relevantných ISVS, spoločných modulov a ich nástrojov, napr. vlastných formulárov povinných osôb potrebných na primárnu komunikáciu občanov s orgánmi verejnej moci.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6.8.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Rozširuje sa prístupnosť k internetu?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Áno, prostredníctvom širokopásmového internetu sa rozširuje okruh poskytujúcich subjektov a rozsah poskytovaných služieb, ako napr. JKM, IOM. 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6.9.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Rozširuje sa prístupnosť k elektronickým službám?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rozširuje sa okruh poskytujúcich subjektov a rozsah poskytovaných služieb. Posilňuje sa význam prístupových miest  ako miest jednotného kontaktu pri realizácii služieb  verejných orgánov.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6.10.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Zabezpečuje sa technická interoperabilita?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prostredníctvom štandardov pre ISVS sa zabezpečuje rozšírená úroveň interoperability.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6.11.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Zvyšuje sa bezpečnosť IT?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(</w:t>
            </w: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Uveďte spôsob zvýšenia bezpečnosti a ochrany IT.)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Áno, prostredníctvom povinností správcov a prevádzkovateľov ISVS. 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Bezpečnosť a ochranu digitálneho prostredia je možné zlepšiť na programovej úrovni (softvérovej) alebo technickej (hardvérovej).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6.12.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Rozširuje sa technická infraštruktúra?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>(</w:t>
            </w: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Uveďte stručný popis zavádzanej infraštruktúry.)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 xml:space="preserve">Áno, </w:t>
            </w:r>
          </w:p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podmienkou pre zavedenie nových prvkov a služieb verejnej správy je rozšírenie technickej infraštruktúry.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Riadenie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6.13.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Predpokladajú sa zmeny v riadení procesu informatizácie?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(Uveďte popis zmien.)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Nie, kompetenčné zmeny na úrovni zákonov sa nepredpokladajú. Zmeny sa predpokladajú iba na úrovni zriaďovania ISVS a gestorstva základných registrov a modulov v kompetencii príslušných prevádzkovateľov.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Financovanie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6.14.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Vyžaduje si proces informatizácie  finančné investície?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Áno, hlavne z prostriedkov OPIS na projekty 1. prioritnej osi a tiež čiastočne v rámci rozpočtových kapitol jednotlivých povinných osôb. Do výšky 85 % financovaných v rámci OPIS.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31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6.15.</w:t>
            </w:r>
            <w:r w:rsidRPr="00F1235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F12352" w:rsidRPr="00F12352" w:rsidP="00F1235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352" w:rsidRPr="00F12352" w:rsidP="00F12352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  <w:lang w:val="sk-SK"/>
              </w:rPr>
            </w:pPr>
            <w:r w:rsidRPr="00F12352">
              <w:rPr>
                <w:rFonts w:ascii="Times New Roman" w:hAnsi="Times New Roman"/>
                <w:iCs/>
                <w:sz w:val="24"/>
                <w:szCs w:val="24"/>
                <w:lang w:val="sk-SK"/>
              </w:rPr>
              <w:t>Nejde o nelegislatívny materiál.</w:t>
            </w:r>
          </w:p>
        </w:tc>
      </w:tr>
    </w:tbl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Doložka zlučiteľnosti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návrhu právneho predpisu s právom Európskej únie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 xml:space="preserve">1. Predkladateľ právneho predpisu: 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Vláda Slovenskej republiky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2. Názov návrhu právneho predpisu: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Návrh zákona 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>o elektronickej podobe výkonu pôsobnosti orgánov verejnej moci a o zmene a doplnení niektorých zákonov (zákon o e-Governmente)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spacing w:before="100"/>
        <w:ind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3. Problematika návrhu právneho predpisu: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spacing w:before="100"/>
        <w:ind w:left="709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a) je upravená v práve Európskej únie,</w:t>
      </w:r>
    </w:p>
    <w:p w:rsidR="00F12352" w:rsidRPr="00F12352" w:rsidP="00F12352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Návrh zákona 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 xml:space="preserve">o elektronickej podobe výkonu pôsobnosti orgánov verejnej moci </w:t>
      </w:r>
      <w:r w:rsidRPr="00F12352">
        <w:rPr>
          <w:rFonts w:ascii="Times New Roman" w:hAnsi="Times New Roman"/>
          <w:sz w:val="24"/>
          <w:szCs w:val="24"/>
          <w:lang w:val="sk-SK"/>
        </w:rPr>
        <w:t xml:space="preserve">priamo nepreberá ani neimplementuje žiadne právne záväzné akty EÚ. V článku III tohto zákona (novela zákona o elektronickom podpise) sa upravujú ustanovenia, ktoré súvisia s aktmi EÚ v oblasti elektronického podpisu, ale priamo ich nepreberajú ani neimplementujú: Smernica Európskeho parlamentu a Rady č. 1999/93/ES z 13. decembra 1999 o rámci spoločenstva pre elektronické podpisy, Rozhodnutie Komisie 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>zo 16. októbra 2009, ktorým sa ustanovujú opatrenia na uľahčenie postupov elektronickými spôsobmi prostredníctvom „miest jednotného kontaktu“ podľa smernice Európskeho parlamentu a Rady 2006/123/ES o službách na vnútornom trhu.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spacing w:before="100"/>
        <w:ind w:left="709"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b) nie je obsiahnutá v judikatúre Súdneho dvora Európskej únie.</w:t>
        <w:tab/>
      </w: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spacing w:before="100"/>
        <w:ind w:left="709"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360" w:right="-6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 xml:space="preserve">4. Záväzky Slovenskej republiky vo vzťahu k Európskej únii: 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>a)</w:t>
        <w:tab/>
        <w:t xml:space="preserve">lehota na prebratie smernice alebo lehota na implementáciu nariadenia alebo </w:t>
        <w:tab/>
        <w:tab/>
        <w:t>rozhodnutia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8" w:right="-6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bezpredmetné </w:t>
        <w:tab/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5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b)</w:t>
        <w:tab/>
        <w:t xml:space="preserve">lehota určená na predloženie návrhu právneho predpisu na rokovanie vlády podľa </w:t>
        <w:tab/>
        <w:t>určenia gestorských ústredných orgánov štátnej správy zodpovedných za transpozíciu smerníc a vypracovanie tabuliek zhody k návrhom všeobecne záväzných právnych predpisov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ab/>
        <w:t>bezpredmetné 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09" w:right="-6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>c)</w:t>
        <w:tab/>
        <w:t>informácia o konaní začatom proti Slovenskej republike o porušení podľa čl. 258 až 260 Zmluvy o fungovaní Európskej únie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left="720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>proti Slovenskej republike nebolo začaté konanie o porušení čl. 258 až 260 Zmluvy o fungovaní Európskej únie 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d)</w:t>
        <w:tab/>
        <w:t xml:space="preserve">informácia o právnych predpisoch, v ktorých sú preberané smernice už </w:t>
        <w:tab/>
        <w:tab/>
        <w:tab/>
        <w:t>prebraté spolu s uvedením rozsahu tohto prebratia</w:t>
      </w:r>
    </w:p>
    <w:p w:rsidR="00F12352" w:rsidRPr="00F12352" w:rsidP="00F12352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>- Smernica Európskeho parlamentu a Rady č. 1999/93/ES z 13. decembra 1999 o rámci spoločenstva pre elektronické podpisy. Uvedená smernica je plne transponovaná do zákona č. 215/2002 Z. z.  o elektronickom podpise.</w:t>
      </w:r>
    </w:p>
    <w:p w:rsidR="00F12352" w:rsidRPr="00F12352" w:rsidP="00F12352">
      <w:pPr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 xml:space="preserve">- Rozhodnutie Komisie </w:t>
      </w:r>
      <w:r w:rsidRPr="00F12352">
        <w:rPr>
          <w:rFonts w:ascii="Times New Roman" w:hAnsi="Times New Roman"/>
          <w:bCs/>
          <w:sz w:val="24"/>
          <w:szCs w:val="24"/>
          <w:lang w:val="sk-SK"/>
        </w:rPr>
        <w:t>zo 16. októbra 2009, ktorým sa ustanovujú opatrenia na uľahčenie postupov elektronickými spôsobmi prostredníctvom „miest jednotného kontaktu“ podľa smernice Európskeho parlamentu a Rady 2006/123/ES o službách na vnútornom trhu je technický prevádzkový predpis, podľa ktorého certifikačné orgány všetkých členského štátu EÚ postupujú. Samotná smernica č. 2006/123/ES  je plne transponovaná do zákona č. 136/2010 Z. z. o službách na vnútornom trhu a o zmene a doplnení niektorých zákonov.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>5. Stupeň zlučiteľnosti návrhu právneho predpisu s právom Európskej únie: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>Stupeň zlučiteľnosti - úplný </w:t>
      </w:r>
    </w:p>
    <w:p w:rsidR="00F12352" w:rsidRPr="00F12352" w:rsidP="00F12352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 xml:space="preserve">6. Gestor a spolupracujúce rezorty: </w:t>
      </w:r>
    </w:p>
    <w:p w:rsidR="00F12352" w:rsidRPr="00F12352" w:rsidP="00F12352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sz w:val="24"/>
          <w:szCs w:val="24"/>
          <w:lang w:val="sk-SK"/>
        </w:rPr>
        <w:tab/>
        <w:t>Ministerstvo financií Slovenskej republiky</w:t>
      </w:r>
      <w:r w:rsidRPr="00F12352">
        <w:rPr>
          <w:rFonts w:ascii="MS Mincho" w:eastAsia="MS Mincho" w:hAnsi="MS Mincho" w:cs="MS Mincho" w:hint="eastAsia"/>
          <w:sz w:val="24"/>
          <w:szCs w:val="24"/>
          <w:lang w:val="sk-SK"/>
        </w:rPr>
        <w:t> </w:t>
      </w:r>
      <w:r w:rsidRPr="00F12352">
        <w:rPr>
          <w:rFonts w:ascii="Times New Roman" w:hAnsi="Times New Roman"/>
          <w:sz w:val="24"/>
          <w:szCs w:val="24"/>
          <w:lang w:val="sk-SK"/>
        </w:rPr>
        <w:t> </w:t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12352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F12352" w:rsidRPr="00F12352" w:rsidP="00F12352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774C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p w:rsidR="00970486" w:rsidRPr="00F12352" w:rsidP="00F12352">
      <w:pPr>
        <w:widowControl w:val="0"/>
        <w:autoSpaceDE w:val="0"/>
        <w:autoSpaceDN w:val="0"/>
        <w:bidi w:val="0"/>
        <w:adjustRightInd w:val="0"/>
        <w:spacing w:after="280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</w:p>
    <w:sectPr w:rsidSect="00F12352">
      <w:pgSz w:w="12240" w:h="15840"/>
      <w:pgMar w:top="1440" w:right="1325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31422"/>
    <w:rsid w:val="00970486"/>
    <w:rsid w:val="00A31422"/>
    <w:rsid w:val="00F0774C"/>
    <w:rsid w:val="00F1235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1422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F12352"/>
    <w:pPr>
      <w:jc w:val="left"/>
    </w:pPr>
    <w:rPr>
      <w:b/>
      <w:sz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12352"/>
    <w:rPr>
      <w:rFonts w:cs="Times New Roman"/>
      <w:b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F12352"/>
    <w:pPr>
      <w:spacing w:after="120"/>
      <w:ind w:left="283"/>
      <w:jc w:val="left"/>
    </w:pPr>
    <w:rPr>
      <w:sz w:val="24"/>
      <w:szCs w:val="24"/>
      <w:lang w:val="sk-SK"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12352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F12352"/>
    <w:pPr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character" w:customStyle="1" w:styleId="spanr">
    <w:name w:val="span_r"/>
    <w:rsid w:val="00F12352"/>
  </w:style>
  <w:style w:type="character" w:customStyle="1" w:styleId="ppp-input-value1">
    <w:name w:val="ppp-input-value1"/>
    <w:rsid w:val="00F12352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15</Pages>
  <Words>4121</Words>
  <Characters>23495</Characters>
  <Application>Microsoft Office Word</Application>
  <DocSecurity>0</DocSecurity>
  <Lines>0</Lines>
  <Paragraphs>0</Paragraphs>
  <ScaleCrop>false</ScaleCrop>
  <Company>Abyss</Company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Strehar Ronald</cp:lastModifiedBy>
  <cp:revision>4</cp:revision>
  <dcterms:created xsi:type="dcterms:W3CDTF">2013-05-28T14:24:00Z</dcterms:created>
  <dcterms:modified xsi:type="dcterms:W3CDTF">2013-05-29T12:05:00Z</dcterms:modified>
</cp:coreProperties>
</file>