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193B" w:rsidRPr="005976B2" w:rsidP="00BF357F">
      <w:pPr>
        <w:pStyle w:val="BodyText"/>
        <w:bidi w:val="0"/>
        <w:jc w:val="center"/>
        <w:rPr>
          <w:rFonts w:ascii="Arial" w:hAnsi="Arial" w:cs="Arial"/>
          <w:b/>
          <w:bCs/>
          <w:iCs/>
          <w:sz w:val="32"/>
          <w:szCs w:val="32"/>
        </w:rPr>
      </w:pPr>
      <w:r w:rsidRPr="005976B2">
        <w:rPr>
          <w:rFonts w:ascii="Arial" w:hAnsi="Arial" w:cs="Arial"/>
          <w:b/>
          <w:bCs/>
          <w:iCs/>
          <w:sz w:val="32"/>
          <w:szCs w:val="32"/>
        </w:rPr>
        <w:t>NÁRODNÁ RADA SLOVENSKEJ REPUBLIKY</w:t>
      </w:r>
    </w:p>
    <w:p w:rsidR="00EC193B" w:rsidRPr="005976B2" w:rsidP="00BF357F">
      <w:pPr>
        <w:pStyle w:val="BodyText"/>
        <w:pBdr>
          <w:bottom w:val="single" w:sz="4" w:space="1" w:color="auto"/>
        </w:pBdr>
        <w:bidi w:val="0"/>
        <w:jc w:val="center"/>
        <w:rPr>
          <w:rFonts w:ascii="Arial" w:hAnsi="Arial" w:cs="Arial"/>
          <w:b/>
          <w:bCs/>
          <w:iCs/>
        </w:rPr>
      </w:pPr>
      <w:r w:rsidRPr="005976B2">
        <w:rPr>
          <w:rFonts w:ascii="Arial" w:hAnsi="Arial" w:cs="Arial"/>
          <w:b/>
          <w:bCs/>
          <w:iCs/>
        </w:rPr>
        <w:t>V</w:t>
      </w:r>
      <w:r w:rsidRPr="005976B2" w:rsidR="00DC37F3">
        <w:rPr>
          <w:rFonts w:ascii="Arial" w:hAnsi="Arial" w:cs="Arial"/>
          <w:b/>
          <w:bCs/>
          <w:iCs/>
        </w:rPr>
        <w:t>I</w:t>
      </w:r>
      <w:r w:rsidRPr="005976B2">
        <w:rPr>
          <w:rFonts w:ascii="Arial" w:hAnsi="Arial" w:cs="Arial"/>
          <w:b/>
          <w:bCs/>
          <w:iCs/>
        </w:rPr>
        <w:t>. volebné obdobie</w:t>
      </w:r>
    </w:p>
    <w:p w:rsidR="00EC193B" w:rsidRPr="005976B2" w:rsidP="00BF357F">
      <w:pPr>
        <w:pStyle w:val="BodyText"/>
        <w:bidi w:val="0"/>
        <w:rPr>
          <w:rFonts w:ascii="Arial" w:hAnsi="Arial" w:cs="Arial"/>
          <w:bCs/>
          <w:iCs/>
        </w:rPr>
      </w:pPr>
    </w:p>
    <w:p w:rsidR="00EC193B" w:rsidRPr="005976B2" w:rsidP="00BF357F">
      <w:pPr>
        <w:pStyle w:val="BodyText"/>
        <w:bidi w:val="0"/>
        <w:jc w:val="center"/>
        <w:rPr>
          <w:rFonts w:ascii="Arial" w:hAnsi="Arial" w:cs="Arial"/>
          <w:bCs/>
          <w:iCs/>
        </w:rPr>
      </w:pPr>
      <w:r w:rsidRPr="005976B2" w:rsidR="00BF357F">
        <w:rPr>
          <w:rFonts w:ascii="Arial" w:hAnsi="Arial" w:cs="Arial"/>
          <w:bCs/>
          <w:iCs/>
        </w:rPr>
        <w:t>(Návrh)</w:t>
      </w:r>
    </w:p>
    <w:p w:rsidR="00EC193B" w:rsidRPr="005976B2" w:rsidP="00BF357F">
      <w:pPr>
        <w:pStyle w:val="BodyText"/>
        <w:bidi w:val="0"/>
        <w:jc w:val="center"/>
        <w:rPr>
          <w:rFonts w:ascii="Arial" w:hAnsi="Arial" w:cs="Arial"/>
          <w:bCs/>
          <w:iCs/>
        </w:rPr>
      </w:pPr>
    </w:p>
    <w:p w:rsidR="00EC193B" w:rsidRPr="005976B2" w:rsidP="00BF357F">
      <w:pPr>
        <w:pStyle w:val="BodyText"/>
        <w:bidi w:val="0"/>
        <w:jc w:val="center"/>
        <w:rPr>
          <w:rFonts w:ascii="Arial" w:hAnsi="Arial" w:cs="Arial"/>
          <w:bCs/>
          <w:iCs/>
        </w:rPr>
      </w:pPr>
    </w:p>
    <w:p w:rsidR="00EC193B" w:rsidRPr="005976B2" w:rsidP="00BF357F">
      <w:pPr>
        <w:pStyle w:val="BodyText"/>
        <w:bidi w:val="0"/>
        <w:rPr>
          <w:rFonts w:ascii="Arial" w:hAnsi="Arial" w:cs="Arial"/>
          <w:bCs/>
          <w:iCs/>
        </w:rPr>
      </w:pPr>
    </w:p>
    <w:p w:rsidR="00EC193B" w:rsidRPr="005976B2" w:rsidP="00BF357F">
      <w:pPr>
        <w:pStyle w:val="BodyText"/>
        <w:bidi w:val="0"/>
        <w:jc w:val="center"/>
        <w:rPr>
          <w:rFonts w:ascii="Arial" w:hAnsi="Arial" w:cs="Arial"/>
          <w:b/>
          <w:bCs/>
          <w:i/>
          <w:iCs/>
          <w:sz w:val="36"/>
        </w:rPr>
      </w:pPr>
    </w:p>
    <w:p w:rsidR="00BF357F" w:rsidRPr="005976B2" w:rsidP="00BF357F">
      <w:pPr>
        <w:pStyle w:val="BodyText"/>
        <w:bidi w:val="0"/>
        <w:jc w:val="center"/>
        <w:rPr>
          <w:rFonts w:ascii="Arial" w:hAnsi="Arial" w:cs="Arial"/>
          <w:b/>
          <w:bCs/>
          <w:iCs/>
          <w:sz w:val="28"/>
          <w:szCs w:val="28"/>
        </w:rPr>
      </w:pPr>
      <w:r w:rsidRPr="005976B2" w:rsidR="002D6A66">
        <w:rPr>
          <w:rFonts w:ascii="Arial" w:hAnsi="Arial" w:cs="Arial"/>
          <w:b/>
          <w:bCs/>
          <w:iCs/>
          <w:sz w:val="28"/>
          <w:szCs w:val="28"/>
        </w:rPr>
        <w:t>Z</w:t>
      </w:r>
      <w:r w:rsidRPr="005976B2">
        <w:rPr>
          <w:rFonts w:ascii="Arial" w:hAnsi="Arial" w:cs="Arial"/>
          <w:b/>
          <w:bCs/>
          <w:iCs/>
          <w:sz w:val="28"/>
          <w:szCs w:val="28"/>
        </w:rPr>
        <w:t>ÁKON</w:t>
      </w:r>
    </w:p>
    <w:p w:rsidR="00BF357F" w:rsidRPr="005976B2" w:rsidP="00BF357F">
      <w:pPr>
        <w:pStyle w:val="BodyText"/>
        <w:bidi w:val="0"/>
        <w:jc w:val="center"/>
        <w:rPr>
          <w:rFonts w:ascii="Arial" w:hAnsi="Arial" w:cs="Arial"/>
          <w:b/>
          <w:bCs/>
          <w:iCs/>
          <w:sz w:val="28"/>
          <w:szCs w:val="28"/>
        </w:rPr>
      </w:pPr>
    </w:p>
    <w:p w:rsidR="002D6A66" w:rsidRPr="005976B2" w:rsidP="00BF357F">
      <w:pPr>
        <w:pStyle w:val="BodyText"/>
        <w:bidi w:val="0"/>
        <w:jc w:val="center"/>
        <w:rPr>
          <w:rFonts w:ascii="Arial" w:hAnsi="Arial" w:cs="Arial"/>
          <w:b/>
          <w:bCs/>
          <w:iCs/>
          <w:sz w:val="28"/>
          <w:szCs w:val="28"/>
        </w:rPr>
      </w:pPr>
      <w:r w:rsidRPr="005976B2" w:rsidR="00BF357F">
        <w:rPr>
          <w:rFonts w:ascii="Arial" w:hAnsi="Arial" w:cs="Arial"/>
          <w:b/>
          <w:bCs/>
          <w:iCs/>
          <w:sz w:val="28"/>
          <w:szCs w:val="28"/>
        </w:rPr>
        <w:t>z ........... 20</w:t>
      </w:r>
      <w:r w:rsidRPr="005976B2" w:rsidR="00DC37F3">
        <w:rPr>
          <w:rFonts w:ascii="Arial" w:hAnsi="Arial" w:cs="Arial"/>
          <w:b/>
          <w:bCs/>
          <w:iCs/>
          <w:sz w:val="28"/>
          <w:szCs w:val="28"/>
        </w:rPr>
        <w:t>1</w:t>
      </w:r>
      <w:r w:rsidR="00B320E5">
        <w:rPr>
          <w:rFonts w:ascii="Arial" w:hAnsi="Arial" w:cs="Arial"/>
          <w:b/>
          <w:bCs/>
          <w:iCs/>
          <w:sz w:val="28"/>
          <w:szCs w:val="28"/>
        </w:rPr>
        <w:t>3</w:t>
      </w:r>
      <w:r w:rsidRPr="005976B2" w:rsidR="00BF357F">
        <w:rPr>
          <w:rFonts w:ascii="Arial" w:hAnsi="Arial" w:cs="Arial"/>
          <w:b/>
          <w:bCs/>
          <w:iCs/>
          <w:sz w:val="28"/>
          <w:szCs w:val="28"/>
        </w:rPr>
        <w:t>,</w:t>
      </w:r>
    </w:p>
    <w:p w:rsidR="00FF69F1" w:rsidRPr="005976B2" w:rsidP="00BF357F">
      <w:pPr>
        <w:pStyle w:val="BodyText"/>
        <w:bidi w:val="0"/>
        <w:rPr>
          <w:rFonts w:ascii="Arial" w:hAnsi="Arial" w:cs="Arial"/>
          <w:sz w:val="26"/>
          <w:szCs w:val="26"/>
        </w:rPr>
      </w:pPr>
    </w:p>
    <w:p w:rsidR="005976B2" w:rsidRPr="005976B2" w:rsidP="00BF357F">
      <w:pPr>
        <w:pStyle w:val="BodyText"/>
        <w:bidi w:val="0"/>
        <w:rPr>
          <w:rFonts w:ascii="Arial" w:hAnsi="Arial" w:cs="Arial"/>
          <w:sz w:val="26"/>
          <w:szCs w:val="26"/>
        </w:rPr>
      </w:pPr>
    </w:p>
    <w:p w:rsidR="00B320E5" w:rsidP="005976B2">
      <w:pPr>
        <w:widowControl w:val="0"/>
        <w:autoSpaceDE w:val="0"/>
        <w:autoSpaceDN w:val="0"/>
        <w:bidi w:val="0"/>
        <w:adjustRightInd w:val="0"/>
        <w:ind w:left="360" w:right="-7"/>
        <w:jc w:val="center"/>
        <w:rPr>
          <w:rFonts w:ascii="Arial" w:hAnsi="Arial" w:cs="Arial"/>
          <w:b/>
          <w:bCs/>
          <w:iCs/>
          <w:sz w:val="28"/>
          <w:szCs w:val="28"/>
          <w:lang w:eastAsia="sk-SK"/>
        </w:rPr>
      </w:pPr>
      <w:r w:rsidRPr="00B320E5">
        <w:rPr>
          <w:rFonts w:ascii="Arial" w:hAnsi="Arial" w:cs="Arial"/>
          <w:b/>
          <w:bCs/>
          <w:iCs/>
          <w:sz w:val="28"/>
          <w:szCs w:val="28"/>
          <w:lang w:eastAsia="sk-SK"/>
        </w:rPr>
        <w:t>ktorým sa mení a dopĺňa zákon č. 300/2005 Z. z. Trestný zákon v znení neskorších predpisov a ktorým sa menia a dopĺňajú niektoré zákony</w:t>
      </w:r>
    </w:p>
    <w:p w:rsidR="005976B2" w:rsidRPr="005976B2" w:rsidP="005976B2">
      <w:pPr>
        <w:widowControl w:val="0"/>
        <w:autoSpaceDE w:val="0"/>
        <w:autoSpaceDN w:val="0"/>
        <w:bidi w:val="0"/>
        <w:adjustRightInd w:val="0"/>
        <w:ind w:right="-7"/>
        <w:jc w:val="center"/>
        <w:rPr>
          <w:rFonts w:ascii="Arial" w:hAnsi="Arial" w:cs="Arial"/>
          <w:b/>
          <w:bCs/>
        </w:rPr>
      </w:pPr>
    </w:p>
    <w:p w:rsidR="005976B2" w:rsidRPr="005976B2" w:rsidP="005976B2">
      <w:pPr>
        <w:widowControl w:val="0"/>
        <w:autoSpaceDE w:val="0"/>
        <w:autoSpaceDN w:val="0"/>
        <w:bidi w:val="0"/>
        <w:adjustRightInd w:val="0"/>
        <w:ind w:right="-7"/>
        <w:jc w:val="center"/>
        <w:rPr>
          <w:rFonts w:ascii="Arial" w:hAnsi="Arial" w:cs="Arial"/>
          <w:b/>
          <w:bCs/>
        </w:rPr>
      </w:pPr>
    </w:p>
    <w:p w:rsidR="005976B2" w:rsidRPr="005976B2" w:rsidP="005976B2">
      <w:pPr>
        <w:widowControl w:val="0"/>
        <w:autoSpaceDE w:val="0"/>
        <w:autoSpaceDN w:val="0"/>
        <w:bidi w:val="0"/>
        <w:adjustRightInd w:val="0"/>
        <w:ind w:right="-7"/>
        <w:jc w:val="center"/>
        <w:rPr>
          <w:rFonts w:ascii="Arial" w:hAnsi="Arial" w:cs="Arial"/>
        </w:rPr>
      </w:pPr>
      <w:r w:rsidRPr="005976B2">
        <w:rPr>
          <w:rFonts w:ascii="Arial" w:hAnsi="Arial" w:cs="Arial"/>
        </w:rPr>
        <w:t>Národná rada Slovenskej republiky sa uzniesla na tomto zákone:</w:t>
      </w:r>
    </w:p>
    <w:p w:rsidR="005976B2" w:rsidP="005976B2">
      <w:pPr>
        <w:widowControl w:val="0"/>
        <w:autoSpaceDE w:val="0"/>
        <w:autoSpaceDN w:val="0"/>
        <w:bidi w:val="0"/>
        <w:adjustRightInd w:val="0"/>
        <w:ind w:right="-7"/>
        <w:jc w:val="center"/>
        <w:rPr>
          <w:rFonts w:ascii="Arial" w:hAnsi="Arial" w:cs="Arial"/>
        </w:rPr>
      </w:pPr>
    </w:p>
    <w:p w:rsidR="008D0DF6" w:rsidRPr="005976B2" w:rsidP="005976B2">
      <w:pPr>
        <w:widowControl w:val="0"/>
        <w:autoSpaceDE w:val="0"/>
        <w:autoSpaceDN w:val="0"/>
        <w:bidi w:val="0"/>
        <w:adjustRightInd w:val="0"/>
        <w:ind w:right="-7"/>
        <w:jc w:val="center"/>
        <w:rPr>
          <w:rFonts w:ascii="Arial" w:hAnsi="Arial" w:cs="Arial"/>
        </w:rPr>
      </w:pPr>
    </w:p>
    <w:p w:rsidR="005976B2" w:rsidRPr="005976B2" w:rsidP="005976B2">
      <w:pPr>
        <w:widowControl w:val="0"/>
        <w:autoSpaceDE w:val="0"/>
        <w:autoSpaceDN w:val="0"/>
        <w:bidi w:val="0"/>
        <w:adjustRightInd w:val="0"/>
        <w:ind w:right="-7"/>
        <w:jc w:val="center"/>
        <w:rPr>
          <w:rFonts w:ascii="Arial" w:hAnsi="Arial" w:cs="Arial"/>
          <w:b/>
          <w:bCs/>
        </w:rPr>
      </w:pPr>
      <w:r w:rsidRPr="005976B2">
        <w:rPr>
          <w:rFonts w:ascii="Arial" w:hAnsi="Arial" w:cs="Arial"/>
          <w:b/>
          <w:bCs/>
        </w:rPr>
        <w:t xml:space="preserve">Čl. I </w:t>
      </w:r>
    </w:p>
    <w:p w:rsidR="005976B2" w:rsidRPr="005976B2" w:rsidP="005976B2">
      <w:pPr>
        <w:widowControl w:val="0"/>
        <w:autoSpaceDE w:val="0"/>
        <w:autoSpaceDN w:val="0"/>
        <w:bidi w:val="0"/>
        <w:adjustRightInd w:val="0"/>
        <w:ind w:right="-7"/>
        <w:jc w:val="center"/>
        <w:rPr>
          <w:rFonts w:ascii="Arial" w:hAnsi="Arial" w:cs="Arial"/>
          <w:bCs/>
        </w:rPr>
      </w:pPr>
    </w:p>
    <w:p w:rsidR="00C15760" w:rsidRPr="00C15760" w:rsidP="00C15760">
      <w:pPr>
        <w:tabs>
          <w:tab w:val="left" w:pos="426"/>
        </w:tabs>
        <w:autoSpaceDE w:val="0"/>
        <w:autoSpaceDN w:val="0"/>
        <w:bidi w:val="0"/>
        <w:adjustRightInd w:val="0"/>
        <w:jc w:val="both"/>
        <w:rPr>
          <w:rFonts w:ascii="Arial" w:hAnsi="Arial" w:cs="Arial"/>
          <w:bCs/>
        </w:rPr>
      </w:pPr>
      <w:r w:rsidRPr="00C15760">
        <w:rPr>
          <w:rFonts w:ascii="Arial" w:hAnsi="Arial" w:cs="Arial"/>
          <w:bCs/>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w:t>
      </w:r>
      <w:r w:rsidR="00680713">
        <w:rPr>
          <w:rFonts w:ascii="Arial" w:hAnsi="Arial" w:cs="Arial"/>
          <w:bCs/>
        </w:rPr>
        <w:t xml:space="preserve">, </w:t>
      </w:r>
      <w:r w:rsidRPr="00C15760" w:rsidR="00680713">
        <w:rPr>
          <w:rFonts w:ascii="Arial" w:hAnsi="Arial" w:cs="Arial"/>
          <w:bCs/>
        </w:rPr>
        <w:t xml:space="preserve">zákona č. </w:t>
      </w:r>
      <w:r w:rsidR="00680713">
        <w:rPr>
          <w:rFonts w:ascii="Arial" w:hAnsi="Arial" w:cs="Arial"/>
          <w:bCs/>
        </w:rPr>
        <w:t>428</w:t>
      </w:r>
      <w:r w:rsidRPr="00C15760" w:rsidR="00680713">
        <w:rPr>
          <w:rFonts w:ascii="Arial" w:hAnsi="Arial" w:cs="Arial"/>
          <w:bCs/>
        </w:rPr>
        <w:t>/2012 Z. z.</w:t>
      </w:r>
      <w:r w:rsidR="00680713">
        <w:rPr>
          <w:rFonts w:ascii="Arial" w:hAnsi="Arial" w:cs="Arial"/>
          <w:bCs/>
        </w:rPr>
        <w:t xml:space="preserve">, </w:t>
      </w:r>
      <w:r w:rsidRPr="00C15760" w:rsidR="00680713">
        <w:rPr>
          <w:rFonts w:ascii="Arial" w:hAnsi="Arial" w:cs="Arial"/>
          <w:bCs/>
        </w:rPr>
        <w:t xml:space="preserve">zákona č. </w:t>
      </w:r>
      <w:r w:rsidR="00680713">
        <w:rPr>
          <w:rFonts w:ascii="Arial" w:hAnsi="Arial" w:cs="Arial"/>
          <w:bCs/>
        </w:rPr>
        <w:t>334</w:t>
      </w:r>
      <w:r w:rsidRPr="00C15760" w:rsidR="00680713">
        <w:rPr>
          <w:rFonts w:ascii="Arial" w:hAnsi="Arial" w:cs="Arial"/>
          <w:bCs/>
        </w:rPr>
        <w:t xml:space="preserve">/2012 Z. z. </w:t>
      </w:r>
      <w:r w:rsidRPr="00C15760">
        <w:rPr>
          <w:rFonts w:ascii="Arial" w:hAnsi="Arial" w:cs="Arial"/>
          <w:bCs/>
        </w:rPr>
        <w:t>a zákona č. .../201</w:t>
      </w:r>
      <w:r w:rsidR="0057062B">
        <w:rPr>
          <w:rFonts w:ascii="Arial" w:hAnsi="Arial" w:cs="Arial"/>
          <w:bCs/>
        </w:rPr>
        <w:t>3</w:t>
      </w:r>
      <w:r w:rsidRPr="00C15760">
        <w:rPr>
          <w:rFonts w:ascii="Arial" w:hAnsi="Arial" w:cs="Arial"/>
          <w:bCs/>
        </w:rPr>
        <w:t xml:space="preserve"> sa mení a dopĺňa takto:</w:t>
      </w:r>
    </w:p>
    <w:p w:rsidR="00C15760" w:rsidP="00E30DBD">
      <w:pPr>
        <w:widowControl w:val="0"/>
        <w:autoSpaceDE w:val="0"/>
        <w:autoSpaceDN w:val="0"/>
        <w:bidi w:val="0"/>
        <w:adjustRightInd w:val="0"/>
        <w:ind w:right="-7"/>
        <w:jc w:val="both"/>
        <w:rPr>
          <w:rFonts w:ascii="Arial" w:hAnsi="Arial" w:cs="Arial"/>
        </w:rPr>
      </w:pPr>
    </w:p>
    <w:p w:rsidR="000C5295" w:rsidP="00E30DBD">
      <w:pPr>
        <w:widowControl w:val="0"/>
        <w:autoSpaceDE w:val="0"/>
        <w:autoSpaceDN w:val="0"/>
        <w:bidi w:val="0"/>
        <w:adjustRightInd w:val="0"/>
        <w:ind w:right="-7"/>
        <w:jc w:val="both"/>
        <w:rPr>
          <w:rFonts w:ascii="Arial" w:hAnsi="Arial" w:cs="Arial"/>
        </w:rPr>
      </w:pPr>
    </w:p>
    <w:p w:rsidR="0057062B" w:rsidRPr="00E3097A" w:rsidP="0057062B">
      <w:pPr>
        <w:pStyle w:val="ListParagraph"/>
        <w:widowControl w:val="0"/>
        <w:numPr>
          <w:numId w:val="2"/>
        </w:numPr>
        <w:autoSpaceDE w:val="0"/>
        <w:autoSpaceDN w:val="0"/>
        <w:bidi w:val="0"/>
        <w:adjustRightInd w:val="0"/>
        <w:ind w:left="426" w:right="-7" w:hanging="426"/>
        <w:jc w:val="both"/>
        <w:rPr>
          <w:rFonts w:ascii="Arial" w:hAnsi="Arial" w:cs="Arial"/>
        </w:rPr>
      </w:pPr>
      <w:r w:rsidRPr="00E3097A" w:rsidR="00F85F4B">
        <w:rPr>
          <w:rFonts w:ascii="Arial" w:hAnsi="Arial" w:cs="Arial"/>
        </w:rPr>
        <w:t xml:space="preserve">V § </w:t>
      </w:r>
      <w:r w:rsidRPr="00E3097A" w:rsidR="009240CA">
        <w:rPr>
          <w:rFonts w:ascii="Arial" w:hAnsi="Arial" w:cs="Arial"/>
        </w:rPr>
        <w:t>220</w:t>
      </w:r>
      <w:r w:rsidRPr="00E3097A" w:rsidR="00B26ECE">
        <w:rPr>
          <w:rFonts w:ascii="Arial" w:hAnsi="Arial" w:cs="Arial"/>
        </w:rPr>
        <w:t xml:space="preserve"> sa </w:t>
      </w:r>
      <w:r w:rsidRPr="00E3097A" w:rsidR="00A62E46">
        <w:rPr>
          <w:rFonts w:ascii="Arial" w:hAnsi="Arial" w:cs="Arial"/>
        </w:rPr>
        <w:t>v nadpise za slová</w:t>
      </w:r>
      <w:r w:rsidR="00E3097A">
        <w:rPr>
          <w:rFonts w:ascii="Arial" w:hAnsi="Arial" w:cs="Arial"/>
        </w:rPr>
        <w:t xml:space="preserve"> </w:t>
      </w:r>
      <w:r w:rsidRPr="00E3097A" w:rsidR="00A62E46">
        <w:rPr>
          <w:rFonts w:ascii="Arial" w:hAnsi="Arial" w:cs="Arial"/>
        </w:rPr>
        <w:t xml:space="preserve">“pozmeňovanie identifikačných“ </w:t>
      </w:r>
      <w:r w:rsidRPr="00E3097A" w:rsidR="00E3097A">
        <w:rPr>
          <w:rFonts w:ascii="Arial" w:hAnsi="Arial" w:cs="Arial"/>
        </w:rPr>
        <w:t>vkladajú slová „a iných“.</w:t>
      </w:r>
    </w:p>
    <w:p w:rsidR="0057062B" w:rsidP="00F85F4B">
      <w:pPr>
        <w:pStyle w:val="ListParagraph"/>
        <w:widowControl w:val="0"/>
        <w:autoSpaceDE w:val="0"/>
        <w:autoSpaceDN w:val="0"/>
        <w:bidi w:val="0"/>
        <w:adjustRightInd w:val="0"/>
        <w:ind w:left="426" w:right="-7"/>
        <w:jc w:val="both"/>
        <w:rPr>
          <w:rFonts w:ascii="Arial" w:hAnsi="Arial" w:cs="Arial"/>
        </w:rPr>
      </w:pPr>
    </w:p>
    <w:p w:rsidR="000C5295" w:rsidP="00F85F4B">
      <w:pPr>
        <w:pStyle w:val="ListParagraph"/>
        <w:widowControl w:val="0"/>
        <w:autoSpaceDE w:val="0"/>
        <w:autoSpaceDN w:val="0"/>
        <w:bidi w:val="0"/>
        <w:adjustRightInd w:val="0"/>
        <w:ind w:left="426" w:right="-7"/>
        <w:jc w:val="both"/>
        <w:rPr>
          <w:rFonts w:ascii="Arial" w:hAnsi="Arial" w:cs="Arial"/>
        </w:rPr>
      </w:pPr>
    </w:p>
    <w:p w:rsidR="00E3097A" w:rsidP="00E30DBD">
      <w:pPr>
        <w:pStyle w:val="ListParagraph"/>
        <w:widowControl w:val="0"/>
        <w:numPr>
          <w:numId w:val="2"/>
        </w:numPr>
        <w:autoSpaceDE w:val="0"/>
        <w:autoSpaceDN w:val="0"/>
        <w:bidi w:val="0"/>
        <w:adjustRightInd w:val="0"/>
        <w:ind w:left="426" w:right="-7" w:hanging="426"/>
        <w:jc w:val="both"/>
        <w:rPr>
          <w:rFonts w:ascii="Arial" w:hAnsi="Arial" w:cs="Arial"/>
        </w:rPr>
      </w:pPr>
      <w:r w:rsidR="00E30DBD">
        <w:rPr>
          <w:rFonts w:ascii="Arial" w:hAnsi="Arial" w:cs="Arial"/>
        </w:rPr>
        <w:t>V § 2</w:t>
      </w:r>
      <w:r w:rsidR="009240CA">
        <w:rPr>
          <w:rFonts w:ascii="Arial" w:hAnsi="Arial" w:cs="Arial"/>
        </w:rPr>
        <w:t>20 ods</w:t>
      </w:r>
      <w:r>
        <w:rPr>
          <w:rFonts w:ascii="Arial" w:hAnsi="Arial" w:cs="Arial"/>
        </w:rPr>
        <w:t>ek</w:t>
      </w:r>
      <w:r w:rsidR="009240CA">
        <w:rPr>
          <w:rFonts w:ascii="Arial" w:hAnsi="Arial" w:cs="Arial"/>
        </w:rPr>
        <w:t xml:space="preserve"> 1 </w:t>
      </w:r>
      <w:r>
        <w:rPr>
          <w:rFonts w:ascii="Arial" w:hAnsi="Arial" w:cs="Arial"/>
        </w:rPr>
        <w:t>znie:</w:t>
      </w:r>
    </w:p>
    <w:p w:rsidR="009240CA" w:rsidP="00E3097A">
      <w:pPr>
        <w:pStyle w:val="ListParagraph"/>
        <w:bidi w:val="0"/>
        <w:jc w:val="both"/>
        <w:rPr>
          <w:rFonts w:ascii="Arial" w:hAnsi="Arial" w:cs="Arial"/>
          <w:lang w:eastAsia="en-US"/>
        </w:rPr>
      </w:pPr>
      <w:r w:rsidR="00B26ECE">
        <w:rPr>
          <w:rFonts w:ascii="Arial" w:hAnsi="Arial" w:cs="Arial"/>
          <w:lang w:eastAsia="en-US"/>
        </w:rPr>
        <w:t>„</w:t>
      </w:r>
      <w:r w:rsidRPr="00B26ECE" w:rsidR="00B26ECE">
        <w:rPr>
          <w:rFonts w:ascii="Arial" w:hAnsi="Arial" w:cs="Arial"/>
          <w:lang w:eastAsia="en-US"/>
        </w:rPr>
        <w:t xml:space="preserve">(1) 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w:t>
      </w:r>
      <w:r w:rsidRPr="009240CA" w:rsidR="00B26ECE">
        <w:rPr>
          <w:rFonts w:ascii="Arial" w:hAnsi="Arial" w:cs="Arial"/>
        </w:rPr>
        <w:t>alebo akýmkoľvek spôsobom falšuje alebo pozmení meranie počítadla najazdených kilometrov, ktorým je vybavené motorové vozidlo, alebo pripravuje trestný čin podľa bodu 1, pri ktorom vyhotoví, zaobstará sebe alebo postúpi inej osobe počítačové programy, ktorých účelom je spáchanie takého skutku</w:t>
      </w:r>
      <w:r w:rsidR="00B26ECE">
        <w:rPr>
          <w:rFonts w:ascii="Arial" w:hAnsi="Arial" w:cs="Arial"/>
        </w:rPr>
        <w:t xml:space="preserve">, </w:t>
      </w:r>
      <w:r w:rsidRPr="00B26ECE" w:rsidR="00B26ECE">
        <w:rPr>
          <w:rFonts w:ascii="Arial" w:hAnsi="Arial" w:cs="Arial"/>
          <w:lang w:eastAsia="en-US"/>
        </w:rPr>
        <w:t>potrestá sa odňatím slobody až na tri roky.</w:t>
      </w:r>
      <w:r w:rsidR="00B26ECE">
        <w:rPr>
          <w:rFonts w:ascii="Arial" w:hAnsi="Arial" w:cs="Arial"/>
          <w:lang w:eastAsia="en-US"/>
        </w:rPr>
        <w:t>“</w:t>
      </w:r>
    </w:p>
    <w:p w:rsidR="00B26ECE" w:rsidRPr="005976B2" w:rsidP="00B26ECE">
      <w:pPr>
        <w:bidi w:val="0"/>
        <w:spacing w:before="100" w:beforeAutospacing="1" w:after="150" w:line="384" w:lineRule="atLeast"/>
        <w:rPr>
          <w:rFonts w:ascii="Arial" w:hAnsi="Arial" w:cs="Arial"/>
          <w:sz w:val="26"/>
          <w:szCs w:val="26"/>
        </w:rPr>
      </w:pPr>
      <w:r w:rsidR="00E30DBD">
        <w:rPr>
          <w:rFonts w:ascii="Arial" w:hAnsi="Arial" w:cs="Arial"/>
        </w:rPr>
        <w:t xml:space="preserve"> </w:t>
      </w:r>
    </w:p>
    <w:p w:rsidR="00B26ECE" w:rsidRPr="005976B2" w:rsidP="00B26ECE">
      <w:pPr>
        <w:bidi w:val="0"/>
        <w:jc w:val="center"/>
        <w:rPr>
          <w:rFonts w:ascii="Arial" w:hAnsi="Arial" w:cs="Arial"/>
          <w:b/>
          <w:bCs/>
          <w:sz w:val="26"/>
          <w:szCs w:val="26"/>
        </w:rPr>
      </w:pPr>
      <w:r w:rsidRPr="005976B2">
        <w:rPr>
          <w:rFonts w:ascii="Arial" w:hAnsi="Arial" w:cs="Arial"/>
          <w:b/>
          <w:bCs/>
          <w:sz w:val="26"/>
          <w:szCs w:val="26"/>
        </w:rPr>
        <w:t xml:space="preserve">Čl. II </w:t>
      </w:r>
    </w:p>
    <w:p w:rsidR="00B26ECE" w:rsidRPr="005976B2" w:rsidP="00B26ECE">
      <w:pPr>
        <w:pStyle w:val="BodyText"/>
        <w:bidi w:val="0"/>
        <w:ind w:left="374" w:hanging="374"/>
        <w:rPr>
          <w:rFonts w:ascii="Arial" w:hAnsi="Arial" w:cs="Arial"/>
          <w:sz w:val="26"/>
          <w:szCs w:val="26"/>
        </w:rPr>
      </w:pPr>
    </w:p>
    <w:p w:rsidR="00B26ECE" w:rsidRPr="005976B2" w:rsidP="00B26ECE">
      <w:pPr>
        <w:bidi w:val="0"/>
        <w:ind w:firstLine="561"/>
        <w:jc w:val="both"/>
        <w:rPr>
          <w:rFonts w:ascii="Arial" w:hAnsi="Arial" w:cs="Arial"/>
          <w:sz w:val="26"/>
          <w:szCs w:val="26"/>
        </w:rPr>
      </w:pPr>
      <w:r w:rsidRPr="005976B2">
        <w:rPr>
          <w:rFonts w:ascii="Arial" w:hAnsi="Arial" w:cs="Arial"/>
          <w:sz w:val="26"/>
          <w:szCs w:val="26"/>
        </w:rPr>
        <w:t xml:space="preserve">Tento zákon nadobúda účinnosť 1. </w:t>
      </w:r>
      <w:r>
        <w:rPr>
          <w:rFonts w:ascii="Arial" w:hAnsi="Arial" w:cs="Arial"/>
          <w:sz w:val="26"/>
          <w:szCs w:val="26"/>
        </w:rPr>
        <w:t>novembra</w:t>
      </w:r>
      <w:r w:rsidRPr="005976B2">
        <w:rPr>
          <w:rFonts w:ascii="Arial" w:hAnsi="Arial" w:cs="Arial"/>
          <w:sz w:val="26"/>
          <w:szCs w:val="26"/>
        </w:rPr>
        <w:t xml:space="preserve"> 2013.</w:t>
      </w:r>
    </w:p>
    <w:p w:rsidR="00B26ECE" w:rsidP="009240CA">
      <w:pPr>
        <w:bidi w:val="0"/>
        <w:spacing w:before="100" w:beforeAutospacing="1" w:after="150" w:line="384" w:lineRule="atLeast"/>
        <w:rPr>
          <w:rFonts w:ascii="Arial" w:hAnsi="Arial" w:cs="Arial"/>
        </w:rPr>
      </w:pPr>
    </w:p>
    <w:sectPr>
      <w:footerReference w:type="even" r:id="rId5"/>
      <w:footerReference w:type="default" r:id="rId6"/>
      <w:pgSz w:w="12240" w:h="15840" w:code="1"/>
      <w:pgMar w:top="1418" w:right="1418" w:bottom="1418"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8E1"/>
    <w:multiLevelType w:val="hybridMultilevel"/>
    <w:tmpl w:val="282C9AB0"/>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1">
    <w:nsid w:val="6EC5455A"/>
    <w:multiLevelType w:val="hybridMultilevel"/>
    <w:tmpl w:val="80FCCC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7639A"/>
    <w:rsid w:val="000B1565"/>
    <w:rsid w:val="000C5295"/>
    <w:rsid w:val="000D4345"/>
    <w:rsid w:val="000E6C02"/>
    <w:rsid w:val="00103F32"/>
    <w:rsid w:val="001136F7"/>
    <w:rsid w:val="00124EA0"/>
    <w:rsid w:val="001277C9"/>
    <w:rsid w:val="00163B86"/>
    <w:rsid w:val="00166AD2"/>
    <w:rsid w:val="001717C1"/>
    <w:rsid w:val="001947BF"/>
    <w:rsid w:val="001D45EE"/>
    <w:rsid w:val="00203642"/>
    <w:rsid w:val="00203CCA"/>
    <w:rsid w:val="00205D84"/>
    <w:rsid w:val="00215B8E"/>
    <w:rsid w:val="002410AE"/>
    <w:rsid w:val="002666A8"/>
    <w:rsid w:val="00267FF7"/>
    <w:rsid w:val="002C19CE"/>
    <w:rsid w:val="002C310C"/>
    <w:rsid w:val="002C5170"/>
    <w:rsid w:val="002D1CC6"/>
    <w:rsid w:val="002D6A66"/>
    <w:rsid w:val="002E53F5"/>
    <w:rsid w:val="00307288"/>
    <w:rsid w:val="00320D58"/>
    <w:rsid w:val="00324A6E"/>
    <w:rsid w:val="0033126C"/>
    <w:rsid w:val="003326D2"/>
    <w:rsid w:val="003471DF"/>
    <w:rsid w:val="00355F3C"/>
    <w:rsid w:val="00365769"/>
    <w:rsid w:val="0038795A"/>
    <w:rsid w:val="003A303E"/>
    <w:rsid w:val="003A7B5B"/>
    <w:rsid w:val="003E31FA"/>
    <w:rsid w:val="003F098C"/>
    <w:rsid w:val="00401E81"/>
    <w:rsid w:val="00405AFC"/>
    <w:rsid w:val="004312F0"/>
    <w:rsid w:val="00452B27"/>
    <w:rsid w:val="004559BB"/>
    <w:rsid w:val="00464032"/>
    <w:rsid w:val="00474FB7"/>
    <w:rsid w:val="004751E0"/>
    <w:rsid w:val="00494D46"/>
    <w:rsid w:val="00496179"/>
    <w:rsid w:val="004A175C"/>
    <w:rsid w:val="004A74FC"/>
    <w:rsid w:val="004C37BC"/>
    <w:rsid w:val="004E7513"/>
    <w:rsid w:val="004F0EAB"/>
    <w:rsid w:val="004F1F94"/>
    <w:rsid w:val="0052178B"/>
    <w:rsid w:val="00527E9D"/>
    <w:rsid w:val="00532858"/>
    <w:rsid w:val="00541C30"/>
    <w:rsid w:val="005427C1"/>
    <w:rsid w:val="0056058F"/>
    <w:rsid w:val="0057062B"/>
    <w:rsid w:val="005862F9"/>
    <w:rsid w:val="005945C3"/>
    <w:rsid w:val="005976B2"/>
    <w:rsid w:val="005F17E1"/>
    <w:rsid w:val="005F7AE5"/>
    <w:rsid w:val="0062601A"/>
    <w:rsid w:val="00653651"/>
    <w:rsid w:val="00680713"/>
    <w:rsid w:val="00682012"/>
    <w:rsid w:val="00691D80"/>
    <w:rsid w:val="006C0ECE"/>
    <w:rsid w:val="006C343A"/>
    <w:rsid w:val="006D02CA"/>
    <w:rsid w:val="00737579"/>
    <w:rsid w:val="007540E1"/>
    <w:rsid w:val="00765617"/>
    <w:rsid w:val="00766226"/>
    <w:rsid w:val="007671B7"/>
    <w:rsid w:val="0078176B"/>
    <w:rsid w:val="007E37B1"/>
    <w:rsid w:val="007F2709"/>
    <w:rsid w:val="00800446"/>
    <w:rsid w:val="008040E9"/>
    <w:rsid w:val="008105E1"/>
    <w:rsid w:val="00814DB2"/>
    <w:rsid w:val="00816AC2"/>
    <w:rsid w:val="0084730B"/>
    <w:rsid w:val="00856294"/>
    <w:rsid w:val="00860639"/>
    <w:rsid w:val="00863968"/>
    <w:rsid w:val="008752F5"/>
    <w:rsid w:val="00877EFC"/>
    <w:rsid w:val="0088213E"/>
    <w:rsid w:val="00882E88"/>
    <w:rsid w:val="008B6E01"/>
    <w:rsid w:val="008C4CFA"/>
    <w:rsid w:val="008C64AD"/>
    <w:rsid w:val="008D0DF6"/>
    <w:rsid w:val="008F600E"/>
    <w:rsid w:val="009154A9"/>
    <w:rsid w:val="009240CA"/>
    <w:rsid w:val="00925399"/>
    <w:rsid w:val="0095216B"/>
    <w:rsid w:val="00971F35"/>
    <w:rsid w:val="00981EA0"/>
    <w:rsid w:val="0098622F"/>
    <w:rsid w:val="009A0D22"/>
    <w:rsid w:val="009F28F5"/>
    <w:rsid w:val="00A62E46"/>
    <w:rsid w:val="00A64AA9"/>
    <w:rsid w:val="00A70858"/>
    <w:rsid w:val="00A816CA"/>
    <w:rsid w:val="00A86C15"/>
    <w:rsid w:val="00A87C28"/>
    <w:rsid w:val="00AB030A"/>
    <w:rsid w:val="00AB6AF9"/>
    <w:rsid w:val="00AC31BA"/>
    <w:rsid w:val="00AD6BF2"/>
    <w:rsid w:val="00B26ECE"/>
    <w:rsid w:val="00B320E5"/>
    <w:rsid w:val="00B55310"/>
    <w:rsid w:val="00B56A0E"/>
    <w:rsid w:val="00B8204C"/>
    <w:rsid w:val="00B97991"/>
    <w:rsid w:val="00BA32E7"/>
    <w:rsid w:val="00BB3823"/>
    <w:rsid w:val="00BC35A3"/>
    <w:rsid w:val="00BE5462"/>
    <w:rsid w:val="00BF3188"/>
    <w:rsid w:val="00BF357F"/>
    <w:rsid w:val="00BF69C5"/>
    <w:rsid w:val="00C038E9"/>
    <w:rsid w:val="00C12D2C"/>
    <w:rsid w:val="00C1506C"/>
    <w:rsid w:val="00C15760"/>
    <w:rsid w:val="00C22806"/>
    <w:rsid w:val="00C32FDF"/>
    <w:rsid w:val="00C51E62"/>
    <w:rsid w:val="00C56D5F"/>
    <w:rsid w:val="00C712D1"/>
    <w:rsid w:val="00C8253F"/>
    <w:rsid w:val="00CE4D7B"/>
    <w:rsid w:val="00D04E46"/>
    <w:rsid w:val="00D14750"/>
    <w:rsid w:val="00D240F0"/>
    <w:rsid w:val="00D35057"/>
    <w:rsid w:val="00D36D38"/>
    <w:rsid w:val="00D43D95"/>
    <w:rsid w:val="00D63D7A"/>
    <w:rsid w:val="00D71F97"/>
    <w:rsid w:val="00D768F5"/>
    <w:rsid w:val="00D8028C"/>
    <w:rsid w:val="00D85665"/>
    <w:rsid w:val="00DC37F3"/>
    <w:rsid w:val="00E03DC1"/>
    <w:rsid w:val="00E15AE2"/>
    <w:rsid w:val="00E303BB"/>
    <w:rsid w:val="00E3097A"/>
    <w:rsid w:val="00E30DBD"/>
    <w:rsid w:val="00E509BD"/>
    <w:rsid w:val="00EA27B8"/>
    <w:rsid w:val="00EC193B"/>
    <w:rsid w:val="00EC72C8"/>
    <w:rsid w:val="00F07326"/>
    <w:rsid w:val="00F17D9E"/>
    <w:rsid w:val="00F223C1"/>
    <w:rsid w:val="00F6281C"/>
    <w:rsid w:val="00F71363"/>
    <w:rsid w:val="00F85F4B"/>
    <w:rsid w:val="00F95E15"/>
    <w:rsid w:val="00FB407B"/>
    <w:rsid w:val="00FB42B3"/>
    <w:rsid w:val="00FB7282"/>
    <w:rsid w:val="00FB73BD"/>
    <w:rsid w:val="00FC7084"/>
    <w:rsid w:val="00FF43AC"/>
    <w:rsid w:val="00FF69F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E618-0AC4-4E7D-969F-9359C3E9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264</Words>
  <Characters>1505</Characters>
  <Application>Microsoft Office Word</Application>
  <DocSecurity>0</DocSecurity>
  <Lines>0</Lines>
  <Paragraphs>0</Paragraphs>
  <ScaleCrop>false</ScaleCrop>
  <Company>MPSVR SR</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2013-05-31T09:56:00Z</dcterms:created>
  <dcterms:modified xsi:type="dcterms:W3CDTF">2013-05-31T09:56:00Z</dcterms:modified>
</cp:coreProperties>
</file>