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2510E" w:rsidP="0012510E">
      <w:pPr>
        <w:rPr>
          <w:b/>
          <w:szCs w:val="24"/>
        </w:rPr>
      </w:pPr>
    </w:p>
    <w:p w:rsidR="0012510E" w:rsidP="0012510E">
      <w:pPr>
        <w:tabs>
          <w:tab w:val="left" w:pos="0"/>
        </w:tabs>
        <w:rPr>
          <w:b/>
          <w:spacing w:val="-3"/>
          <w:szCs w:val="24"/>
        </w:rPr>
      </w:pPr>
    </w:p>
    <w:p w:rsidR="0012510E" w:rsidP="0012510E">
      <w:pPr>
        <w:tabs>
          <w:tab w:val="left" w:pos="0"/>
        </w:tabs>
        <w:rPr>
          <w:b/>
          <w:spacing w:val="-3"/>
          <w:szCs w:val="24"/>
        </w:rPr>
      </w:pPr>
    </w:p>
    <w:p w:rsidR="0012510E" w:rsidP="0012510E">
      <w:pPr>
        <w:tabs>
          <w:tab w:val="left" w:pos="0"/>
        </w:tabs>
        <w:rPr>
          <w:b/>
          <w:spacing w:val="-3"/>
          <w:szCs w:val="24"/>
        </w:rPr>
      </w:pPr>
    </w:p>
    <w:p w:rsidR="0012510E" w:rsidP="0012510E">
      <w:pPr>
        <w:tabs>
          <w:tab w:val="right" w:pos="9639"/>
        </w:tabs>
        <w:jc w:val="both"/>
        <w:outlineLvl w:val="0"/>
        <w:rPr>
          <w:rFonts w:ascii="Palatino" w:hAnsi="Palatino" w:cs="Palatino"/>
          <w:i/>
          <w:spacing w:val="-2"/>
          <w:sz w:val="19"/>
          <w:szCs w:val="24"/>
          <w:lang w:val="en-US"/>
        </w:rPr>
      </w:pPr>
      <w:r>
        <w:rPr>
          <w:rFonts w:ascii="Palatino" w:hAnsi="Palatino" w:cs="Palatino"/>
          <w:i/>
          <w:noProof/>
          <w:spacing w:val="-2"/>
          <w:sz w:val="19"/>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13.25pt;height:84.75pt;margin-top:21.25pt;margin-left:442.25pt;mso-position-horizontal-relative:page;mso-position-vertical-relative:page;position:absolute;z-index:251658240" o:allowincell="f" stroked="f">
            <v:imagedata r:id="rId4" o:title=""/>
            <w10:wrap type="square"/>
            <w10:anchorlock/>
          </v:shape>
        </w:pict>
      </w:r>
      <w:r>
        <w:rPr>
          <w:rFonts w:ascii="Palatino" w:hAnsi="Palatino" w:cs="Palatino"/>
          <w:i/>
          <w:spacing w:val="-2"/>
          <w:sz w:val="19"/>
          <w:szCs w:val="24"/>
          <w:lang w:val="en-US"/>
        </w:rPr>
        <w:tab/>
        <w:t>Council of Europe Treaty Series - No. 199</w:t>
      </w:r>
    </w:p>
    <w:p w:rsidR="0012510E" w:rsidP="0012510E">
      <w:pPr>
        <w:rPr>
          <w:b/>
          <w:sz w:val="29"/>
          <w:szCs w:val="24"/>
        </w:rPr>
      </w:pPr>
    </w:p>
    <w:p w:rsidR="0012510E" w:rsidP="0012510E">
      <w:pPr>
        <w:rPr>
          <w:b/>
          <w:sz w:val="28"/>
          <w:szCs w:val="24"/>
        </w:rPr>
      </w:pPr>
    </w:p>
    <w:p w:rsidR="0012510E" w:rsidP="0012510E">
      <w:pPr>
        <w:rPr>
          <w:b/>
          <w:sz w:val="29"/>
          <w:szCs w:val="24"/>
        </w:rPr>
      </w:pPr>
    </w:p>
    <w:p w:rsidR="0012510E" w:rsidP="0012510E">
      <w:pPr>
        <w:rPr>
          <w:b/>
          <w:sz w:val="29"/>
          <w:szCs w:val="24"/>
        </w:rPr>
      </w:pPr>
    </w:p>
    <w:p w:rsidR="0012510E" w:rsidP="0012510E">
      <w:pPr>
        <w:rPr>
          <w:b/>
          <w:sz w:val="29"/>
          <w:szCs w:val="24"/>
        </w:rPr>
      </w:pPr>
    </w:p>
    <w:p w:rsidR="0012510E" w:rsidP="0012510E">
      <w:pPr>
        <w:rPr>
          <w:b/>
          <w:sz w:val="29"/>
          <w:szCs w:val="24"/>
        </w:rPr>
      </w:pPr>
    </w:p>
    <w:p w:rsidR="0012510E" w:rsidP="0012510E">
      <w:pPr>
        <w:ind w:left="2552"/>
        <w:outlineLvl w:val="0"/>
        <w:rPr>
          <w:rFonts w:ascii="Arial Narrow" w:hAnsi="Arial Narrow" w:cs="Arial Narrow"/>
          <w:sz w:val="40"/>
          <w:szCs w:val="24"/>
        </w:rPr>
      </w:pPr>
    </w:p>
    <w:p w:rsidR="0012510E" w:rsidP="0012510E">
      <w:pPr>
        <w:ind w:left="2552"/>
        <w:outlineLvl w:val="0"/>
        <w:rPr>
          <w:rFonts w:ascii="Arial Narrow" w:hAnsi="Arial Narrow" w:cs="Arial Narrow"/>
          <w:sz w:val="40"/>
          <w:szCs w:val="24"/>
        </w:rPr>
      </w:pPr>
    </w:p>
    <w:p w:rsidR="0012510E" w:rsidP="0012510E">
      <w:pPr>
        <w:ind w:left="2552"/>
        <w:outlineLvl w:val="0"/>
        <w:rPr>
          <w:rFonts w:ascii="Arial Narrow" w:hAnsi="Arial Narrow" w:cs="Arial Narrow"/>
          <w:sz w:val="40"/>
          <w:szCs w:val="24"/>
        </w:rPr>
      </w:pPr>
    </w:p>
    <w:p w:rsidR="0012510E" w:rsidP="0012510E">
      <w:pPr>
        <w:ind w:left="2552"/>
        <w:outlineLvl w:val="0"/>
        <w:rPr>
          <w:rFonts w:ascii="Arial Narrow" w:hAnsi="Arial Narrow" w:cs="Arial Narrow"/>
          <w:sz w:val="40"/>
          <w:szCs w:val="24"/>
        </w:rPr>
      </w:pPr>
    </w:p>
    <w:p w:rsidR="0012510E" w:rsidP="0012510E">
      <w:pPr>
        <w:ind w:left="2552"/>
        <w:outlineLvl w:val="0"/>
        <w:rPr>
          <w:rFonts w:ascii="Arial Narrow" w:hAnsi="Arial Narrow" w:cs="Arial Narrow"/>
          <w:sz w:val="40"/>
          <w:szCs w:val="24"/>
        </w:rPr>
      </w:pPr>
      <w:r w:rsidRPr="006D6B6E">
        <w:rPr>
          <w:rFonts w:ascii="Arial Narrow" w:hAnsi="Arial Narrow" w:cs="Arial Narrow"/>
          <w:sz w:val="40"/>
          <w:szCs w:val="24"/>
        </w:rPr>
        <w:t>Council of Europe</w:t>
      </w:r>
      <w:r>
        <w:rPr>
          <w:rFonts w:ascii="Arial Narrow" w:hAnsi="Arial Narrow" w:cs="Arial Narrow"/>
          <w:sz w:val="40"/>
          <w:szCs w:val="24"/>
        </w:rPr>
        <w:t xml:space="preserve"> </w:t>
      </w:r>
    </w:p>
    <w:p w:rsidR="0012510E" w:rsidP="0012510E">
      <w:pPr>
        <w:ind w:left="2552"/>
        <w:outlineLvl w:val="0"/>
        <w:rPr>
          <w:rFonts w:ascii="Arial Narrow" w:hAnsi="Arial Narrow" w:cs="Arial Narrow"/>
          <w:sz w:val="40"/>
          <w:szCs w:val="24"/>
        </w:rPr>
      </w:pPr>
      <w:r>
        <w:rPr>
          <w:rFonts w:ascii="Arial Narrow" w:hAnsi="Arial Narrow" w:cs="Arial Narrow"/>
          <w:sz w:val="40"/>
          <w:szCs w:val="24"/>
        </w:rPr>
        <w:t>Framework Convention</w:t>
      </w:r>
    </w:p>
    <w:p w:rsidR="0012510E" w:rsidP="0012510E">
      <w:pPr>
        <w:ind w:left="2552"/>
        <w:rPr>
          <w:rFonts w:ascii="Arial Narrow" w:hAnsi="Arial Narrow" w:cs="Arial Narrow"/>
          <w:sz w:val="40"/>
          <w:szCs w:val="24"/>
          <w:lang w:val="en-US"/>
        </w:rPr>
      </w:pPr>
      <w:r w:rsidRPr="00F80DE6">
        <w:rPr>
          <w:rFonts w:ascii="Arial Narrow" w:hAnsi="Arial Narrow" w:cs="Arial Narrow"/>
          <w:sz w:val="40"/>
          <w:szCs w:val="24"/>
          <w:lang w:val="en-US"/>
        </w:rPr>
        <w:t xml:space="preserve">on </w:t>
      </w:r>
      <w:r>
        <w:rPr>
          <w:rFonts w:ascii="Arial Narrow" w:hAnsi="Arial Narrow" w:cs="Arial Narrow"/>
          <w:sz w:val="40"/>
          <w:szCs w:val="24"/>
          <w:lang w:val="en-US"/>
        </w:rPr>
        <w:t>the Value of Cultural</w:t>
      </w:r>
    </w:p>
    <w:p w:rsidR="0012510E" w:rsidP="0012510E">
      <w:pPr>
        <w:ind w:left="2552"/>
        <w:rPr>
          <w:rFonts w:ascii="Arial Narrow" w:hAnsi="Arial Narrow" w:cs="Arial Narrow"/>
          <w:sz w:val="40"/>
          <w:szCs w:val="24"/>
          <w:lang w:val="en-US"/>
        </w:rPr>
      </w:pPr>
      <w:r>
        <w:rPr>
          <w:rFonts w:ascii="Arial Narrow" w:hAnsi="Arial Narrow" w:cs="Arial Narrow"/>
          <w:sz w:val="40"/>
          <w:szCs w:val="24"/>
          <w:lang w:val="en-US"/>
        </w:rPr>
        <w:t>Heritage for Society</w:t>
      </w:r>
    </w:p>
    <w:p w:rsidR="0012510E" w:rsidRPr="000D6CE0" w:rsidP="0012510E">
      <w:pPr>
        <w:ind w:left="2552"/>
        <w:rPr>
          <w:rFonts w:ascii="Arial Narrow" w:hAnsi="Arial Narrow" w:cs="Arial Narrow"/>
          <w:sz w:val="40"/>
          <w:szCs w:val="24"/>
          <w:lang w:val="fr-FR"/>
        </w:rPr>
      </w:pPr>
    </w:p>
    <w:p w:rsidR="0012510E" w:rsidRPr="000D6CE0" w:rsidP="0012510E">
      <w:pPr>
        <w:ind w:left="2552"/>
        <w:rPr>
          <w:rFonts w:ascii="Arial Narrow" w:hAnsi="Arial Narrow" w:cs="Arial Narrow"/>
          <w:sz w:val="40"/>
          <w:szCs w:val="24"/>
          <w:lang w:val="fr-FR"/>
        </w:rPr>
      </w:pPr>
    </w:p>
    <w:p w:rsidR="0012510E" w:rsidRPr="000D6CE0" w:rsidP="0012510E">
      <w:pPr>
        <w:ind w:left="2552"/>
        <w:rPr>
          <w:sz w:val="40"/>
          <w:szCs w:val="24"/>
          <w:lang w:val="fr-FR"/>
        </w:rPr>
      </w:pPr>
    </w:p>
    <w:p w:rsidR="0012510E" w:rsidRPr="000D6CE0" w:rsidP="0012510E">
      <w:pPr>
        <w:ind w:left="2552"/>
        <w:rPr>
          <w:sz w:val="40"/>
          <w:szCs w:val="24"/>
          <w:lang w:val="fr-FR"/>
        </w:rPr>
      </w:pPr>
    </w:p>
    <w:p w:rsidR="0012510E" w:rsidP="0012510E">
      <w:pPr>
        <w:ind w:left="2552"/>
        <w:outlineLvl w:val="0"/>
        <w:rPr>
          <w:rFonts w:ascii="Arial Narrow" w:hAnsi="Arial Narrow" w:cs="Arial Narrow"/>
          <w:sz w:val="40"/>
          <w:szCs w:val="24"/>
          <w:lang w:val="fr-FR"/>
        </w:rPr>
      </w:pPr>
    </w:p>
    <w:p w:rsidR="0012510E" w:rsidP="0012510E">
      <w:pPr>
        <w:tabs>
          <w:tab w:val="left" w:pos="0"/>
        </w:tabs>
        <w:ind w:left="2552"/>
        <w:rPr>
          <w:b/>
          <w:spacing w:val="-3"/>
          <w:sz w:val="29"/>
          <w:szCs w:val="24"/>
          <w:lang w:val="fr-FR"/>
        </w:rPr>
      </w:pPr>
    </w:p>
    <w:p w:rsidR="0012510E" w:rsidP="0012510E">
      <w:pPr>
        <w:tabs>
          <w:tab w:val="left" w:pos="0"/>
        </w:tabs>
        <w:ind w:left="2552"/>
        <w:rPr>
          <w:b/>
          <w:spacing w:val="-3"/>
          <w:sz w:val="29"/>
          <w:szCs w:val="24"/>
          <w:lang w:val="fr-FR"/>
        </w:rPr>
      </w:pPr>
    </w:p>
    <w:p w:rsidR="0012510E" w:rsidP="0012510E">
      <w:pPr>
        <w:tabs>
          <w:tab w:val="left" w:pos="0"/>
        </w:tabs>
        <w:ind w:left="2552"/>
        <w:rPr>
          <w:b/>
          <w:spacing w:val="-3"/>
          <w:sz w:val="29"/>
          <w:szCs w:val="24"/>
          <w:lang w:val="fr-FR"/>
        </w:rPr>
      </w:pPr>
    </w:p>
    <w:p w:rsidR="0012510E" w:rsidRPr="00416219" w:rsidP="0012510E">
      <w:pPr>
        <w:tabs>
          <w:tab w:val="left" w:pos="0"/>
        </w:tabs>
        <w:ind w:left="2552"/>
        <w:rPr>
          <w:spacing w:val="-3"/>
          <w:sz w:val="29"/>
          <w:szCs w:val="24"/>
          <w:lang w:val="fr-FR"/>
        </w:rPr>
      </w:pPr>
      <w:r>
        <w:rPr>
          <w:spacing w:val="-3"/>
          <w:sz w:val="29"/>
          <w:szCs w:val="24"/>
          <w:lang w:val="fr-FR"/>
        </w:rPr>
        <w:t>Faro</w:t>
      </w:r>
      <w:r w:rsidRPr="00416219">
        <w:rPr>
          <w:spacing w:val="-3"/>
          <w:sz w:val="29"/>
          <w:szCs w:val="24"/>
          <w:lang w:val="fr-FR"/>
        </w:rPr>
        <w:t xml:space="preserve">, </w:t>
      </w:r>
      <w:r>
        <w:rPr>
          <w:spacing w:val="-3"/>
          <w:sz w:val="29"/>
          <w:szCs w:val="24"/>
          <w:lang w:val="fr-FR"/>
        </w:rPr>
        <w:t>27</w:t>
      </w:r>
      <w:r w:rsidRPr="00416219">
        <w:rPr>
          <w:spacing w:val="-3"/>
          <w:sz w:val="29"/>
          <w:szCs w:val="24"/>
          <w:lang w:val="fr-FR"/>
        </w:rPr>
        <w:t>.</w:t>
      </w:r>
      <w:r>
        <w:rPr>
          <w:spacing w:val="-3"/>
          <w:sz w:val="29"/>
          <w:szCs w:val="24"/>
          <w:lang w:val="fr-FR"/>
        </w:rPr>
        <w:t>X</w:t>
      </w:r>
      <w:r w:rsidRPr="00416219">
        <w:rPr>
          <w:spacing w:val="-3"/>
          <w:sz w:val="29"/>
          <w:szCs w:val="24"/>
          <w:lang w:val="fr-FR"/>
        </w:rPr>
        <w:t>.2005</w:t>
      </w:r>
    </w:p>
    <w:p w:rsidR="0012510E" w:rsidP="0012510E">
      <w:pPr>
        <w:tabs>
          <w:tab w:val="left" w:pos="0"/>
        </w:tabs>
        <w:ind w:left="2552"/>
        <w:rPr>
          <w:b/>
          <w:spacing w:val="-3"/>
          <w:sz w:val="29"/>
          <w:szCs w:val="24"/>
          <w:lang w:val="fr-FR"/>
        </w:rPr>
      </w:pPr>
    </w:p>
    <w:p w:rsidR="0012510E" w:rsidP="0012510E">
      <w:pPr>
        <w:tabs>
          <w:tab w:val="left" w:pos="0"/>
        </w:tabs>
        <w:ind w:left="2552"/>
        <w:rPr>
          <w:b/>
          <w:spacing w:val="-3"/>
          <w:sz w:val="29"/>
          <w:szCs w:val="24"/>
          <w:lang w:val="fr-FR"/>
        </w:rPr>
      </w:pPr>
    </w:p>
    <w:p w:rsidR="0012510E" w:rsidP="0012510E">
      <w:pPr>
        <w:tabs>
          <w:tab w:val="left" w:pos="0"/>
        </w:tabs>
        <w:ind w:left="2552"/>
        <w:rPr>
          <w:b/>
          <w:spacing w:val="-3"/>
          <w:sz w:val="29"/>
          <w:szCs w:val="24"/>
          <w:lang w:val="fr-FR"/>
        </w:rPr>
      </w:pPr>
    </w:p>
    <w:p w:rsidR="0012510E" w:rsidP="0012510E">
      <w:pPr>
        <w:tabs>
          <w:tab w:val="left" w:pos="0"/>
        </w:tabs>
        <w:ind w:left="2552"/>
        <w:rPr>
          <w:b/>
          <w:spacing w:val="-3"/>
          <w:sz w:val="29"/>
          <w:szCs w:val="24"/>
          <w:lang w:val="fr-FR"/>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b/>
          <w:spacing w:val="-3"/>
          <w:sz w:val="29"/>
          <w:szCs w:val="24"/>
          <w:lang w:val="fr-FR"/>
        </w:rPr>
        <w:br w:type="page"/>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Preamble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member States of the Council of Europe, Signatories hereto,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Considering that one of the aims of the Council of Europe is to achieve greater unity between its members for the purpose of safeguarding and fostering the ideals and principles, founded upon respect for human rights, democracy and the rule of law, which are their common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Recognising the need to put people and human values at the centre of an enlarged and cross-disciplinary concept of cultural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Emphasising the value and potential of cultural heritage wisely used as a resource for sustainable development and quality of life in a constantly evolving society;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Recognising that every person has a right to engage with the cultural heritage of their choice, while respecting the rights and freedoms of others, as an aspect of the right freely to participate in cultural life enshrined in the United Nations Universal Declaration of Human Rights (1948) and guaranteed by the International Covenant on Economic, Social and Cultural Rights (1966);</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Convinced of the need to involve everyone in society in the ongoing process of defining and managing cultural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r>
      <w:r w:rsidRPr="007872B4">
        <w:rPr>
          <w:rFonts w:ascii="Palatino Linotype" w:hAnsi="Palatino Linotype" w:cs="Palatino Linotype"/>
          <w:szCs w:val="24"/>
        </w:rPr>
        <w:t>Convinced of the soundness of the principle of heritage policies and educational initiatives which</w:t>
      </w:r>
      <w:r>
        <w:rPr>
          <w:rFonts w:ascii="Palatino Linotype" w:hAnsi="Palatino Linotype" w:cs="Palatino Linotype"/>
          <w:szCs w:val="24"/>
        </w:rPr>
        <w:t xml:space="preserve"> treat all cultural heritages equitably and so promote dialogue among cultures and religions;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Referring to the various instruments of the Council of Europe, in particular the European Cultural Convention (1954), the Convention for the Protection of the Architectural Heritage of Europe (1985), the European Convention on the Protection of the Archaeological Heritage (1992, revised) and the European Landscape Convention (2000);</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Convinced of the importance of creating a pan-European framework for co-operation in the dynamic process of putting these principles into effect;</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Have agreed as follows: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Section I –</w:t>
        <w:tab/>
        <w:t>Aims, definitions and principles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sz w:val="20"/>
          <w:szCs w:val="24"/>
          <w:lang w:eastAsia="fr-FR"/>
        </w:rPr>
      </w:pPr>
      <w:r>
        <w:rPr>
          <w:rFonts w:ascii="Palatino Linotype" w:hAnsi="Palatino Linotype" w:cs="Palatino Linotype"/>
          <w:sz w:val="20"/>
          <w:szCs w:val="24"/>
          <w:lang w:eastAsia="fr-FR"/>
        </w:rPr>
        <w:tab/>
        <w:tab/>
        <w:t>Article 1 – Aims of the Convention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to this Convention agree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recognise that rights relating to cultural heritage are inherent in the right to participate in cultural life, as defined in the Universal Declaration of Human Rights;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recognise individual and collective responsibility towards cultural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emphasise that the conservation of cultural heritage and its sustainable use have human development and quality of life as their goal;</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br w:type="page"/>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take the necessary steps to apply the provisions of this Convention concerning:</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 xml:space="preserve">the role of cultural heritage in the construction of a peaceful and democratic society, and in the processes of sustainable development and the promotion of cultural diversity; </w:t>
      </w: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greater synergy of competencies among all the public, institutional and private actors concerned.</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sz w:val="20"/>
          <w:szCs w:val="24"/>
          <w:lang w:eastAsia="fr-FR"/>
        </w:rPr>
      </w:pPr>
      <w:r>
        <w:rPr>
          <w:rFonts w:ascii="Palatino Linotype" w:hAnsi="Palatino Linotype" w:cs="Palatino Linotype"/>
          <w:sz w:val="20"/>
          <w:szCs w:val="24"/>
          <w:lang w:eastAsia="fr-FR"/>
        </w:rPr>
        <w:tab/>
        <w:tab/>
        <w:t xml:space="preserve">Article 2 – Definitions </w:t>
      </w: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sz w:val="20"/>
          <w:szCs w:val="24"/>
          <w:lang w:eastAsia="fr-FR"/>
        </w:rPr>
      </w:pP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b w:val="0"/>
          <w:sz w:val="20"/>
          <w:szCs w:val="24"/>
          <w:lang w:eastAsia="fr-FR"/>
        </w:rPr>
      </w:pPr>
      <w:r>
        <w:rPr>
          <w:rFonts w:ascii="Palatino Linotype" w:hAnsi="Palatino Linotype" w:cs="Palatino Linotype"/>
          <w:b w:val="0"/>
          <w:sz w:val="20"/>
          <w:szCs w:val="24"/>
          <w:lang w:eastAsia="fr-FR"/>
        </w:rPr>
        <w:tab/>
        <w:tab/>
        <w:t>For the purposes of this Convention,</w:t>
      </w: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sz w:val="20"/>
          <w:szCs w:val="24"/>
          <w:lang w:eastAsia="fr-FR"/>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cultural heritage is a group of resources inherited from the past which people identify, independently of ownership, as a reflection and expression of their constantly evolving values, beliefs, knowledge and traditions. It includes all aspects of the environment resulting from the interaction between people and places through time;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a heritage community consists of people who value specific aspects of cultural heritage which they wish, within the framework of public action, to sustain and transmit to future generations.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Article 3 –The common heritage of Europe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RPr="007872B4"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r>
      <w:r w:rsidRPr="007872B4">
        <w:rPr>
          <w:rFonts w:ascii="Palatino Linotype" w:hAnsi="Palatino Linotype" w:cs="Palatino Linotype"/>
          <w:szCs w:val="24"/>
        </w:rPr>
        <w:t>The Parties agree to promote an understanding of the common heritage of Europe</w:t>
      </w:r>
      <w:r>
        <w:rPr>
          <w:rFonts w:ascii="Palatino Linotype" w:hAnsi="Palatino Linotype" w:cs="Palatino Linotype"/>
          <w:szCs w:val="24"/>
        </w:rPr>
        <w:t>,</w:t>
      </w:r>
      <w:r w:rsidRPr="007872B4">
        <w:rPr>
          <w:rFonts w:ascii="Palatino Linotype" w:hAnsi="Palatino Linotype" w:cs="Palatino Linotype"/>
          <w:szCs w:val="24"/>
        </w:rPr>
        <w:t xml:space="preserve"> which consists of:</w:t>
      </w:r>
    </w:p>
    <w:p w:rsidR="0012510E" w:rsidRPr="007872B4"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sidRPr="007872B4">
        <w:rPr>
          <w:rFonts w:ascii="Palatino Linotype" w:hAnsi="Palatino Linotype" w:cs="Palatino Linotype"/>
          <w:szCs w:val="24"/>
        </w:rPr>
        <w:tab/>
      </w:r>
      <w:r w:rsidRPr="007872B4">
        <w:rPr>
          <w:rFonts w:ascii="Palatino Linotype" w:hAnsi="Palatino Linotype" w:cs="Palatino Linotype"/>
          <w:sz w:val="16"/>
          <w:szCs w:val="24"/>
        </w:rPr>
        <w:t>a</w:t>
      </w:r>
      <w:r w:rsidRPr="007872B4">
        <w:rPr>
          <w:rFonts w:ascii="Palatino Linotype" w:hAnsi="Palatino Linotype" w:cs="Palatino Linotype"/>
          <w:szCs w:val="24"/>
        </w:rPr>
        <w:tab/>
        <w:t>all forms of cultural heritage in Europe which together constitute a shared source of remembrance,</w:t>
      </w:r>
      <w:r>
        <w:rPr>
          <w:rFonts w:ascii="Palatino Linotype" w:hAnsi="Palatino Linotype" w:cs="Palatino Linotype"/>
          <w:szCs w:val="24"/>
        </w:rPr>
        <w:t xml:space="preserve"> understanding, identity, cohesion and creativity, and</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the ideals, principles and values,</w:t>
      </w:r>
      <w:r>
        <w:rPr>
          <w:rFonts w:ascii="Palatino Linotype" w:hAnsi="Palatino Linotype" w:cs="Palatino Linotype"/>
          <w:color w:val="339966"/>
          <w:szCs w:val="24"/>
        </w:rPr>
        <w:t xml:space="preserve"> </w:t>
      </w:r>
      <w:r>
        <w:rPr>
          <w:rFonts w:ascii="Palatino Linotype" w:hAnsi="Palatino Linotype" w:cs="Palatino Linotype"/>
          <w:szCs w:val="24"/>
        </w:rPr>
        <w:t>derived from the experience gained through progress and past conflicts, which</w:t>
      </w:r>
      <w:r>
        <w:rPr>
          <w:rFonts w:ascii="Palatino Linotype" w:hAnsi="Palatino Linotype" w:cs="Palatino Linotype"/>
          <w:color w:val="339966"/>
          <w:szCs w:val="24"/>
        </w:rPr>
        <w:t xml:space="preserve"> </w:t>
      </w:r>
      <w:r>
        <w:rPr>
          <w:rFonts w:ascii="Palatino Linotype" w:hAnsi="Palatino Linotype" w:cs="Palatino Linotype"/>
          <w:szCs w:val="24"/>
        </w:rPr>
        <w:t>foster the development of a peaceful and stable society, founded on respect for human rights, democracy and the rule of law.</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Article 4 – Rights and responsibilities</w:t>
      </w:r>
      <w:r>
        <w:rPr>
          <w:rFonts w:ascii="Palatino Linotype" w:hAnsi="Palatino Linotype" w:cs="Palatino Linotype"/>
          <w:b/>
          <w:i/>
          <w:szCs w:val="24"/>
        </w:rPr>
        <w:t xml:space="preserve"> </w:t>
      </w:r>
      <w:r>
        <w:rPr>
          <w:rFonts w:ascii="Palatino Linotype" w:hAnsi="Palatino Linotype" w:cs="Palatino Linotype"/>
          <w:b/>
          <w:szCs w:val="24"/>
        </w:rPr>
        <w:t>relating to cultural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recognise that:</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 xml:space="preserve">everyone, alone or collectively, has the right to benefit from the cultural heritage and to contribute towards its enrichment;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everyone, alone or collectively, has the responsibility</w:t>
      </w:r>
      <w:r>
        <w:rPr>
          <w:rFonts w:ascii="Palatino Linotype" w:hAnsi="Palatino Linotype" w:cs="Palatino Linotype"/>
          <w:i/>
          <w:szCs w:val="24"/>
        </w:rPr>
        <w:t xml:space="preserve"> </w:t>
      </w:r>
      <w:r>
        <w:rPr>
          <w:rFonts w:ascii="Palatino Linotype" w:hAnsi="Palatino Linotype" w:cs="Palatino Linotype"/>
          <w:szCs w:val="24"/>
        </w:rPr>
        <w:t>to respect the cultural heritage of others as much as their own heritage, and consequently the common heritage of Europe;</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 xml:space="preserve">c </w:t>
      </w:r>
      <w:r>
        <w:rPr>
          <w:rFonts w:ascii="Palatino Linotype" w:hAnsi="Palatino Linotype" w:cs="Palatino Linotype"/>
          <w:szCs w:val="24"/>
        </w:rPr>
        <w:tab/>
        <w:t>exercise of the right to cultural heritage may be subject only to those restrictions which are necessary in a democratic society for the protection of the public interest and the rights and freedoms of others.</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br w:type="page"/>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b/>
          <w:szCs w:val="24"/>
        </w:rPr>
        <w:tab/>
        <w:tab/>
        <w:t>Article 5 – Cultural heritage law and policies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undertake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recognise the public interest associated with elements of the cultural heritage in accordance with</w:t>
      </w:r>
      <w:r>
        <w:rPr>
          <w:rFonts w:ascii="Palatino Linotype" w:hAnsi="Palatino Linotype" w:cs="Palatino Linotype"/>
          <w:color w:val="FF0000"/>
          <w:szCs w:val="24"/>
        </w:rPr>
        <w:t xml:space="preserve"> </w:t>
      </w:r>
      <w:r>
        <w:rPr>
          <w:rFonts w:ascii="Palatino Linotype" w:hAnsi="Palatino Linotype" w:cs="Palatino Linotype"/>
          <w:szCs w:val="24"/>
        </w:rPr>
        <w:t>their importance to society;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enhance the value of the cultural heritage through its identification, study, interpretation, protection, conservation and presentation;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 xml:space="preserve">ensure, in the specific context of each Party, that legislative provisions exist for exercising the right to cultural heritage as defined in Article 4;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 xml:space="preserve">foster an economic and social climate which supports participation in cultural heritage activities;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e</w:t>
      </w:r>
      <w:r>
        <w:rPr>
          <w:rFonts w:ascii="Palatino Linotype" w:hAnsi="Palatino Linotype" w:cs="Palatino Linotype"/>
          <w:szCs w:val="24"/>
        </w:rPr>
        <w:tab/>
        <w:t>promote cultural heritage protection as a central factor in the mutually supporting objectives of sustainable development, cultural diversity and contemporary creativity;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f</w:t>
      </w:r>
      <w:r>
        <w:rPr>
          <w:rFonts w:ascii="Palatino Linotype" w:hAnsi="Palatino Linotype" w:cs="Palatino Linotype"/>
          <w:szCs w:val="24"/>
        </w:rPr>
        <w:tab/>
        <w:t>recognise the value of cultural heritage situated on territories under their jurisdiction, regardless of its origin;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g</w:t>
      </w:r>
      <w:r>
        <w:rPr>
          <w:rFonts w:ascii="Palatino Linotype" w:hAnsi="Palatino Linotype" w:cs="Palatino Linotype"/>
          <w:szCs w:val="24"/>
        </w:rPr>
        <w:tab/>
        <w:t>formulate integrated strategies to facilitate the implementation of the provisions of this Convention.</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 xml:space="preserve">Article 6 – Effects of the Convention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No provision of this Convention shall be interpreted so as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sidRPr="007872B4">
        <w:rPr>
          <w:rFonts w:ascii="Palatino Linotype" w:hAnsi="Palatino Linotype" w:cs="Palatino Linotype"/>
          <w:sz w:val="16"/>
          <w:szCs w:val="24"/>
        </w:rPr>
        <w:t>a</w:t>
      </w:r>
      <w:r w:rsidRPr="007872B4">
        <w:rPr>
          <w:rFonts w:ascii="Palatino Linotype" w:hAnsi="Palatino Linotype" w:cs="Palatino Linotype"/>
          <w:szCs w:val="24"/>
        </w:rPr>
        <w:tab/>
        <w:t>limit or undermine the human rights and fundamental freedoms which may be safeguarded by</w:t>
      </w:r>
      <w:r>
        <w:rPr>
          <w:rFonts w:ascii="Palatino Linotype" w:hAnsi="Palatino Linotype" w:cs="Palatino Linotype"/>
          <w:szCs w:val="24"/>
        </w:rPr>
        <w:t xml:space="preserve"> international instruments, in particular, the Universal Declaration of Human Rights and the Convention for the Protection of  Human Rights and Fundamental Freedoms;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affect more favourable provisions concerning cultural heritage and environment contained in other national or international legal instruments;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b w:val="0"/>
          <w:sz w:val="20"/>
          <w:szCs w:val="24"/>
          <w:lang w:eastAsia="fr-FR"/>
        </w:rPr>
      </w:pPr>
      <w:r>
        <w:rPr>
          <w:rFonts w:ascii="Palatino Linotype" w:hAnsi="Palatino Linotype" w:cs="Palatino Linotype"/>
          <w:b w:val="0"/>
          <w:sz w:val="20"/>
          <w:szCs w:val="24"/>
          <w:lang w:eastAsia="fr-FR"/>
        </w:rPr>
        <w:tab/>
      </w:r>
      <w:r>
        <w:rPr>
          <w:rFonts w:ascii="Palatino Linotype" w:hAnsi="Palatino Linotype" w:cs="Palatino Linotype"/>
          <w:b w:val="0"/>
          <w:sz w:val="16"/>
          <w:szCs w:val="24"/>
          <w:lang w:eastAsia="fr-FR"/>
        </w:rPr>
        <w:t>c</w:t>
      </w:r>
      <w:r>
        <w:rPr>
          <w:rFonts w:ascii="Palatino Linotype" w:hAnsi="Palatino Linotype" w:cs="Palatino Linotype"/>
          <w:b w:val="0"/>
          <w:sz w:val="20"/>
          <w:szCs w:val="24"/>
          <w:lang w:eastAsia="fr-FR"/>
        </w:rPr>
        <w:tab/>
        <w:t>create enforceable rights.</w:t>
      </w: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sz w:val="20"/>
          <w:szCs w:val="24"/>
          <w:lang w:eastAsia="fr-FR"/>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b/>
          <w:szCs w:val="24"/>
        </w:rPr>
        <w:t>Section II –</w:t>
        <w:tab/>
        <w:t>Contribution of cultural heritage to society and human development</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b/>
          <w:szCs w:val="24"/>
        </w:rPr>
        <w:tab/>
        <w:tab/>
        <w:t>Article 7 – Cultural heritage and dialogue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undertake, through the public authorities and other competent bodies,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encourage reflection on the ethics and methods of presentation of the cultural heritage, as well as respect for diversity of interpretations;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establish processes for conciliation to deal equitably with situations where contradictory values are placed on the same cultural heritage by different communities;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br w:type="page"/>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develop knowledge of cultural heritage as a resource to facilitate peaceful co-existence by promoting trust and mutual understanding with a view to resolution and prevention of conflicts;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integrate these approaches into all aspects of lifelong education and training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b/>
          <w:szCs w:val="24"/>
        </w:rPr>
        <w:tab/>
        <w:tab/>
        <w:t>Article 8 – Environment, heritage and quality of life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undertake to utilise all heritage aspects of the cultural environment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enrich the processes of economic, political, social and cultural development and land-use planning, resorting to cultural heritage impact assessments and adopting mitigation strategies where necessary;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promote an integrated approach to policies concerning cultural, biological, geological and landscape diversity to achieve a balance between these elements;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reinforce social cohesion by fostering a sense of shared responsibility towards the places in which people live;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promote the objective of quality in contemporary additions to the environment without endangering its cultural values.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b/>
          <w:szCs w:val="24"/>
        </w:rPr>
        <w:tab/>
        <w:tab/>
        <w:t>Article 9 – Sustainable use of the cultural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 xml:space="preserve">To sustain the cultural heritage, the Parties undertake to: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 xml:space="preserve">promote respect for the integrity of the cultural heritage by ensuring that decisions about change </w:t>
      </w:r>
      <w:r w:rsidRPr="007872B4">
        <w:rPr>
          <w:rFonts w:ascii="Palatino Linotype" w:hAnsi="Palatino Linotype" w:cs="Palatino Linotype"/>
          <w:szCs w:val="24"/>
        </w:rPr>
        <w:t>include an understanding of the cultural values involved;</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define and promote principles for sustainable management, and to encourage maintenance;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sidRPr="007872B4">
        <w:rPr>
          <w:rFonts w:ascii="Palatino Linotype" w:hAnsi="Palatino Linotype" w:cs="Palatino Linotype"/>
          <w:sz w:val="16"/>
          <w:szCs w:val="24"/>
        </w:rPr>
        <w:t>c</w:t>
      </w:r>
      <w:r w:rsidRPr="007872B4">
        <w:rPr>
          <w:rFonts w:ascii="Palatino Linotype" w:hAnsi="Palatino Linotype" w:cs="Palatino Linotype"/>
          <w:szCs w:val="24"/>
        </w:rPr>
        <w:tab/>
        <w:t>ensure that all general technical regulations take account of the specific conservation requirements</w:t>
      </w:r>
      <w:r>
        <w:rPr>
          <w:rFonts w:ascii="Palatino Linotype" w:hAnsi="Palatino Linotype" w:cs="Palatino Linotype"/>
          <w:szCs w:val="24"/>
        </w:rPr>
        <w:t xml:space="preserve"> of cultural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promote the use of materials, techniques and skills based on tradition, and explore their potential for contemporary applications;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e</w:t>
      </w:r>
      <w:r>
        <w:rPr>
          <w:rFonts w:ascii="Palatino Linotype" w:hAnsi="Palatino Linotype" w:cs="Palatino Linotype"/>
          <w:szCs w:val="24"/>
        </w:rPr>
        <w:tab/>
        <w:t>promote high-quality work through systems of professional qualifications and accreditation for individuals, businesses and institutions.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b/>
          <w:szCs w:val="24"/>
        </w:rPr>
        <w:tab/>
        <w:tab/>
        <w:t>Article 10 – Cultural heritage and economic activity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 xml:space="preserve">In order to make full use of the potential of the cultural heritage as a factor in sustainable economic development, the Parties undertake to: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 xml:space="preserve">raise awareness and utilise the economic potential of the cultural heritage;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sidRPr="007872B4">
        <w:rPr>
          <w:rFonts w:ascii="Palatino Linotype" w:hAnsi="Palatino Linotype" w:cs="Palatino Linotype"/>
          <w:sz w:val="16"/>
          <w:szCs w:val="24"/>
        </w:rPr>
        <w:t>b</w:t>
      </w:r>
      <w:r w:rsidRPr="007872B4">
        <w:rPr>
          <w:rFonts w:ascii="Palatino Linotype" w:hAnsi="Palatino Linotype" w:cs="Palatino Linotype"/>
          <w:szCs w:val="24"/>
        </w:rPr>
        <w:tab/>
        <w:t>take into account the specific character and interests of the cultural heritage when devising</w:t>
      </w:r>
      <w:r>
        <w:rPr>
          <w:rFonts w:ascii="Palatino Linotype" w:hAnsi="Palatino Linotype" w:cs="Palatino Linotype"/>
          <w:szCs w:val="24"/>
        </w:rPr>
        <w:t xml:space="preserve"> economic policies; and</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br w:type="page"/>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 xml:space="preserve">ensure that these policies respect the integrity of the cultural heritage without compromising its inherent values.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Section III –</w:t>
        <w:tab/>
        <w:t>Shared responsibility for cultural heritage</w:t>
      </w:r>
      <w:r>
        <w:rPr>
          <w:rFonts w:ascii="Palatino Linotype" w:hAnsi="Palatino Linotype" w:cs="Palatino Linotype"/>
          <w:b/>
          <w:szCs w:val="24"/>
        </w:rPr>
        <w:t xml:space="preserve"> and public participation</w:t>
      </w:r>
    </w:p>
    <w:p w:rsidR="0012510E" w:rsidP="0012510E">
      <w:pPr>
        <w:pStyle w:val="COEHeading3"/>
        <w:rPr>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Article 11 –The organisation of public responsibilities for cultural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In the management of the cultural heritage, the Parties undertake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sidRPr="007872B4">
        <w:rPr>
          <w:rFonts w:ascii="Palatino Linotype" w:hAnsi="Palatino Linotype" w:cs="Palatino Linotype"/>
          <w:sz w:val="16"/>
          <w:szCs w:val="24"/>
        </w:rPr>
        <w:t>a</w:t>
      </w:r>
      <w:r w:rsidRPr="007872B4">
        <w:rPr>
          <w:rFonts w:ascii="Palatino Linotype" w:hAnsi="Palatino Linotype" w:cs="Palatino Linotype"/>
          <w:szCs w:val="24"/>
        </w:rPr>
        <w:tab/>
        <w:t>promote an integrated and well-informed  approach by public authorities in all sectors and at all</w:t>
      </w:r>
      <w:r>
        <w:rPr>
          <w:rFonts w:ascii="Palatino Linotype" w:hAnsi="Palatino Linotype" w:cs="Palatino Linotype"/>
          <w:szCs w:val="24"/>
        </w:rPr>
        <w:t xml:space="preserve"> levels;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develop the legal, financial and professional frameworks which make possible joint action by public authorities, experts, owners, investors, businesses, non-governmental organisations and civil society;</w:t>
      </w:r>
    </w:p>
    <w:p w:rsidR="0012510E" w:rsidP="0012510E">
      <w:pPr>
        <w:pStyle w:val="COEIntro"/>
        <w:tabs>
          <w:tab w:val="left" w:pos="426"/>
          <w:tab w:val="left" w:pos="851"/>
          <w:tab w:val="left" w:pos="1276"/>
          <w:tab w:val="left" w:pos="1701"/>
        </w:tabs>
        <w:ind w:left="851" w:hanging="851"/>
        <w:jc w:val="both"/>
        <w:rPr>
          <w:rFonts w:ascii="Palatino Linotype" w:hAnsi="Palatino Linotype" w:cs="Palatino Linotype"/>
          <w:sz w:val="20"/>
          <w:szCs w:val="24"/>
          <w:lang w:val="en-GB"/>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develop innovative ways for public authorities to co-operate with other actors;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sidRPr="007872B4">
        <w:rPr>
          <w:rFonts w:ascii="Palatino Linotype" w:hAnsi="Palatino Linotype" w:cs="Palatino Linotype"/>
          <w:sz w:val="16"/>
          <w:szCs w:val="24"/>
        </w:rPr>
        <w:t>d</w:t>
      </w:r>
      <w:r w:rsidRPr="007872B4">
        <w:rPr>
          <w:rFonts w:ascii="Palatino Linotype" w:hAnsi="Palatino Linotype" w:cs="Palatino Linotype"/>
          <w:szCs w:val="24"/>
        </w:rPr>
        <w:tab/>
        <w:t>respect and encourage voluntary initiatives which complement the roles of public authorities;</w:t>
      </w:r>
    </w:p>
    <w:p w:rsidR="0012510E" w:rsidP="0012510E">
      <w:pPr>
        <w:pStyle w:val="COEIntro"/>
        <w:tabs>
          <w:tab w:val="left" w:pos="426"/>
          <w:tab w:val="left" w:pos="851"/>
          <w:tab w:val="left" w:pos="1276"/>
          <w:tab w:val="left" w:pos="1701"/>
        </w:tabs>
        <w:ind w:left="851" w:hanging="851"/>
        <w:jc w:val="both"/>
        <w:rPr>
          <w:rFonts w:ascii="Palatino Linotype" w:hAnsi="Palatino Linotype" w:cs="Palatino Linotype"/>
          <w:sz w:val="20"/>
          <w:szCs w:val="24"/>
          <w:lang w:val="en-GB"/>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e</w:t>
      </w:r>
      <w:r>
        <w:rPr>
          <w:rFonts w:ascii="Palatino Linotype" w:hAnsi="Palatino Linotype" w:cs="Palatino Linotype"/>
          <w:szCs w:val="24"/>
        </w:rPr>
        <w:tab/>
        <w:t>encourage non-governmental organisations concerned with heritage conservation to act in the public interest.</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Article 12 – Access to cultural heritage and democratic participation</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undertake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encourage everyone to participate in: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 xml:space="preserve">the process of identification, study, interpretation, protection, conservation and presentation of the cultural heritage ; </w:t>
      </w: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 xml:space="preserve">public reflection and debate on the  opportunities and challenges which the cultural heritage represents;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take into consideration the value attached by each heritage community to the cultural heritage with which it identifies;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recognise the role of voluntary organisations both as partners in activities and as constructive critics of cultural heritage policies;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take steps to improve access to the heritage, especially among young people and the disadvantaged, in order to raise awareness about its value, the need to maintain and preserve it, and the benefits which may be derived from it.</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br w:type="page"/>
      </w:r>
    </w:p>
    <w:p w:rsidR="0012510E" w:rsidP="0012510E">
      <w:pPr>
        <w:tabs>
          <w:tab w:val="left" w:pos="426"/>
          <w:tab w:val="left" w:pos="851"/>
          <w:tab w:val="left" w:pos="1276"/>
          <w:tab w:val="left" w:pos="1701"/>
        </w:tabs>
        <w:ind w:left="851" w:hanging="851"/>
        <w:jc w:val="both"/>
        <w:rPr>
          <w:rFonts w:ascii="Palatino Linotype" w:hAnsi="Palatino Linotype" w:cs="Palatino Linotype"/>
          <w:b/>
          <w:i/>
          <w:szCs w:val="24"/>
        </w:rPr>
      </w:pPr>
      <w:r>
        <w:rPr>
          <w:rFonts w:ascii="Palatino Linotype" w:hAnsi="Palatino Linotype" w:cs="Palatino Linotype"/>
          <w:b/>
          <w:szCs w:val="24"/>
        </w:rPr>
        <w:tab/>
        <w:tab/>
        <w:t xml:space="preserve">Article 13 – Cultural heritage and knowledge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pStyle w:val="COEIntro"/>
        <w:tabs>
          <w:tab w:val="left" w:pos="426"/>
          <w:tab w:val="left" w:pos="851"/>
          <w:tab w:val="left" w:pos="1276"/>
          <w:tab w:val="left" w:pos="1701"/>
        </w:tabs>
        <w:ind w:left="851" w:hanging="851"/>
        <w:jc w:val="both"/>
        <w:rPr>
          <w:rFonts w:ascii="Palatino Linotype" w:hAnsi="Palatino Linotype" w:cs="Palatino Linotype"/>
          <w:sz w:val="20"/>
          <w:szCs w:val="24"/>
          <w:lang w:val="en-GB"/>
        </w:rPr>
      </w:pPr>
      <w:r>
        <w:rPr>
          <w:rFonts w:ascii="Palatino Linotype" w:hAnsi="Palatino Linotype" w:cs="Palatino Linotype"/>
          <w:sz w:val="20"/>
          <w:szCs w:val="24"/>
          <w:lang w:val="en-GB"/>
        </w:rPr>
        <w:tab/>
        <w:tab/>
        <w:t>The Parties undertake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facilitate the inclusion of the cultural heritage dimension at all levels of education, not necessarily as a subject of study in its own right, but as a fertile source for studies in other subjects;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strengthen the link between cultural heritage education and vocational training;</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encourage interdisciplinary research on cultural heritage, heritage communities, the environment  and their  inter-relationship;</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encourage continuous professional training and the exchange of knowledge and skills, both within and outside the educational system.</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 xml:space="preserve">Article 14 – Cultural heritage and the information society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undertake to develop the use of digital technology to enhance access to cultural heritage and the benefits which derive from it, by: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encouraging initiatives which promote the quality of contents and endeavour to secure diversity of languages and cultures in the information society;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 xml:space="preserve">supporting internationally compatible standards for the study, conservation, enhancement and </w:t>
      </w:r>
      <w:r w:rsidRPr="007872B4">
        <w:rPr>
          <w:rFonts w:ascii="Palatino Linotype" w:hAnsi="Palatino Linotype" w:cs="Palatino Linotype"/>
          <w:szCs w:val="24"/>
        </w:rPr>
        <w:t>security of cultural heritage, whilst combating illicit trafficking in cultural property;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seeking to resolve obstacles to access to information relating to cultural heritage, particularly for educational purposes, whilst protecting intellectual property rights;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recognising that the creation of digital contents related to the heritage should not prejudice the conservation of the existing heritage.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b/>
          <w:szCs w:val="24"/>
        </w:rPr>
        <w:t>Section IV –</w:t>
        <w:tab/>
        <w:t>Monitoring and co-operation</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Article 15 – Undertakings of the Parties</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undertake to:</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sidRPr="007872B4">
        <w:rPr>
          <w:rFonts w:ascii="Palatino Linotype" w:hAnsi="Palatino Linotype" w:cs="Palatino Linotype"/>
          <w:sz w:val="16"/>
          <w:szCs w:val="24"/>
        </w:rPr>
        <w:t>a</w:t>
      </w:r>
      <w:r w:rsidRPr="007872B4">
        <w:rPr>
          <w:rFonts w:ascii="Palatino Linotype" w:hAnsi="Palatino Linotype" w:cs="Palatino Linotype"/>
          <w:szCs w:val="24"/>
        </w:rPr>
        <w:tab/>
        <w:t>develop, through the Council of Europe, a monitoring function covering legislations, policies and practices concerning cultural heritage, consistent with the principles established by this</w:t>
      </w:r>
      <w:r>
        <w:rPr>
          <w:rFonts w:ascii="Palatino Linotype" w:hAnsi="Palatino Linotype" w:cs="Palatino Linotype"/>
          <w:szCs w:val="24"/>
        </w:rPr>
        <w:t xml:space="preserve"> Convention;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maintain, develop and contribute data to a shared information system, accessible to the public, which facilitates assessment of how each Party fulfils its commitments</w:t>
      </w:r>
      <w:r>
        <w:rPr>
          <w:rFonts w:ascii="Palatino Linotype" w:hAnsi="Palatino Linotype" w:cs="Palatino Linotype"/>
          <w:i/>
          <w:szCs w:val="24"/>
        </w:rPr>
        <w:t xml:space="preserve"> </w:t>
      </w:r>
      <w:r>
        <w:rPr>
          <w:rFonts w:ascii="Palatino Linotype" w:hAnsi="Palatino Linotype" w:cs="Palatino Linotype"/>
          <w:szCs w:val="24"/>
        </w:rPr>
        <w:t>under this Convention.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br w:type="page"/>
      </w:r>
    </w:p>
    <w:p w:rsidR="0012510E" w:rsidP="0012510E">
      <w:pPr>
        <w:tabs>
          <w:tab w:val="left" w:pos="426"/>
          <w:tab w:val="left" w:pos="851"/>
          <w:tab w:val="left" w:pos="1276"/>
          <w:tab w:val="left" w:pos="1701"/>
        </w:tabs>
        <w:ind w:left="851" w:hanging="851"/>
        <w:jc w:val="both"/>
        <w:rPr>
          <w:rFonts w:ascii="Palatino Linotype" w:hAnsi="Palatino Linotype" w:cs="Palatino Linotype"/>
          <w:i/>
          <w:szCs w:val="24"/>
        </w:rPr>
      </w:pPr>
      <w:r>
        <w:rPr>
          <w:rFonts w:ascii="Palatino Linotype" w:hAnsi="Palatino Linotype" w:cs="Palatino Linotype"/>
          <w:b/>
          <w:szCs w:val="24"/>
        </w:rPr>
        <w:tab/>
        <w:tab/>
        <w:t>Article 16 – Monitoring</w:t>
      </w:r>
      <w:r>
        <w:rPr>
          <w:rFonts w:ascii="Palatino Linotype" w:hAnsi="Palatino Linotype" w:cs="Palatino Linotype"/>
          <w:b/>
          <w:i/>
          <w:szCs w:val="24"/>
        </w:rPr>
        <w:t xml:space="preserve"> </w:t>
      </w:r>
      <w:r>
        <w:rPr>
          <w:rFonts w:ascii="Palatino Linotype" w:hAnsi="Palatino Linotype" w:cs="Palatino Linotype"/>
          <w:b/>
          <w:szCs w:val="24"/>
        </w:rPr>
        <w:t>mechanism</w:t>
      </w:r>
      <w:r>
        <w:rPr>
          <w:rFonts w:ascii="Palatino Linotype" w:hAnsi="Palatino Linotype" w:cs="Palatino Linotype"/>
          <w:b/>
          <w:i/>
          <w:szCs w:val="24"/>
        </w:rPr>
        <w:t xml:space="preserve">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 xml:space="preserve">The Committee of Ministers, pursuant to Article 17 of the Statute of the Council of Europe, shall nominate an appropriate committee or specify an existing committee to monitor the application of </w:t>
      </w:r>
      <w:r w:rsidRPr="007872B4">
        <w:rPr>
          <w:rFonts w:ascii="Palatino Linotype" w:hAnsi="Palatino Linotype" w:cs="Palatino Linotype"/>
          <w:szCs w:val="24"/>
        </w:rPr>
        <w:t>the Convention,  which will be authorised to make rules for the conduct of its business;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The nominated committee shall:</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establish rules of procedure as necessary;</w:t>
      </w: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 xml:space="preserve">manage the shared information system referred to in Article 15, maintaining an overview of the </w:t>
      </w:r>
      <w:r>
        <w:rPr>
          <w:rFonts w:ascii="Palatino Linotype" w:hAnsi="Palatino Linotype" w:cs="Palatino Linotype"/>
          <w:szCs w:val="24"/>
        </w:rPr>
        <w:t>means by which each commitment</w:t>
      </w:r>
      <w:r>
        <w:rPr>
          <w:rFonts w:ascii="Palatino Linotype" w:hAnsi="Palatino Linotype" w:cs="Palatino Linotype"/>
          <w:szCs w:val="24"/>
        </w:rPr>
        <w:t xml:space="preserve"> under this Convention is met;</w:t>
      </w: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at the request of one or more Parties, give an advisory opinion on any question relating to the interpretation of the Convention, taking into consideration all Council of Europe legal instruments;</w:t>
      </w: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r>
      <w:r w:rsidRPr="007872B4">
        <w:rPr>
          <w:rFonts w:ascii="Palatino Linotype" w:hAnsi="Palatino Linotype" w:cs="Palatino Linotype"/>
          <w:szCs w:val="24"/>
        </w:rPr>
        <w:t>–</w:t>
        <w:tab/>
        <w:t>on the initiative of one or more Parties, undertake an evaluation of any aspect of their</w:t>
      </w:r>
      <w:r>
        <w:rPr>
          <w:rFonts w:ascii="Palatino Linotype" w:hAnsi="Palatino Linotype" w:cs="Palatino Linotype"/>
          <w:szCs w:val="24"/>
        </w:rPr>
        <w:t xml:space="preserve"> implementation of the Convention;</w:t>
      </w: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foster the trans-sectoral application of this Convention by collaborating with other committees and participating in other initiatives of the Council of Europe;</w:t>
      </w: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p>
    <w:p w:rsidR="0012510E" w:rsidP="0012510E">
      <w:pPr>
        <w:tabs>
          <w:tab w:val="left" w:pos="426"/>
          <w:tab w:val="left" w:pos="851"/>
          <w:tab w:val="left" w:pos="1276"/>
          <w:tab w:val="left" w:pos="1701"/>
        </w:tabs>
        <w:ind w:left="1276" w:hanging="1276"/>
        <w:jc w:val="both"/>
        <w:rPr>
          <w:rFonts w:ascii="Palatino Linotype" w:hAnsi="Palatino Linotype" w:cs="Palatino Linotype"/>
          <w:szCs w:val="24"/>
        </w:rPr>
      </w:pPr>
      <w:r>
        <w:rPr>
          <w:rFonts w:ascii="Palatino Linotype" w:hAnsi="Palatino Linotype" w:cs="Palatino Linotype"/>
          <w:szCs w:val="24"/>
        </w:rPr>
        <w:tab/>
        <w:tab/>
        <w:t>–</w:t>
        <w:tab/>
        <w:t>report to the Committee of Ministers on its activities.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committee may involve experts and observers in its work.</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Article 17 – Co-operation in follow-up activities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t>The Parties undertake to co-operate with each other and through the Council of Europe in pursuing the aims and principles of this Convention, and especially in promoting recognition of the common heritage of Europe, by: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putting in place collaborative strategies to address priorities identified through the monitoring process;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fostering multilateral and transfrontier activities, and developing networks for regional co-operation in order to implement these strategies;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exchanging, developing, codifying and assuring the dissemination of good practices;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informing the public about the aims and implementation of this Convention.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tab/>
      </w:r>
      <w:r w:rsidRPr="007872B4">
        <w:rPr>
          <w:rFonts w:ascii="Palatino Linotype" w:hAnsi="Palatino Linotype" w:cs="Palatino Linotype"/>
          <w:szCs w:val="24"/>
        </w:rPr>
        <w:t>Any Parties may, by mutual agreement, make financial arrangements to facilitate international co-</w:t>
      </w:r>
      <w:r>
        <w:rPr>
          <w:rFonts w:ascii="Palatino Linotype" w:hAnsi="Palatino Linotype" w:cs="Palatino Linotype"/>
          <w:szCs w:val="24"/>
        </w:rPr>
        <w:t>operation.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br w:type="page"/>
      </w:r>
      <w:r>
        <w:rPr>
          <w:rFonts w:ascii="Palatino Linotype" w:hAnsi="Palatino Linotype" w:cs="Palatino Linotype"/>
          <w:b/>
          <w:szCs w:val="24"/>
        </w:rPr>
        <w:t>Section V –</w:t>
        <w:tab/>
        <w:t>Final clauses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Article 18 – Signature and entry into force</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 xml:space="preserve">This Convention shall be open for signature by the member States of the Council of Europe.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It shall be subject to ratification, acceptance or approval. Instruments of ratification, acceptance or approval shall be deposited with the Secretary General of the Council of Europe.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This Convention shall enter into force on the first day of the month following the expiration of a period of three months after the date on which ten member States of the Council of Europe have expressed their consent to be bound by the Convention in accordance with the provisions of the preceding paragraph.</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In respect of any signatory State which subsequently expresses its consent to be bound by it, this Convention shall enter into force on the first day of the month following the expiration of a period of three months after the date of deposit of the instrument of ratification, acceptance or approval.</w:t>
      </w:r>
    </w:p>
    <w:p w:rsidR="0012510E" w:rsidP="0012510E">
      <w:pPr>
        <w:pStyle w:val="COEIntro"/>
        <w:tabs>
          <w:tab w:val="left" w:pos="426"/>
          <w:tab w:val="left" w:pos="851"/>
          <w:tab w:val="left" w:pos="1276"/>
          <w:tab w:val="left" w:pos="1701"/>
        </w:tabs>
        <w:ind w:left="851" w:hanging="851"/>
        <w:jc w:val="both"/>
        <w:rPr>
          <w:rFonts w:ascii="Palatino Linotype" w:hAnsi="Palatino Linotype" w:cs="Palatino Linotype"/>
          <w:sz w:val="20"/>
          <w:szCs w:val="24"/>
          <w:lang w:val="en-GB"/>
        </w:rPr>
      </w:pP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sz w:val="20"/>
          <w:szCs w:val="24"/>
          <w:lang w:eastAsia="fr-FR"/>
        </w:rPr>
      </w:pPr>
      <w:r>
        <w:rPr>
          <w:rFonts w:ascii="Palatino Linotype" w:hAnsi="Palatino Linotype" w:cs="Palatino Linotype"/>
          <w:sz w:val="20"/>
          <w:szCs w:val="24"/>
          <w:lang w:eastAsia="fr-FR"/>
        </w:rPr>
        <w:tab/>
        <w:tab/>
        <w:t xml:space="preserve">Article 19 – Accession </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After the entry into force of this Convention, the Committee of Ministers of the Council of Europe may invite any State not a member of the Council of Europe, and the European Community, to accede to the Convention by a decision taken by the majority provided for in Article 20.</w:t>
      </w:r>
      <w:r>
        <w:rPr>
          <w:rFonts w:ascii="Palatino Linotype" w:hAnsi="Palatino Linotype" w:cs="Palatino Linotype"/>
          <w:szCs w:val="24"/>
        </w:rPr>
        <w:t>d</w:t>
      </w:r>
      <w:r>
        <w:rPr>
          <w:rFonts w:ascii="Palatino Linotype" w:hAnsi="Palatino Linotype" w:cs="Palatino Linotype"/>
          <w:szCs w:val="24"/>
        </w:rPr>
        <w:t xml:space="preserve"> of the Statute of the Council of Europe and by the unanimous vote of the representatives of the Contracting States entitled to sit on the Committee of Ministers.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In respect of any acceding State, or the European Community in the event of its accession, this Convention shall enter into force on the first day of the month following the expiration of a period of three months after the date of deposit of the instrument of accession with the Secretary General of the Council of Europe.</w:t>
      </w: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b w:val="0"/>
          <w:sz w:val="20"/>
          <w:szCs w:val="24"/>
          <w:lang w:eastAsia="fr-FR"/>
        </w:rPr>
      </w:pP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sz w:val="20"/>
          <w:szCs w:val="24"/>
          <w:lang w:eastAsia="fr-FR"/>
        </w:rPr>
      </w:pPr>
      <w:r>
        <w:rPr>
          <w:rFonts w:ascii="Palatino Linotype" w:hAnsi="Palatino Linotype" w:cs="Palatino Linotype"/>
          <w:sz w:val="20"/>
          <w:szCs w:val="24"/>
          <w:lang w:eastAsia="fr-FR"/>
        </w:rPr>
        <w:tab/>
        <w:tab/>
        <w:t>Article 20 –Territorial application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Any State may, at the time of signature or when depositing its instrument of ratification, acceptance, approval or accession, specify the territory or territories to which this Convention shall apply.</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Any State may, at any later date, by a declaration addressed to the Secretary General of the Council of Europe, extend the application of this Convention to any other territory specified in the declaration. In respect of such territory, the Convention shall enter into force on the first day of the month following the expiration of a period of three months after the date of receipt of such declaration by the Secretary General.</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Any declaration made under the two preceding paragraphs may, in respect of any territory specified in such declaration, be withdrawn by a notification addressed to the Secretary General. The withdrawal shall become effective on the first day of the month following the expiration of a period of six months after the date of receipt of such notification by the Secretary General.</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br w:type="page"/>
      </w:r>
    </w:p>
    <w:p w:rsidR="0012510E" w:rsidP="0012510E">
      <w:pPr>
        <w:pStyle w:val="COECote"/>
        <w:tabs>
          <w:tab w:val="left" w:pos="426"/>
          <w:tab w:val="left" w:pos="851"/>
          <w:tab w:val="left" w:pos="1276"/>
          <w:tab w:val="left" w:pos="1701"/>
        </w:tabs>
        <w:ind w:left="851" w:hanging="851"/>
        <w:jc w:val="both"/>
        <w:rPr>
          <w:rFonts w:ascii="Palatino Linotype" w:hAnsi="Palatino Linotype" w:cs="Palatino Linotype"/>
          <w:sz w:val="20"/>
          <w:szCs w:val="24"/>
          <w:lang w:eastAsia="fr-FR"/>
        </w:rPr>
      </w:pPr>
      <w:r>
        <w:rPr>
          <w:rFonts w:ascii="Palatino Linotype" w:hAnsi="Palatino Linotype" w:cs="Palatino Linotype"/>
          <w:sz w:val="20"/>
          <w:szCs w:val="24"/>
          <w:lang w:eastAsia="fr-FR"/>
        </w:rPr>
        <w:tab/>
        <w:tab/>
        <w:t>Article 21 – Denunciation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Any Party may, at any time, denounce this Convention by means of a notification addressed to the Secretary General of the Council of Europe.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Such denunciation shall become effective on the first day of the month following the expiration of a period of six months after the date of receipt of the notification by the Secretary General.</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r>
        <w:rPr>
          <w:rFonts w:ascii="Palatino Linotype" w:hAnsi="Palatino Linotype" w:cs="Palatino Linotype"/>
          <w:b/>
          <w:szCs w:val="24"/>
        </w:rPr>
        <w:tab/>
        <w:tab/>
        <w:t>Article 22 – Amendments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Any Party, and the committee mentioned in Article 16, may propose amendments to this Convention.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 xml:space="preserve">Any proposal for amendment shall be notified to the Secretary General of the Council of Europe, who shall communicate it to the member States of the Council of Europe, to the other Parties, and to any non-member </w:t>
      </w:r>
      <w:r w:rsidRPr="00D0539E">
        <w:rPr>
          <w:rFonts w:ascii="Palatino Linotype" w:hAnsi="Palatino Linotype" w:cs="Palatino Linotype"/>
          <w:szCs w:val="24"/>
        </w:rPr>
        <w:t>State</w:t>
      </w:r>
      <w:r>
        <w:rPr>
          <w:rFonts w:ascii="Palatino Linotype" w:hAnsi="Palatino Linotype" w:cs="Palatino Linotype"/>
          <w:szCs w:val="24"/>
        </w:rPr>
        <w:t xml:space="preserve"> and the European Community invited to accede to this Convention in accordance with the provisions of Article 19. </w:t>
      </w:r>
    </w:p>
    <w:p w:rsidR="0012510E" w:rsidP="0012510E">
      <w:pPr>
        <w:pStyle w:val="COEIntro"/>
        <w:tabs>
          <w:tab w:val="left" w:pos="426"/>
          <w:tab w:val="left" w:pos="851"/>
          <w:tab w:val="left" w:pos="1276"/>
          <w:tab w:val="left" w:pos="1701"/>
        </w:tabs>
        <w:ind w:left="851" w:hanging="851"/>
        <w:jc w:val="both"/>
        <w:rPr>
          <w:rFonts w:ascii="Palatino Linotype" w:hAnsi="Palatino Linotype" w:cs="Palatino Linotype"/>
          <w:sz w:val="20"/>
          <w:szCs w:val="24"/>
          <w:lang w:val="en-GB"/>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The committee shall examine any amendment proposed and submit the text adopted by a majority of three-quarters of the Parties’ representatives to the Committee of Ministers for adoption. Following its adoption by the Committee of Ministers by the majority provided for in Article 20.</w:t>
      </w:r>
      <w:r>
        <w:rPr>
          <w:rFonts w:ascii="Palatino Linotype" w:hAnsi="Palatino Linotype" w:cs="Palatino Linotype"/>
          <w:szCs w:val="24"/>
        </w:rPr>
        <w:t>d</w:t>
      </w:r>
      <w:r>
        <w:rPr>
          <w:rFonts w:ascii="Palatino Linotype" w:hAnsi="Palatino Linotype" w:cs="Palatino Linotype"/>
          <w:szCs w:val="24"/>
        </w:rPr>
        <w:t xml:space="preserve"> of the Statute of the Council of Europe, and by the unanimous vote of the States Parties entitled to hold seats in the Committee of Ministers, the text shall be forwarded to the Parties for acceptance.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d</w:t>
      </w:r>
      <w:r>
        <w:rPr>
          <w:rFonts w:ascii="Palatino Linotype" w:hAnsi="Palatino Linotype" w:cs="Palatino Linotype"/>
          <w:szCs w:val="24"/>
        </w:rPr>
        <w:tab/>
        <w:t xml:space="preserve">Any amendment shall enter into force in respect of the Parties which have accepted it, on the first </w:t>
      </w:r>
      <w:r w:rsidRPr="007872B4">
        <w:rPr>
          <w:rFonts w:ascii="Palatino Linotype" w:hAnsi="Palatino Linotype" w:cs="Palatino Linotype"/>
          <w:szCs w:val="24"/>
        </w:rPr>
        <w:t>day of the month following the expiry of a period of three months after the date on which ten</w:t>
      </w:r>
      <w:r>
        <w:rPr>
          <w:rFonts w:ascii="Palatino Linotype" w:hAnsi="Palatino Linotype" w:cs="Palatino Linotype"/>
          <w:szCs w:val="24"/>
        </w:rPr>
        <w:t xml:space="preserve"> member States of the Council of Europe have informed the Secretary General of their acceptance. In respect of any Party which subsequently accepts it, such amendment shall enter into force on the first day of the month following the expiry of a period of three months after the date on which the said Party has informed the Secretary General of its acceptance.</w:t>
      </w:r>
    </w:p>
    <w:p w:rsidR="0012510E" w:rsidP="0012510E">
      <w:pPr>
        <w:tabs>
          <w:tab w:val="left" w:pos="426"/>
          <w:tab w:val="left" w:pos="851"/>
          <w:tab w:val="left" w:pos="1276"/>
          <w:tab w:val="left" w:pos="1701"/>
        </w:tabs>
        <w:ind w:left="851" w:hanging="851"/>
        <w:jc w:val="both"/>
        <w:rPr>
          <w:rFonts w:ascii="Palatino Linotype" w:hAnsi="Palatino Linotype" w:cs="Palatino Linotype"/>
          <w:b/>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b/>
          <w:szCs w:val="24"/>
        </w:rPr>
        <w:tab/>
        <w:tab/>
        <w:t>Article 23 – Notifications</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pStyle w:val="COEIntro"/>
        <w:tabs>
          <w:tab w:val="left" w:pos="426"/>
          <w:tab w:val="left" w:pos="851"/>
          <w:tab w:val="left" w:pos="1276"/>
          <w:tab w:val="left" w:pos="1701"/>
        </w:tabs>
        <w:ind w:left="851" w:hanging="851"/>
        <w:jc w:val="both"/>
        <w:rPr>
          <w:rFonts w:ascii="Palatino Linotype" w:hAnsi="Palatino Linotype" w:cs="Palatino Linotype"/>
          <w:sz w:val="20"/>
          <w:szCs w:val="24"/>
          <w:lang w:val="en-GB"/>
        </w:rPr>
      </w:pPr>
      <w:r>
        <w:rPr>
          <w:rFonts w:ascii="Palatino Linotype" w:hAnsi="Palatino Linotype" w:cs="Palatino Linotype"/>
          <w:sz w:val="20"/>
          <w:szCs w:val="24"/>
          <w:lang w:val="en-GB"/>
        </w:rPr>
        <w:tab/>
        <w:tab/>
        <w:t xml:space="preserve">The Secretary General of the Council of Europe shall notify the member States of the Council of Europe, any State which has acceded or been invited to accede to this Convention, and the European Community </w:t>
      </w:r>
      <w:r w:rsidRPr="007872B4">
        <w:rPr>
          <w:rFonts w:ascii="Palatino Linotype" w:hAnsi="Palatino Linotype" w:cs="Palatino Linotype"/>
          <w:sz w:val="20"/>
          <w:szCs w:val="24"/>
          <w:lang w:val="en-GB"/>
        </w:rPr>
        <w:t>having a</w:t>
      </w:r>
      <w:r>
        <w:rPr>
          <w:rFonts w:ascii="Palatino Linotype" w:hAnsi="Palatino Linotype" w:cs="Palatino Linotype"/>
          <w:sz w:val="20"/>
          <w:szCs w:val="24"/>
          <w:lang w:val="en-GB"/>
        </w:rPr>
        <w:t>cceded or been invited to accede, of:</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a</w:t>
      </w:r>
      <w:r>
        <w:rPr>
          <w:rFonts w:ascii="Palatino Linotype" w:hAnsi="Palatino Linotype" w:cs="Palatino Linotype"/>
          <w:szCs w:val="24"/>
        </w:rPr>
        <w:tab/>
        <w:t>any signature;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b</w:t>
      </w:r>
      <w:r>
        <w:rPr>
          <w:rFonts w:ascii="Palatino Linotype" w:hAnsi="Palatino Linotype" w:cs="Palatino Linotype"/>
          <w:szCs w:val="24"/>
        </w:rPr>
        <w:tab/>
        <w:t>the deposit of any instrument of ratification, acceptance, approval or accession;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c</w:t>
      </w:r>
      <w:r>
        <w:rPr>
          <w:rFonts w:ascii="Palatino Linotype" w:hAnsi="Palatino Linotype" w:cs="Palatino Linotype"/>
          <w:szCs w:val="24"/>
        </w:rPr>
        <w:tab/>
        <w:t>any date of entry into force of this Convention in accordance with the provisions of Articles 18, 19 and 20;</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sidRPr="007872B4">
        <w:rPr>
          <w:rFonts w:ascii="Palatino Linotype" w:hAnsi="Palatino Linotype" w:cs="Palatino Linotype"/>
          <w:sz w:val="16"/>
          <w:szCs w:val="24"/>
        </w:rPr>
        <w:t>d</w:t>
      </w:r>
      <w:r w:rsidRPr="007872B4">
        <w:rPr>
          <w:rFonts w:ascii="Palatino Linotype" w:hAnsi="Palatino Linotype" w:cs="Palatino Linotype"/>
          <w:szCs w:val="24"/>
        </w:rPr>
        <w:tab/>
        <w:t>any amendment proposed to this Convention in accordance with the provisions of Article 22, as well as its date of entry into force;</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br w:type="page"/>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rPr>
      </w:pPr>
      <w:r>
        <w:rPr>
          <w:rFonts w:ascii="Palatino Linotype" w:hAnsi="Palatino Linotype" w:cs="Palatino Linotype"/>
          <w:szCs w:val="24"/>
        </w:rPr>
        <w:tab/>
      </w:r>
      <w:r>
        <w:rPr>
          <w:rFonts w:ascii="Palatino Linotype" w:hAnsi="Palatino Linotype" w:cs="Palatino Linotype"/>
          <w:sz w:val="16"/>
          <w:szCs w:val="24"/>
        </w:rPr>
        <w:t>e</w:t>
      </w:r>
      <w:r>
        <w:rPr>
          <w:rFonts w:ascii="Palatino Linotype" w:hAnsi="Palatino Linotype" w:cs="Palatino Linotype"/>
          <w:szCs w:val="24"/>
        </w:rPr>
        <w:tab/>
        <w:t>any other act, declaration, notification or communication relating to this Convention.</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lang w:val="en-US"/>
        </w:rPr>
      </w:pPr>
    </w:p>
    <w:p w:rsidR="0012510E" w:rsidP="0012510E">
      <w:pPr>
        <w:tabs>
          <w:tab w:val="left" w:pos="-1440"/>
          <w:tab w:val="left" w:pos="-864"/>
          <w:tab w:val="left" w:pos="-432"/>
          <w:tab w:val="left" w:pos="432"/>
          <w:tab w:val="left" w:pos="851"/>
          <w:tab w:val="left" w:pos="1296"/>
          <w:tab w:val="left" w:pos="1728"/>
          <w:tab w:val="left" w:pos="2160"/>
        </w:tabs>
        <w:suppressAutoHyphens/>
        <w:jc w:val="both"/>
        <w:rPr>
          <w:rFonts w:ascii="Palatino Linotype" w:hAnsi="Palatino Linotype" w:cs="Palatino Linotype"/>
          <w:spacing w:val="-2"/>
          <w:szCs w:val="24"/>
          <w:lang w:val="en-US"/>
        </w:rPr>
      </w:pPr>
      <w:r>
        <w:rPr>
          <w:rFonts w:ascii="Palatino Linotype" w:hAnsi="Palatino Linotype" w:cs="Palatino Linotype"/>
          <w:spacing w:val="-2"/>
          <w:szCs w:val="24"/>
          <w:lang w:val="en-US"/>
        </w:rPr>
        <w:tab/>
        <w:tab/>
        <w:t>In witness whereof the undersigned, being duly authorised thereto, have signed this Convention.</w:t>
      </w:r>
    </w:p>
    <w:p w:rsidR="0012510E" w:rsidP="0012510E">
      <w:pPr>
        <w:tabs>
          <w:tab w:val="left" w:pos="-1440"/>
          <w:tab w:val="left" w:pos="-864"/>
          <w:tab w:val="left" w:pos="-432"/>
          <w:tab w:val="left" w:pos="432"/>
          <w:tab w:val="left" w:pos="864"/>
          <w:tab w:val="left" w:pos="1296"/>
          <w:tab w:val="left" w:pos="1728"/>
          <w:tab w:val="left" w:pos="2160"/>
        </w:tabs>
        <w:suppressAutoHyphens/>
        <w:ind w:left="851" w:hanging="851"/>
        <w:jc w:val="both"/>
        <w:rPr>
          <w:rFonts w:ascii="Palatino Linotype" w:hAnsi="Palatino Linotype" w:cs="Palatino Linotype"/>
          <w:spacing w:val="-2"/>
          <w:szCs w:val="24"/>
          <w:lang w:val="en-US"/>
        </w:rPr>
      </w:pPr>
    </w:p>
    <w:p w:rsidR="0012510E" w:rsidP="0012510E">
      <w:pPr>
        <w:tabs>
          <w:tab w:val="left" w:pos="426"/>
          <w:tab w:val="left" w:pos="851"/>
        </w:tabs>
        <w:ind w:left="851" w:hanging="851"/>
        <w:jc w:val="both"/>
        <w:rPr>
          <w:szCs w:val="24"/>
          <w:lang w:val="en-US"/>
        </w:rPr>
      </w:pPr>
      <w:r>
        <w:rPr>
          <w:rFonts w:ascii="Palatino Linotype" w:hAnsi="Palatino Linotype" w:cs="Palatino Linotype"/>
          <w:spacing w:val="-2"/>
          <w:szCs w:val="24"/>
          <w:lang w:val="en-US"/>
        </w:rPr>
        <w:tab/>
        <w:tab/>
        <w:t>Done at Faro, this 27th day of October 2005, in English and in French, both texts being equally authentic, in a single copy which shall be deposited in the archives of the Council of Europe. The Secretary General of the Council of Europe shall transmit certified copies to each member State of the Council of Europe  and to any State or the European Community invited to accede to it.</w:t>
      </w:r>
    </w:p>
    <w:p w:rsidR="0012510E" w:rsidP="0012510E">
      <w:pPr>
        <w:tabs>
          <w:tab w:val="left" w:pos="426"/>
          <w:tab w:val="left" w:pos="851"/>
          <w:tab w:val="left" w:pos="1276"/>
          <w:tab w:val="left" w:pos="1701"/>
        </w:tabs>
        <w:ind w:left="851" w:hanging="851"/>
        <w:jc w:val="both"/>
        <w:rPr>
          <w:rFonts w:ascii="Palatino Linotype" w:hAnsi="Palatino Linotype" w:cs="Palatino Linotype"/>
          <w:szCs w:val="24"/>
          <w:lang w:val="en-US"/>
        </w:rPr>
      </w:pPr>
    </w:p>
    <w:p w:rsidR="0012510E">
      <w:pPr>
        <w:rPr>
          <w:szCs w:val="24"/>
        </w:rPr>
      </w:pPr>
    </w:p>
    <w:sectPr w:rsidSect="0012510E">
      <w:headerReference w:type="default" r:id="rId5"/>
      <w:pgSz w:w="11906" w:h="16838" w:code="9"/>
      <w:pgMar w:top="1418" w:right="1134" w:bottom="1134" w:left="1134" w:header="709" w:footer="709"/>
      <w:lnNumType w:distance="0"/>
      <w:pgNumType w:start="1"/>
      <w:cols w:space="708"/>
      <w:noEndnote w:val="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Palatino Linotype">
    <w:panose1 w:val="02040502050505030304"/>
    <w:charset w:val="EE"/>
    <w:family w:val="roman"/>
    <w:pitch w:val="variable"/>
    <w:sig w:usb0="00000000" w:usb1="00000000" w:usb2="00000000" w:usb3="00000000" w:csb0="0000019F" w:csb1="00000000"/>
  </w:font>
  <w:font w:name="Arial Narrow">
    <w:panose1 w:val="020B0506020202030204"/>
    <w:charset w:val="EE"/>
    <w:family w:val="swiss"/>
    <w:pitch w:val="variable"/>
    <w:sig w:usb0="00000000" w:usb1="00000000" w:usb2="00000000" w:usb3="00000000" w:csb0="0000009F" w:csb1="00000000"/>
  </w:font>
  <w:font w:name="Palatino">
    <w:altName w:val="Book Antiqua"/>
    <w:panose1 w:val="00000000000000000000"/>
    <w:charset w:val="00"/>
    <w:family w:val="roman"/>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0E">
    <w:pPr>
      <w:pStyle w:val="Header"/>
      <w:tabs>
        <w:tab w:val="center" w:pos="4820"/>
      </w:tabs>
      <w:rPr>
        <w:rFonts w:ascii="Palatino Linotype" w:hAnsi="Palatino Linotype" w:cs="Palatino Linotype"/>
        <w:i/>
        <w:sz w:val="20"/>
        <w:szCs w:val="24"/>
        <w:lang w:val="en-US"/>
      </w:rPr>
    </w:pPr>
    <w:r>
      <w:rPr>
        <w:rStyle w:val="PageNumber"/>
        <w:rFonts w:ascii="Palatino Linotype" w:hAnsi="Palatino Linotype" w:cs="Palatino Linotype"/>
        <w:i/>
        <w:sz w:val="20"/>
        <w:szCs w:val="24"/>
      </w:rPr>
      <w:fldChar w:fldCharType="begin"/>
    </w:r>
    <w:r>
      <w:rPr>
        <w:rStyle w:val="PageNumber"/>
        <w:rFonts w:ascii="Palatino Linotype" w:hAnsi="Palatino Linotype" w:cs="Palatino Linotype"/>
        <w:i/>
        <w:sz w:val="20"/>
        <w:szCs w:val="24"/>
      </w:rPr>
      <w:instrText xml:space="preserve"> PAGE </w:instrText>
    </w:r>
    <w:r>
      <w:rPr>
        <w:rStyle w:val="PageNumber"/>
        <w:rFonts w:ascii="Palatino Linotype" w:hAnsi="Palatino Linotype" w:cs="Palatino Linotype"/>
        <w:i/>
        <w:sz w:val="20"/>
        <w:szCs w:val="24"/>
      </w:rPr>
      <w:fldChar w:fldCharType="separate"/>
    </w:r>
    <w:r w:rsidR="00CF6E77">
      <w:rPr>
        <w:rStyle w:val="PageNumber"/>
        <w:rFonts w:ascii="Palatino Linotype" w:hAnsi="Palatino Linotype" w:cs="Palatino Linotype"/>
        <w:i/>
        <w:noProof/>
        <w:sz w:val="20"/>
        <w:szCs w:val="24"/>
      </w:rPr>
      <w:t>11</w:t>
    </w:r>
    <w:r>
      <w:rPr>
        <w:rStyle w:val="PageNumber"/>
        <w:rFonts w:ascii="Palatino Linotype" w:hAnsi="Palatino Linotype" w:cs="Palatino Linotype"/>
        <w:i/>
        <w:sz w:val="20"/>
        <w:szCs w:val="24"/>
      </w:rPr>
      <w:fldChar w:fldCharType="end"/>
    </w:r>
    <w:r>
      <w:rPr>
        <w:rFonts w:ascii="Palatino Linotype" w:hAnsi="Palatino Linotype" w:cs="Palatino Linotype"/>
        <w:i/>
        <w:sz w:val="20"/>
        <w:szCs w:val="24"/>
        <w:lang w:val="en-US"/>
      </w:rPr>
      <w:tab/>
      <w:t>CETS 199 – Value of Cultural Heritage for Society, 27.X.2005</w:t>
    </w:r>
  </w:p>
  <w:p w:rsidR="0012510E">
    <w:pPr>
      <w:pStyle w:val="Header"/>
      <w:tabs>
        <w:tab w:val="center" w:pos="4820"/>
      </w:tabs>
      <w:rPr>
        <w:rFonts w:ascii="Palatino Linotype" w:hAnsi="Palatino Linotype" w:cs="Palatino Linotype"/>
        <w:i/>
        <w:sz w:val="20"/>
        <w:szCs w:val="24"/>
        <w:lang w:val="en-US"/>
      </w:rPr>
    </w:pPr>
    <w:r>
      <w:rPr>
        <w:rFonts w:ascii="Palatino Linotype" w:hAnsi="Palatino Linotype" w:cs="Palatino Linotype"/>
        <w:i/>
        <w:sz w:val="20"/>
        <w:szCs w:val="24"/>
        <w:lang w:val="en-US"/>
      </w:rPr>
      <w:t>_______________________________________________________________________________________________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UseIndentAsNumberingTabStop/>
    <w:allowSpaceOfSameStyleInTable/>
    <w:splitPgBreakAndParaMark/>
    <w:useAnsiKerningPairs/>
  </w:compat>
  <w:rsids>
    <w:rsidRoot w:val="0012510E"/>
    <w:rsid w:val="000D6CE0"/>
    <w:rsid w:val="0012510E"/>
    <w:rsid w:val="00416219"/>
    <w:rsid w:val="006D6B6E"/>
    <w:rsid w:val="007872B4"/>
    <w:rsid w:val="00CF6E77"/>
    <w:rsid w:val="00D0539E"/>
    <w:rsid w:val="00F80D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12510E"/>
    <w:pPr>
      <w:widowControl/>
      <w:autoSpaceDE/>
      <w:autoSpaceDN/>
      <w:adjustRightInd/>
      <w:ind w:left="0" w:right="0"/>
      <w:jc w:val="left"/>
      <w:textAlignment w:val="auto"/>
    </w:pPr>
    <w:rPr>
      <w:rFonts w:ascii="Arial" w:hAnsi="Arial" w:cs="Arial"/>
      <w:sz w:val="20"/>
      <w:lang w:val="en-GB" w:eastAsia="fr-FR"/>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customStyle="1" w:styleId="COECote">
    <w:name w:val="COE_Cote"/>
    <w:uiPriority w:val="99"/>
    <w:rsid w:val="0012510E"/>
    <w:pPr>
      <w:widowControl/>
      <w:autoSpaceDE/>
      <w:autoSpaceDN/>
      <w:adjustRightInd/>
      <w:ind w:left="0" w:right="0"/>
      <w:jc w:val="left"/>
      <w:textAlignment w:val="auto"/>
    </w:pPr>
    <w:rPr>
      <w:rFonts w:ascii="Arial" w:hAnsi="Arial" w:cs="Arial"/>
      <w:b/>
      <w:sz w:val="22"/>
      <w:lang w:val="en-GB" w:eastAsia="en-US"/>
    </w:rPr>
  </w:style>
  <w:style w:type="paragraph" w:customStyle="1" w:styleId="COEHeading3">
    <w:name w:val="COE_Heading3"/>
    <w:basedOn w:val="Normal"/>
    <w:autoRedefine/>
    <w:uiPriority w:val="99"/>
    <w:rsid w:val="0012510E"/>
    <w:pPr>
      <w:tabs>
        <w:tab w:val="left" w:pos="426"/>
        <w:tab w:val="left" w:pos="851"/>
        <w:tab w:val="left" w:pos="1276"/>
        <w:tab w:val="left" w:pos="1701"/>
      </w:tabs>
      <w:ind w:left="851" w:hanging="851"/>
      <w:jc w:val="both"/>
    </w:pPr>
    <w:rPr>
      <w:rFonts w:ascii="Palatino Linotype" w:hAnsi="Palatino Linotype" w:cs="Palatino Linotype"/>
    </w:rPr>
  </w:style>
  <w:style w:type="paragraph" w:styleId="Header">
    <w:name w:val="header"/>
    <w:uiPriority w:val="99"/>
    <w:rsid w:val="0012510E"/>
    <w:pPr>
      <w:widowControl/>
      <w:autoSpaceDE/>
      <w:autoSpaceDN/>
      <w:adjustRightInd/>
      <w:ind w:left="0" w:right="0"/>
      <w:jc w:val="left"/>
      <w:textAlignment w:val="auto"/>
    </w:pPr>
    <w:rPr>
      <w:rFonts w:ascii="Arial" w:hAnsi="Arial" w:cs="Arial"/>
      <w:sz w:val="18"/>
      <w:lang w:val="en-GB" w:eastAsia="en-US"/>
    </w:rPr>
  </w:style>
  <w:style w:type="character" w:styleId="PageNumber">
    <w:name w:val="page number"/>
    <w:basedOn w:val="DefaultParagraphFont"/>
    <w:uiPriority w:val="99"/>
    <w:rsid w:val="0012510E"/>
  </w:style>
  <w:style w:type="paragraph" w:customStyle="1" w:styleId="COEIntro">
    <w:name w:val="COE_Intro"/>
    <w:basedOn w:val="Normal"/>
    <w:uiPriority w:val="99"/>
    <w:rsid w:val="0012510E"/>
    <w:pPr>
      <w:jc w:val="left"/>
    </w:pPr>
    <w:rPr>
      <w:rFonts w:ascii="Times New Roman" w:hAnsi="Times New Roman" w:cs="Times New Roman"/>
      <w:sz w:val="24"/>
      <w:lang w:val="fr-FR"/>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3113</Words>
  <Characters>17749</Characters>
  <Application>Microsoft Office Word</Application>
  <DocSecurity>0</DocSecurity>
  <Lines>0</Lines>
  <Paragraphs>0</Paragraphs>
  <ScaleCrop>false</ScaleCrop>
  <Company>MK SR</Company>
  <LinksUpToDate>false</LinksUpToDate>
  <CharactersWithSpaces>20821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Slováková Nora</dc:creator>
  <cp:lastModifiedBy>slovakova1</cp:lastModifiedBy>
  <cp:revision>2</cp:revision>
  <dcterms:created xsi:type="dcterms:W3CDTF">2011-10-25T12:27:00Z</dcterms:created>
  <dcterms:modified xsi:type="dcterms:W3CDTF">2011-10-25T12:27:00Z</dcterms:modified>
</cp:coreProperties>
</file>