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93F1E" w:rsidRPr="00964AB1">
      <w:pPr>
        <w:bidi w:val="0"/>
        <w:spacing w:after="0" w:line="240" w:lineRule="auto"/>
        <w:jc w:val="center"/>
        <w:rPr>
          <w:rFonts w:ascii="Times New Roman" w:hAnsi="Times New Roman" w:cs="Times New Roman"/>
          <w:b/>
          <w:bCs/>
          <w:caps/>
          <w:color w:val="000000"/>
          <w:spacing w:val="30"/>
          <w:sz w:val="24"/>
          <w:szCs w:val="24"/>
          <w:lang w:val="sk-SK"/>
        </w:rPr>
      </w:pPr>
      <w:r w:rsidRPr="00964AB1">
        <w:rPr>
          <w:rFonts w:ascii="Times New Roman" w:hAnsi="Times New Roman" w:cs="Times New Roman"/>
          <w:b/>
          <w:bCs/>
          <w:caps/>
          <w:color w:val="000000"/>
          <w:spacing w:val="30"/>
          <w:sz w:val="24"/>
          <w:szCs w:val="24"/>
          <w:lang w:val="sk-SK"/>
        </w:rPr>
        <w:t>Doložka</w:t>
      </w:r>
    </w:p>
    <w:p w:rsidR="00593F1E" w:rsidRPr="00964AB1">
      <w:pPr>
        <w:bidi w:val="0"/>
        <w:spacing w:after="0" w:line="240" w:lineRule="auto"/>
        <w:jc w:val="center"/>
        <w:rPr>
          <w:rFonts w:ascii="Times New Roman" w:hAnsi="Times New Roman" w:cs="Times New Roman"/>
          <w:b/>
          <w:bCs/>
          <w:color w:val="000000"/>
          <w:sz w:val="24"/>
          <w:szCs w:val="24"/>
          <w:lang w:val="sk-SK"/>
        </w:rPr>
      </w:pPr>
      <w:r w:rsidRPr="00964AB1">
        <w:rPr>
          <w:rFonts w:ascii="Times New Roman" w:hAnsi="Times New Roman" w:cs="Times New Roman"/>
          <w:b/>
          <w:bCs/>
          <w:color w:val="000000"/>
          <w:sz w:val="24"/>
          <w:szCs w:val="24"/>
          <w:lang w:val="sk-SK"/>
        </w:rPr>
        <w:t>vybraných vplyvov</w:t>
      </w:r>
    </w:p>
    <w:p w:rsidR="00593F1E" w:rsidRPr="00964AB1">
      <w:pPr>
        <w:bidi w:val="0"/>
        <w:spacing w:after="0" w:line="240" w:lineRule="auto"/>
        <w:rPr>
          <w:rFonts w:ascii="Times New Roman" w:hAnsi="Times New Roman" w:cs="Times New Roman"/>
          <w:color w:val="000000"/>
          <w:sz w:val="24"/>
          <w:szCs w:val="24"/>
          <w:lang w:val="sk-SK"/>
        </w:rPr>
      </w:pPr>
    </w:p>
    <w:p w:rsidR="00593F1E" w:rsidRPr="00964AB1">
      <w:pPr>
        <w:bidi w:val="0"/>
        <w:spacing w:after="0" w:line="240" w:lineRule="auto"/>
        <w:rPr>
          <w:rFonts w:ascii="Times New Roman" w:hAnsi="Times New Roman" w:cs="Times New Roman"/>
          <w:color w:val="000000"/>
          <w:sz w:val="24"/>
          <w:szCs w:val="24"/>
          <w:lang w:val="sk-SK"/>
        </w:rPr>
      </w:pPr>
    </w:p>
    <w:p w:rsidR="00797EC0" w:rsidRPr="00797EC0" w:rsidP="00797EC0">
      <w:pPr>
        <w:bidi w:val="0"/>
        <w:spacing w:after="0" w:line="240" w:lineRule="auto"/>
        <w:ind w:left="2880" w:hanging="2880"/>
        <w:rPr>
          <w:b/>
          <w:bCs/>
          <w:sz w:val="24"/>
          <w:szCs w:val="24"/>
        </w:rPr>
      </w:pPr>
      <w:r w:rsidRPr="00964AB1" w:rsidR="00593F1E">
        <w:rPr>
          <w:rFonts w:ascii="Times New Roman" w:hAnsi="Times New Roman" w:cs="Times New Roman"/>
          <w:b/>
          <w:bCs/>
          <w:color w:val="000000"/>
          <w:sz w:val="24"/>
          <w:szCs w:val="24"/>
          <w:lang w:val="sk-SK"/>
        </w:rPr>
        <w:t xml:space="preserve">A.1. </w:t>
      </w:r>
      <w:r w:rsidRPr="00797EC0" w:rsidR="00593F1E">
        <w:rPr>
          <w:rFonts w:ascii="Times New Roman" w:hAnsi="Times New Roman" w:cs="Times New Roman"/>
          <w:b/>
          <w:bCs/>
          <w:color w:val="000000"/>
          <w:sz w:val="24"/>
          <w:szCs w:val="24"/>
          <w:lang w:val="sk-SK"/>
        </w:rPr>
        <w:t xml:space="preserve">Názov materiálu: </w:t>
      </w:r>
      <w:r w:rsidRPr="00797EC0" w:rsidR="00734797">
        <w:rPr>
          <w:rFonts w:ascii="Times New Roman" w:hAnsi="Times New Roman" w:cs="Times New Roman"/>
          <w:b/>
          <w:bCs/>
          <w:color w:val="000000"/>
          <w:sz w:val="24"/>
          <w:szCs w:val="24"/>
          <w:lang w:val="sk-SK"/>
        </w:rPr>
        <w:tab/>
      </w:r>
      <w:r w:rsidRPr="00797EC0">
        <w:rPr>
          <w:rFonts w:ascii="Times New Roman" w:hAnsi="Times New Roman" w:cs="Times New Roman"/>
          <w:b/>
          <w:bCs/>
          <w:sz w:val="24"/>
          <w:szCs w:val="24"/>
        </w:rPr>
        <w:t>Návrh na ratifikáciu Rámcového dohovoru Rady Európy o hodnote kultúrneho dedičstva pre spoločnosť</w:t>
      </w:r>
      <w:r w:rsidRPr="00797EC0">
        <w:rPr>
          <w:b/>
          <w:bCs/>
          <w:sz w:val="24"/>
          <w:szCs w:val="24"/>
        </w:rPr>
        <w:t xml:space="preserve"> </w:t>
      </w:r>
    </w:p>
    <w:p w:rsidR="00734797" w:rsidRPr="00797EC0" w:rsidP="00797EC0">
      <w:pPr>
        <w:bidi w:val="0"/>
        <w:spacing w:after="0" w:line="240" w:lineRule="auto"/>
        <w:jc w:val="both"/>
        <w:rPr>
          <w:rFonts w:ascii="Times New Roman" w:hAnsi="Times New Roman" w:cs="Times New Roman"/>
          <w:color w:val="000000"/>
          <w:sz w:val="24"/>
          <w:szCs w:val="24"/>
          <w:lang w:val="sk-SK"/>
        </w:rPr>
      </w:pPr>
    </w:p>
    <w:p w:rsidR="00593F1E" w:rsidRPr="00964AB1">
      <w:pPr>
        <w:bidi w:val="0"/>
        <w:spacing w:after="0" w:line="240" w:lineRule="auto"/>
        <w:jc w:val="both"/>
        <w:rPr>
          <w:rFonts w:ascii="Times New Roman" w:hAnsi="Times New Roman" w:cs="Times New Roman"/>
          <w:b/>
          <w:bCs/>
          <w:color w:val="000000"/>
          <w:sz w:val="24"/>
          <w:szCs w:val="24"/>
          <w:lang w:val="sk-SK"/>
        </w:rPr>
      </w:pPr>
      <w:r w:rsidRPr="00797EC0">
        <w:rPr>
          <w:rFonts w:ascii="Times New Roman" w:hAnsi="Times New Roman" w:cs="Times New Roman"/>
          <w:b/>
          <w:bCs/>
          <w:color w:val="000000"/>
          <w:sz w:val="24"/>
          <w:szCs w:val="24"/>
          <w:lang w:val="sk-SK"/>
        </w:rPr>
        <w:t xml:space="preserve">        Termín začatia a ukončenia</w:t>
      </w:r>
      <w:r w:rsidRPr="00964AB1">
        <w:rPr>
          <w:rFonts w:ascii="Times New Roman" w:hAnsi="Times New Roman" w:cs="Times New Roman"/>
          <w:b/>
          <w:bCs/>
          <w:color w:val="000000"/>
          <w:sz w:val="24"/>
          <w:szCs w:val="24"/>
          <w:lang w:val="sk-SK"/>
        </w:rPr>
        <w:t xml:space="preserve"> PPK:</w:t>
      </w:r>
      <w:r w:rsidRPr="00964AB1" w:rsidR="002704AC">
        <w:rPr>
          <w:rFonts w:ascii="Times New Roman" w:hAnsi="Times New Roman" w:cs="Times New Roman"/>
          <w:color w:val="000000"/>
          <w:sz w:val="24"/>
          <w:szCs w:val="24"/>
          <w:lang w:val="sk-SK"/>
        </w:rPr>
        <w:t xml:space="preserve"> -  </w:t>
      </w:r>
    </w:p>
    <w:p w:rsidR="00593F1E" w:rsidRPr="00964AB1">
      <w:pPr>
        <w:bidi w:val="0"/>
        <w:spacing w:after="0" w:line="240" w:lineRule="auto"/>
        <w:jc w:val="both"/>
        <w:rPr>
          <w:rFonts w:ascii="Times New Roman" w:hAnsi="Times New Roman" w:cs="Times New Roman"/>
          <w:b/>
          <w:bCs/>
          <w:color w:val="000000"/>
          <w:sz w:val="24"/>
          <w:szCs w:val="24"/>
          <w:lang w:val="sk-SK"/>
        </w:rPr>
      </w:pPr>
    </w:p>
    <w:p w:rsidR="00593F1E" w:rsidRPr="00964AB1">
      <w:pPr>
        <w:bidi w:val="0"/>
        <w:spacing w:after="0" w:line="240" w:lineRule="auto"/>
        <w:jc w:val="both"/>
        <w:rPr>
          <w:rFonts w:ascii="Times New Roman" w:hAnsi="Times New Roman" w:cs="Times New Roman"/>
          <w:b/>
          <w:bCs/>
          <w:color w:val="000000"/>
          <w:sz w:val="24"/>
          <w:szCs w:val="24"/>
          <w:lang w:val="sk-SK"/>
        </w:rPr>
      </w:pPr>
      <w:r w:rsidRPr="00964AB1">
        <w:rPr>
          <w:rFonts w:ascii="Times New Roman" w:hAnsi="Times New Roman" w:cs="Times New Roman"/>
          <w:b/>
          <w:bCs/>
          <w:color w:val="000000"/>
          <w:sz w:val="24"/>
          <w:szCs w:val="24"/>
          <w:lang w:val="sk-SK"/>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758"/>
        <w:gridCol w:w="1206"/>
        <w:gridCol w:w="1206"/>
        <w:gridCol w:w="120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rsidRPr="00964AB1">
            <w:pPr>
              <w:widowControl/>
              <w:bidi w:val="0"/>
              <w:spacing w:after="0"/>
              <w:rPr>
                <w:rFonts w:ascii="Times New Roman" w:hAnsi="Times New Roman" w:cs="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964AB1">
            <w:pPr>
              <w:widowControl/>
              <w:bidi w:val="0"/>
              <w:spacing w:after="0"/>
              <w:jc w:val="center"/>
              <w:rPr>
                <w:rFonts w:ascii="Times New Roman" w:hAnsi="Times New Roman" w:cs="Times New Roman"/>
                <w:color w:val="000000"/>
                <w:sz w:val="24"/>
                <w:szCs w:val="24"/>
                <w:lang w:val="sk-SK"/>
              </w:rPr>
            </w:pPr>
            <w:r w:rsidRPr="00964AB1">
              <w:rPr>
                <w:rFonts w:ascii="Times New Roman" w:hAnsi="Times New Roman" w:cs="Times New Roman"/>
                <w:color w:val="000000"/>
                <w:sz w:val="24"/>
                <w:szCs w:val="24"/>
                <w:lang w:val="sk-SK"/>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964AB1">
            <w:pPr>
              <w:widowControl/>
              <w:bidi w:val="0"/>
              <w:spacing w:after="0"/>
              <w:jc w:val="center"/>
              <w:rPr>
                <w:rFonts w:ascii="Times New Roman" w:hAnsi="Times New Roman" w:cs="Times New Roman"/>
                <w:color w:val="000000"/>
                <w:sz w:val="24"/>
                <w:szCs w:val="24"/>
                <w:lang w:val="sk-SK"/>
              </w:rPr>
            </w:pPr>
            <w:r w:rsidRPr="00964AB1">
              <w:rPr>
                <w:rFonts w:ascii="Times New Roman" w:hAnsi="Times New Roman" w:cs="Times New Roman"/>
                <w:color w:val="000000"/>
                <w:sz w:val="24"/>
                <w:szCs w:val="24"/>
                <w:lang w:val="sk-SK"/>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964AB1">
            <w:pPr>
              <w:widowControl/>
              <w:bidi w:val="0"/>
              <w:spacing w:after="0"/>
              <w:jc w:val="center"/>
              <w:rPr>
                <w:rFonts w:ascii="Times New Roman" w:hAnsi="Times New Roman" w:cs="Times New Roman"/>
                <w:color w:val="000000"/>
                <w:sz w:val="24"/>
                <w:szCs w:val="24"/>
                <w:lang w:val="sk-SK"/>
              </w:rPr>
            </w:pPr>
            <w:r w:rsidRPr="00964AB1">
              <w:rPr>
                <w:rFonts w:ascii="Times New Roman" w:hAnsi="Times New Roman" w:cs="Times New Roman"/>
                <w:color w:val="000000"/>
                <w:sz w:val="24"/>
                <w:szCs w:val="24"/>
                <w:lang w:val="sk-SK"/>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rsidRPr="00964AB1">
            <w:pPr>
              <w:widowControl/>
              <w:bidi w:val="0"/>
              <w:spacing w:after="0"/>
              <w:rPr>
                <w:rFonts w:ascii="Times New Roman" w:hAnsi="Times New Roman" w:cs="Times New Roman"/>
                <w:color w:val="000000"/>
                <w:sz w:val="24"/>
                <w:szCs w:val="24"/>
                <w:lang w:val="sk-SK"/>
              </w:rPr>
            </w:pPr>
            <w:r w:rsidRPr="00964AB1">
              <w:rPr>
                <w:rFonts w:ascii="Times New Roman" w:hAnsi="Times New Roman" w:cs="Times New Roman"/>
                <w:color w:val="000000"/>
                <w:sz w:val="24"/>
                <w:szCs w:val="24"/>
                <w:lang w:val="sk-SK"/>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964AB1">
            <w:pPr>
              <w:widowControl/>
              <w:bidi w:val="0"/>
              <w:spacing w:after="0"/>
              <w:jc w:val="center"/>
              <w:rPr>
                <w:rFonts w:ascii="Times New Roman" w:hAnsi="Times New Roman" w:cs="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964AB1">
            <w:pPr>
              <w:widowControl/>
              <w:bidi w:val="0"/>
              <w:spacing w:after="0"/>
              <w:jc w:val="center"/>
              <w:rPr>
                <w:rFonts w:ascii="Times New Roman" w:hAnsi="Times New Roman" w:cs="Times New Roman"/>
                <w:color w:val="000000"/>
                <w:sz w:val="24"/>
                <w:szCs w:val="24"/>
                <w:lang w:val="sk-SK"/>
              </w:rPr>
            </w:pPr>
            <w:r w:rsidRPr="00964AB1" w:rsidR="00734797">
              <w:rPr>
                <w:rFonts w:ascii="Times New Roman" w:hAnsi="Times New Roman" w:cs="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964AB1">
            <w:pPr>
              <w:widowControl/>
              <w:bidi w:val="0"/>
              <w:spacing w:after="0"/>
              <w:jc w:val="center"/>
              <w:rPr>
                <w:rFonts w:ascii="Times New Roman" w:hAnsi="Times New Roman" w:cs="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rsidRPr="00964AB1">
            <w:pPr>
              <w:widowControl/>
              <w:bidi w:val="0"/>
              <w:spacing w:after="0"/>
              <w:rPr>
                <w:rFonts w:ascii="Times New Roman" w:hAnsi="Times New Roman" w:cs="Times New Roman"/>
                <w:color w:val="000000"/>
                <w:sz w:val="24"/>
                <w:szCs w:val="24"/>
                <w:lang w:val="sk-SK"/>
              </w:rPr>
            </w:pPr>
            <w:r w:rsidRPr="00964AB1">
              <w:rPr>
                <w:rFonts w:ascii="Times New Roman" w:hAnsi="Times New Roman" w:cs="Times New Roman"/>
                <w:color w:val="000000"/>
                <w:sz w:val="24"/>
                <w:szCs w:val="24"/>
                <w:lang w:val="sk-SK"/>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964AB1">
            <w:pPr>
              <w:widowControl/>
              <w:bidi w:val="0"/>
              <w:spacing w:after="0"/>
              <w:jc w:val="center"/>
              <w:rPr>
                <w:rFonts w:ascii="Times New Roman" w:hAnsi="Times New Roman" w:cs="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964AB1">
            <w:pPr>
              <w:widowControl/>
              <w:bidi w:val="0"/>
              <w:spacing w:after="0"/>
              <w:jc w:val="center"/>
              <w:rPr>
                <w:rFonts w:ascii="Times New Roman" w:hAnsi="Times New Roman" w:cs="Times New Roman"/>
                <w:color w:val="000000"/>
                <w:sz w:val="24"/>
                <w:szCs w:val="24"/>
                <w:lang w:val="sk-SK"/>
              </w:rPr>
            </w:pPr>
            <w:r w:rsidRPr="00964AB1" w:rsidR="00734797">
              <w:rPr>
                <w:rFonts w:ascii="Times New Roman" w:hAnsi="Times New Roman" w:cs="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964AB1">
            <w:pPr>
              <w:widowControl/>
              <w:bidi w:val="0"/>
              <w:spacing w:after="0"/>
              <w:jc w:val="center"/>
              <w:rPr>
                <w:rFonts w:ascii="Times New Roman" w:hAnsi="Times New Roman" w:cs="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rsidRPr="00964AB1">
            <w:pPr>
              <w:widowControl/>
              <w:bidi w:val="0"/>
              <w:spacing w:after="0"/>
              <w:rPr>
                <w:rFonts w:ascii="Times New Roman" w:hAnsi="Times New Roman" w:cs="Times New Roman"/>
                <w:color w:val="000000"/>
                <w:sz w:val="24"/>
                <w:szCs w:val="24"/>
                <w:lang w:val="sk-SK"/>
              </w:rPr>
            </w:pPr>
            <w:r w:rsidRPr="00964AB1">
              <w:rPr>
                <w:rFonts w:ascii="Times New Roman" w:hAnsi="Times New Roman" w:cs="Times New Roman"/>
                <w:color w:val="000000"/>
                <w:sz w:val="24"/>
                <w:szCs w:val="24"/>
                <w:lang w:val="sk-SK"/>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79575F">
            <w:pPr>
              <w:widowControl/>
              <w:bidi w:val="0"/>
              <w:spacing w:after="0"/>
              <w:jc w:val="center"/>
              <w:rPr>
                <w:rFonts w:ascii="Times New Roman" w:hAnsi="Times New Roman" w:cs="Times New Roman"/>
                <w:color w:val="000000"/>
                <w:sz w:val="24"/>
                <w:szCs w:val="24"/>
                <w:lang w:val="sk-SK"/>
              </w:rPr>
            </w:pPr>
            <w:r w:rsidRPr="0079575F" w:rsidR="00734797">
              <w:rPr>
                <w:rFonts w:ascii="Times New Roman" w:hAnsi="Times New Roman" w:cs="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964AB1">
            <w:pPr>
              <w:widowControl/>
              <w:bidi w:val="0"/>
              <w:spacing w:after="0"/>
              <w:jc w:val="center"/>
              <w:rPr>
                <w:rFonts w:ascii="Times New Roman" w:hAnsi="Times New Roman" w:cs="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964AB1">
            <w:pPr>
              <w:widowControl/>
              <w:bidi w:val="0"/>
              <w:spacing w:after="0"/>
              <w:jc w:val="center"/>
              <w:rPr>
                <w:rFonts w:ascii="Times New Roman" w:hAnsi="Times New Roman" w:cs="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rsidRPr="00964AB1">
            <w:pPr>
              <w:widowControl/>
              <w:bidi w:val="0"/>
              <w:spacing w:after="0"/>
              <w:rPr>
                <w:rFonts w:ascii="Times New Roman" w:hAnsi="Times New Roman" w:cs="Times New Roman"/>
                <w:color w:val="000000"/>
                <w:sz w:val="24"/>
                <w:szCs w:val="24"/>
                <w:lang w:val="sk-SK"/>
              </w:rPr>
            </w:pPr>
            <w:r w:rsidRPr="00964AB1">
              <w:rPr>
                <w:rFonts w:ascii="Times New Roman" w:hAnsi="Times New Roman" w:cs="Times New Roman"/>
                <w:color w:val="000000"/>
                <w:sz w:val="24"/>
                <w:szCs w:val="24"/>
                <w:lang w:val="sk-SK"/>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93F1E" w:rsidRPr="00964AB1">
            <w:pPr>
              <w:widowControl/>
              <w:bidi w:val="0"/>
              <w:spacing w:after="0"/>
              <w:rPr>
                <w:rFonts w:ascii="Times New Roman" w:hAnsi="Times New Roman" w:cs="Times New Roman"/>
                <w:color w:val="000000"/>
                <w:sz w:val="24"/>
                <w:szCs w:val="24"/>
                <w:lang w:val="sk-SK"/>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93F1E" w:rsidRPr="00964AB1" w:rsidP="0079575F">
            <w:pPr>
              <w:widowControl/>
              <w:bidi w:val="0"/>
              <w:spacing w:after="0"/>
              <w:jc w:val="center"/>
              <w:rPr>
                <w:rFonts w:ascii="Times New Roman" w:hAnsi="Times New Roman" w:cs="Times New Roman"/>
                <w:color w:val="000000"/>
                <w:sz w:val="24"/>
                <w:szCs w:val="24"/>
                <w:lang w:val="sk-SK"/>
              </w:rPr>
            </w:pPr>
            <w:r w:rsidR="0079575F">
              <w:rPr>
                <w:rFonts w:ascii="Times New Roman" w:hAnsi="Times New Roman" w:cs="Times New Roman"/>
                <w:color w:val="000000"/>
                <w:sz w:val="24"/>
                <w:szCs w:val="24"/>
                <w:lang w:val="sk-SK"/>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93F1E" w:rsidRPr="00964AB1">
            <w:pPr>
              <w:widowControl/>
              <w:bidi w:val="0"/>
              <w:spacing w:after="0"/>
              <w:rPr>
                <w:rFonts w:ascii="Times New Roman" w:hAnsi="Times New Roman" w:cs="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rsidRPr="00964AB1">
            <w:pPr>
              <w:widowControl/>
              <w:bidi w:val="0"/>
              <w:spacing w:after="0"/>
              <w:rPr>
                <w:rFonts w:ascii="Times New Roman" w:hAnsi="Times New Roman" w:cs="Times New Roman"/>
                <w:color w:val="000000"/>
                <w:sz w:val="24"/>
                <w:szCs w:val="24"/>
                <w:lang w:val="sk-SK"/>
              </w:rPr>
            </w:pPr>
            <w:r w:rsidRPr="00964AB1">
              <w:rPr>
                <w:rFonts w:ascii="Times New Roman" w:hAnsi="Times New Roman" w:cs="Times New Roman"/>
                <w:color w:val="000000"/>
                <w:sz w:val="24"/>
                <w:szCs w:val="24"/>
                <w:lang w:val="sk-SK"/>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964AB1">
            <w:pPr>
              <w:widowControl/>
              <w:bidi w:val="0"/>
              <w:spacing w:after="0"/>
              <w:jc w:val="center"/>
              <w:rPr>
                <w:rFonts w:ascii="Times New Roman" w:hAnsi="Times New Roman" w:cs="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964AB1">
            <w:pPr>
              <w:widowControl/>
              <w:bidi w:val="0"/>
              <w:spacing w:after="0"/>
              <w:jc w:val="center"/>
              <w:rPr>
                <w:rFonts w:ascii="Times New Roman" w:hAnsi="Times New Roman" w:cs="Times New Roman"/>
                <w:color w:val="000000"/>
                <w:sz w:val="24"/>
                <w:szCs w:val="24"/>
                <w:lang w:val="sk-SK"/>
              </w:rPr>
            </w:pPr>
            <w:r w:rsidR="0079575F">
              <w:rPr>
                <w:rFonts w:ascii="Times New Roman" w:hAnsi="Times New Roman" w:cs="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964AB1">
            <w:pPr>
              <w:widowControl/>
              <w:bidi w:val="0"/>
              <w:spacing w:after="0"/>
              <w:jc w:val="center"/>
              <w:rPr>
                <w:rFonts w:ascii="Times New Roman" w:hAnsi="Times New Roman" w:cs="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rsidRPr="00964AB1">
            <w:pPr>
              <w:widowControl/>
              <w:bidi w:val="0"/>
              <w:spacing w:after="0"/>
              <w:rPr>
                <w:rFonts w:ascii="Times New Roman" w:hAnsi="Times New Roman" w:cs="Times New Roman"/>
                <w:color w:val="000000"/>
                <w:sz w:val="24"/>
                <w:szCs w:val="24"/>
                <w:lang w:val="sk-SK"/>
              </w:rPr>
            </w:pPr>
            <w:r w:rsidRPr="00964AB1">
              <w:rPr>
                <w:rFonts w:ascii="Times New Roman" w:hAnsi="Times New Roman" w:cs="Times New Roman"/>
                <w:color w:val="000000"/>
                <w:sz w:val="24"/>
                <w:szCs w:val="24"/>
                <w:lang w:val="sk-SK"/>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964AB1">
            <w:pPr>
              <w:widowControl/>
              <w:bidi w:val="0"/>
              <w:spacing w:after="0"/>
              <w:jc w:val="center"/>
              <w:rPr>
                <w:rFonts w:ascii="Times New Roman" w:hAnsi="Times New Roman" w:cs="Times New Roman"/>
                <w:color w:val="000000"/>
                <w:sz w:val="24"/>
                <w:szCs w:val="24"/>
                <w:lang w:val="sk-SK"/>
              </w:rPr>
            </w:pPr>
            <w:r w:rsidR="0079575F">
              <w:rPr>
                <w:rFonts w:ascii="Times New Roman" w:hAnsi="Times New Roman" w:cs="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964AB1">
            <w:pPr>
              <w:widowControl/>
              <w:bidi w:val="0"/>
              <w:spacing w:after="0"/>
              <w:jc w:val="center"/>
              <w:rPr>
                <w:rFonts w:ascii="Times New Roman" w:hAnsi="Times New Roman" w:cs="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964AB1">
            <w:pPr>
              <w:widowControl/>
              <w:bidi w:val="0"/>
              <w:spacing w:after="0"/>
              <w:jc w:val="center"/>
              <w:rPr>
                <w:rFonts w:ascii="Times New Roman" w:hAnsi="Times New Roman" w:cs="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rsidRPr="00964AB1">
            <w:pPr>
              <w:widowControl/>
              <w:bidi w:val="0"/>
              <w:spacing w:after="0"/>
              <w:rPr>
                <w:rFonts w:ascii="Times New Roman" w:hAnsi="Times New Roman" w:cs="Times New Roman"/>
                <w:color w:val="000000"/>
                <w:sz w:val="24"/>
                <w:szCs w:val="24"/>
                <w:lang w:val="sk-SK"/>
              </w:rPr>
            </w:pPr>
            <w:r w:rsidRPr="00964AB1">
              <w:rPr>
                <w:rFonts w:ascii="Times New Roman" w:hAnsi="Times New Roman" w:cs="Times New Roman"/>
                <w:color w:val="000000"/>
                <w:sz w:val="24"/>
                <w:szCs w:val="24"/>
                <w:lang w:val="sk-SK"/>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964AB1">
            <w:pPr>
              <w:widowControl/>
              <w:bidi w:val="0"/>
              <w:spacing w:after="0"/>
              <w:jc w:val="center"/>
              <w:rPr>
                <w:rFonts w:ascii="Times New Roman" w:hAnsi="Times New Roman" w:cs="Times New Roman"/>
                <w:color w:val="000000"/>
                <w:sz w:val="24"/>
                <w:szCs w:val="24"/>
                <w:lang w:val="sk-SK"/>
              </w:rPr>
            </w:pPr>
            <w:r w:rsidRPr="00964AB1" w:rsidR="00734797">
              <w:rPr>
                <w:rFonts w:ascii="Times New Roman" w:hAnsi="Times New Roman" w:cs="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964AB1">
            <w:pPr>
              <w:widowControl/>
              <w:bidi w:val="0"/>
              <w:spacing w:after="0"/>
              <w:jc w:val="center"/>
              <w:rPr>
                <w:rFonts w:ascii="Times New Roman" w:hAnsi="Times New Roman" w:cs="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964AB1">
            <w:pPr>
              <w:widowControl/>
              <w:bidi w:val="0"/>
              <w:spacing w:after="0"/>
              <w:jc w:val="center"/>
              <w:rPr>
                <w:rFonts w:ascii="Times New Roman" w:hAnsi="Times New Roman" w:cs="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rsidRPr="00964AB1">
            <w:pPr>
              <w:widowControl/>
              <w:bidi w:val="0"/>
              <w:spacing w:after="0"/>
              <w:rPr>
                <w:rFonts w:ascii="Times New Roman" w:hAnsi="Times New Roman" w:cs="Times New Roman"/>
                <w:color w:val="000000"/>
                <w:sz w:val="24"/>
                <w:szCs w:val="24"/>
                <w:lang w:val="sk-SK"/>
              </w:rPr>
            </w:pPr>
            <w:r w:rsidRPr="00964AB1">
              <w:rPr>
                <w:rFonts w:ascii="Times New Roman" w:hAnsi="Times New Roman" w:cs="Times New Roman"/>
                <w:color w:val="000000"/>
                <w:sz w:val="24"/>
                <w:szCs w:val="24"/>
                <w:lang w:val="sk-SK"/>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964AB1">
            <w:pPr>
              <w:widowControl/>
              <w:bidi w:val="0"/>
              <w:spacing w:after="0"/>
              <w:jc w:val="center"/>
              <w:rPr>
                <w:rFonts w:ascii="Times New Roman" w:hAnsi="Times New Roman" w:cs="Times New Roman"/>
                <w:color w:val="000000"/>
                <w:sz w:val="24"/>
                <w:szCs w:val="24"/>
                <w:lang w:val="sk-SK"/>
              </w:rPr>
            </w:pPr>
            <w:r w:rsidR="00797EC0">
              <w:rPr>
                <w:rFonts w:ascii="Times New Roman" w:hAnsi="Times New Roman" w:cs="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964AB1">
            <w:pPr>
              <w:widowControl/>
              <w:bidi w:val="0"/>
              <w:spacing w:after="0"/>
              <w:jc w:val="center"/>
              <w:rPr>
                <w:rFonts w:ascii="Times New Roman" w:hAnsi="Times New Roman" w:cs="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964AB1">
            <w:pPr>
              <w:widowControl/>
              <w:bidi w:val="0"/>
              <w:spacing w:after="0"/>
              <w:jc w:val="center"/>
              <w:rPr>
                <w:rFonts w:ascii="Times New Roman" w:hAnsi="Times New Roman" w:cs="Times New Roman"/>
                <w:color w:val="000000"/>
                <w:sz w:val="24"/>
                <w:szCs w:val="24"/>
                <w:lang w:val="sk-SK"/>
              </w:rPr>
            </w:pPr>
          </w:p>
        </w:tc>
      </w:tr>
    </w:tbl>
    <w:p w:rsidR="00593F1E" w:rsidRPr="00964AB1">
      <w:pPr>
        <w:widowControl/>
        <w:bidi w:val="0"/>
        <w:rPr>
          <w:rFonts w:ascii="Times New Roman" w:hAnsi="Times New Roman" w:cs="Times New Roman"/>
          <w:color w:val="000000"/>
          <w:sz w:val="24"/>
          <w:szCs w:val="24"/>
          <w:lang w:val="sk-SK"/>
        </w:rPr>
      </w:pPr>
      <w:r w:rsidRPr="00964AB1">
        <w:rPr>
          <w:rFonts w:ascii="Times New Roman" w:hAnsi="Times New Roman" w:cs="Times New Roman"/>
          <w:color w:val="000000"/>
          <w:sz w:val="24"/>
          <w:szCs w:val="24"/>
          <w:lang w:val="sk-SK"/>
        </w:rPr>
        <w:t> </w:t>
      </w:r>
    </w:p>
    <w:p w:rsidR="00593F1E" w:rsidRPr="00964AB1">
      <w:pPr>
        <w:bidi w:val="0"/>
        <w:spacing w:after="0" w:line="240" w:lineRule="auto"/>
        <w:jc w:val="both"/>
        <w:rPr>
          <w:rFonts w:ascii="Times New Roman" w:hAnsi="Times New Roman" w:cs="Times New Roman"/>
          <w:b/>
          <w:bCs/>
          <w:color w:val="000000"/>
          <w:sz w:val="24"/>
          <w:szCs w:val="24"/>
          <w:lang w:val="sk-SK"/>
        </w:rPr>
      </w:pPr>
    </w:p>
    <w:p w:rsidR="00593F1E" w:rsidRPr="00964AB1">
      <w:pPr>
        <w:bidi w:val="0"/>
        <w:spacing w:after="0" w:line="240" w:lineRule="auto"/>
        <w:jc w:val="both"/>
        <w:rPr>
          <w:rFonts w:ascii="Times New Roman" w:hAnsi="Times New Roman" w:cs="Times New Roman"/>
          <w:b/>
          <w:bCs/>
          <w:color w:val="000000"/>
          <w:sz w:val="24"/>
          <w:szCs w:val="24"/>
          <w:lang w:val="sk-SK"/>
        </w:rPr>
      </w:pPr>
      <w:r w:rsidRPr="00964AB1">
        <w:rPr>
          <w:rFonts w:ascii="Times New Roman" w:hAnsi="Times New Roman" w:cs="Times New Roman"/>
          <w:b/>
          <w:bCs/>
          <w:color w:val="000000"/>
          <w:sz w:val="24"/>
          <w:szCs w:val="24"/>
          <w:lang w:val="sk-SK"/>
        </w:rPr>
        <w:t>A.3. Poznámky</w:t>
      </w:r>
    </w:p>
    <w:p w:rsidR="00797EC0" w:rsidP="00797EC0">
      <w:pPr>
        <w:pStyle w:val="NormalWeb"/>
        <w:bidi w:val="0"/>
        <w:spacing w:before="0" w:beforeAutospacing="0" w:after="0" w:afterAutospacing="0" w:line="276" w:lineRule="auto"/>
        <w:ind w:left="448" w:firstLine="632"/>
        <w:jc w:val="both"/>
        <w:rPr>
          <w:rFonts w:ascii="Times New Roman" w:hAnsi="Times New Roman"/>
        </w:rPr>
      </w:pPr>
      <w:r>
        <w:rPr>
          <w:rFonts w:ascii="Times New Roman" w:hAnsi="Times New Roman"/>
          <w:color w:val="000000"/>
        </w:rPr>
        <w:t xml:space="preserve">Nepredpokladá sa, že predkladaný materiál bude mať vplyv na rozpočet verejnej správy alebo vplyv na podnikateľské prostredie. Predkladaný materiál bude mať pozitívny sociálny vplyv, vplyv na životné prostredie, ako aj vplyv na informatizáciu spoločnosti. </w:t>
      </w:r>
    </w:p>
    <w:p w:rsidR="00593F1E" w:rsidRPr="00797EC0">
      <w:pPr>
        <w:bidi w:val="0"/>
        <w:spacing w:after="0" w:line="240" w:lineRule="auto"/>
        <w:jc w:val="both"/>
        <w:rPr>
          <w:rFonts w:ascii="Times New Roman" w:hAnsi="Times New Roman" w:cs="Times New Roman"/>
          <w:i/>
          <w:iCs/>
          <w:sz w:val="24"/>
          <w:szCs w:val="24"/>
          <w:lang w:val="sk-SK"/>
        </w:rPr>
      </w:pPr>
      <w:r w:rsidRPr="00797EC0">
        <w:rPr>
          <w:rFonts w:ascii="Times New Roman" w:hAnsi="Times New Roman" w:cs="Times New Roman"/>
          <w:i/>
          <w:iCs/>
          <w:sz w:val="24"/>
          <w:szCs w:val="24"/>
          <w:lang w:val="sk-SK"/>
        </w:rPr>
        <w:t xml:space="preserve">      </w:t>
      </w:r>
    </w:p>
    <w:p w:rsidR="00593F1E" w:rsidRPr="00797EC0">
      <w:pPr>
        <w:bidi w:val="0"/>
        <w:spacing w:after="0" w:line="240" w:lineRule="auto"/>
        <w:jc w:val="both"/>
        <w:rPr>
          <w:rFonts w:ascii="Times New Roman" w:hAnsi="Times New Roman" w:cs="Times New Roman"/>
          <w:b/>
          <w:bCs/>
          <w:sz w:val="24"/>
          <w:szCs w:val="24"/>
          <w:lang w:val="sk-SK"/>
        </w:rPr>
      </w:pPr>
      <w:r w:rsidRPr="00797EC0">
        <w:rPr>
          <w:rFonts w:ascii="Times New Roman" w:hAnsi="Times New Roman" w:cs="Times New Roman"/>
          <w:b/>
          <w:bCs/>
          <w:sz w:val="24"/>
          <w:szCs w:val="24"/>
          <w:lang w:val="sk-SK"/>
        </w:rPr>
        <w:t>A.4. Alternatívne riešenia</w:t>
      </w:r>
    </w:p>
    <w:p w:rsidR="00593F1E" w:rsidRPr="00797EC0">
      <w:pPr>
        <w:bidi w:val="0"/>
        <w:spacing w:after="0" w:line="240" w:lineRule="auto"/>
        <w:jc w:val="both"/>
        <w:rPr>
          <w:rFonts w:ascii="Times New Roman" w:hAnsi="Times New Roman" w:cs="Times New Roman"/>
          <w:b/>
          <w:bCs/>
          <w:sz w:val="24"/>
          <w:szCs w:val="24"/>
          <w:lang w:val="sk-SK"/>
        </w:rPr>
      </w:pPr>
      <w:r w:rsidRPr="00797EC0">
        <w:rPr>
          <w:rFonts w:ascii="Times New Roman" w:hAnsi="Times New Roman" w:cs="Times New Roman"/>
          <w:sz w:val="24"/>
          <w:szCs w:val="24"/>
          <w:lang w:val="sk-SK"/>
        </w:rPr>
        <w:t> </w:t>
      </w:r>
    </w:p>
    <w:p w:rsidR="00593F1E" w:rsidRPr="00797EC0">
      <w:pPr>
        <w:bidi w:val="0"/>
        <w:spacing w:after="0" w:line="240" w:lineRule="auto"/>
        <w:jc w:val="both"/>
        <w:rPr>
          <w:rFonts w:ascii="Times New Roman" w:hAnsi="Times New Roman" w:cs="Times New Roman"/>
          <w:b/>
          <w:bCs/>
          <w:sz w:val="24"/>
          <w:szCs w:val="24"/>
          <w:lang w:val="sk-SK"/>
        </w:rPr>
      </w:pPr>
    </w:p>
    <w:p w:rsidR="00BF6A6D">
      <w:pPr>
        <w:bidi w:val="0"/>
        <w:spacing w:after="0" w:line="240" w:lineRule="auto"/>
        <w:jc w:val="both"/>
        <w:rPr>
          <w:rFonts w:ascii="Times New Roman" w:hAnsi="Times New Roman" w:cs="Times New Roman"/>
          <w:b/>
          <w:bCs/>
          <w:sz w:val="24"/>
          <w:szCs w:val="24"/>
          <w:lang w:val="sk-SK"/>
        </w:rPr>
      </w:pPr>
      <w:r w:rsidRPr="00797EC0" w:rsidR="00593F1E">
        <w:rPr>
          <w:rFonts w:ascii="Times New Roman" w:hAnsi="Times New Roman" w:cs="Times New Roman"/>
          <w:b/>
          <w:bCs/>
          <w:sz w:val="24"/>
          <w:szCs w:val="24"/>
          <w:lang w:val="sk-SK"/>
        </w:rPr>
        <w:t>A.5. Stanovisko gestorov</w:t>
      </w:r>
    </w:p>
    <w:p w:rsidR="00674822">
      <w:pPr>
        <w:bidi w:val="0"/>
        <w:spacing w:after="0" w:line="240" w:lineRule="auto"/>
        <w:jc w:val="both"/>
        <w:rPr>
          <w:rFonts w:ascii="Times New Roman" w:hAnsi="Times New Roman" w:cs="Times New Roman"/>
          <w:b/>
          <w:bCs/>
          <w:sz w:val="24"/>
          <w:szCs w:val="24"/>
          <w:lang w:val="sk-SK"/>
        </w:rPr>
      </w:pPr>
    </w:p>
    <w:p w:rsidR="00674822">
      <w:pPr>
        <w:bidi w:val="0"/>
        <w:spacing w:after="0" w:line="240" w:lineRule="auto"/>
        <w:jc w:val="both"/>
        <w:rPr>
          <w:rFonts w:ascii="Times New Roman" w:hAnsi="Times New Roman" w:cs="Times New Roman"/>
          <w:b/>
          <w:bCs/>
          <w:sz w:val="24"/>
          <w:szCs w:val="24"/>
          <w:lang w:val="sk-SK"/>
        </w:rPr>
      </w:pPr>
    </w:p>
    <w:p w:rsidR="00674822">
      <w:pPr>
        <w:bidi w:val="0"/>
        <w:spacing w:after="0" w:line="240" w:lineRule="auto"/>
        <w:jc w:val="both"/>
        <w:rPr>
          <w:rFonts w:ascii="Times New Roman" w:hAnsi="Times New Roman" w:cs="Times New Roman"/>
          <w:b/>
          <w:bCs/>
          <w:sz w:val="24"/>
          <w:szCs w:val="24"/>
          <w:lang w:val="sk-SK"/>
        </w:rPr>
      </w:pPr>
    </w:p>
    <w:p w:rsidR="00674822">
      <w:pPr>
        <w:bidi w:val="0"/>
        <w:spacing w:after="0" w:line="240" w:lineRule="auto"/>
        <w:jc w:val="both"/>
        <w:rPr>
          <w:rFonts w:ascii="Times New Roman" w:hAnsi="Times New Roman" w:cs="Times New Roman"/>
          <w:b/>
          <w:bCs/>
          <w:sz w:val="24"/>
          <w:szCs w:val="24"/>
          <w:lang w:val="sk-SK"/>
        </w:rPr>
      </w:pPr>
    </w:p>
    <w:p w:rsidR="00674822">
      <w:pPr>
        <w:bidi w:val="0"/>
        <w:spacing w:after="0" w:line="240" w:lineRule="auto"/>
        <w:jc w:val="both"/>
        <w:rPr>
          <w:rFonts w:ascii="Times New Roman" w:hAnsi="Times New Roman" w:cs="Times New Roman"/>
          <w:b/>
          <w:bCs/>
          <w:sz w:val="24"/>
          <w:szCs w:val="24"/>
          <w:lang w:val="sk-SK"/>
        </w:rPr>
      </w:pPr>
    </w:p>
    <w:tbl>
      <w:tblPr>
        <w:tblStyle w:val="TableNormal"/>
        <w:tblpPr w:leftFromText="141" w:rightFromText="141" w:vertAnchor="page" w:horzAnchor="margin" w:tblpY="1876"/>
        <w:tblW w:w="9015" w:type="dxa"/>
        <w:tblCellMar>
          <w:left w:w="70" w:type="dxa"/>
          <w:right w:w="70" w:type="dxa"/>
        </w:tblCellMar>
        <w:tblLook w:val="04A0"/>
      </w:tblPr>
      <w:tblGrid>
        <w:gridCol w:w="4875"/>
        <w:gridCol w:w="4140"/>
      </w:tblGrid>
      <w:tr>
        <w:tblPrEx>
          <w:tblW w:w="9015" w:type="dxa"/>
          <w:tblCellMar>
            <w:left w:w="70" w:type="dxa"/>
            <w:right w:w="70" w:type="dxa"/>
          </w:tblCellMar>
          <w:tblLook w:val="04A0"/>
        </w:tblPrEx>
        <w:trPr>
          <w:trHeight w:val="1530"/>
        </w:trPr>
        <w:tc>
          <w:tcPr>
            <w:tcW w:w="4875" w:type="dxa"/>
            <w:tcBorders>
              <w:top w:val="single" w:sz="4" w:space="0" w:color="auto"/>
              <w:left w:val="single" w:sz="4" w:space="0" w:color="auto"/>
              <w:bottom w:val="single" w:sz="4" w:space="0" w:color="auto"/>
              <w:right w:val="single" w:sz="4" w:space="0" w:color="auto"/>
            </w:tcBorders>
            <w:textDirection w:val="lrTb"/>
            <w:vAlign w:val="center"/>
            <w:hideMark/>
          </w:tcPr>
          <w:p w:rsidR="00674822" w:rsidRPr="00674822" w:rsidP="00674822">
            <w:pPr>
              <w:bidi w:val="0"/>
              <w:spacing w:line="240" w:lineRule="auto"/>
              <w:jc w:val="both"/>
              <w:rPr>
                <w:rFonts w:ascii="Times New Roman" w:hAnsi="Times New Roman" w:cs="Times New Roman"/>
                <w:lang w:val="sk-SK"/>
              </w:rPr>
            </w:pPr>
            <w:r w:rsidRPr="00674822">
              <w:rPr>
                <w:rFonts w:ascii="Times New Roman" w:hAnsi="Times New Roman" w:cs="Times New Roman"/>
                <w:b/>
                <w:lang w:val="sk-SK"/>
              </w:rPr>
              <w:t>4.1.</w:t>
            </w:r>
            <w:r w:rsidRPr="00674822">
              <w:rPr>
                <w:rFonts w:ascii="Times New Roman" w:hAnsi="Times New Roman" w:cs="Times New Roman"/>
                <w:lang w:val="sk-SK"/>
              </w:rPr>
              <w:t xml:space="preserve"> Identifikujte vplyv na hospodárenie   domácností a špecifikujte ovplyvnené skupiny domácností, ktoré budú pozitívne/negatívne ovplyvnené.  </w:t>
            </w:r>
          </w:p>
        </w:tc>
        <w:tc>
          <w:tcPr>
            <w:tcW w:w="4140" w:type="dxa"/>
            <w:tcBorders>
              <w:top w:val="single" w:sz="4" w:space="0" w:color="auto"/>
              <w:left w:val="nil"/>
              <w:bottom w:val="single" w:sz="4" w:space="0" w:color="auto"/>
              <w:right w:val="single" w:sz="4" w:space="0" w:color="auto"/>
            </w:tcBorders>
            <w:textDirection w:val="lrTb"/>
            <w:vAlign w:val="top"/>
            <w:hideMark/>
          </w:tcPr>
          <w:p w:rsidR="00674822" w:rsidRPr="00674822" w:rsidP="00674822">
            <w:pPr>
              <w:bidi w:val="0"/>
              <w:spacing w:line="240" w:lineRule="auto"/>
              <w:jc w:val="both"/>
              <w:rPr>
                <w:rFonts w:ascii="Times New Roman" w:hAnsi="Times New Roman" w:cs="Times New Roman"/>
                <w:lang w:val="sk-SK"/>
              </w:rPr>
            </w:pPr>
            <w:r w:rsidRPr="00674822">
              <w:rPr>
                <w:rFonts w:ascii="Times New Roman" w:hAnsi="Times New Roman" w:cs="Times New Roman"/>
                <w:lang w:val="sk-SK"/>
              </w:rPr>
              <w:t> </w:t>
            </w:r>
          </w:p>
          <w:p w:rsidR="00674822" w:rsidRPr="00674822" w:rsidP="00674822">
            <w:pPr>
              <w:bidi w:val="0"/>
              <w:spacing w:line="240" w:lineRule="auto"/>
              <w:jc w:val="both"/>
              <w:rPr>
                <w:rFonts w:ascii="Times New Roman" w:hAnsi="Times New Roman" w:cs="Times New Roman"/>
                <w:lang w:val="sk-SK"/>
              </w:rPr>
            </w:pPr>
            <w:r w:rsidRPr="00674822">
              <w:rPr>
                <w:rFonts w:ascii="Times New Roman" w:hAnsi="Times New Roman" w:cs="Times New Roman"/>
                <w:lang w:val="sk-SK"/>
              </w:rPr>
              <w:t>Bez vplyvu.</w:t>
            </w:r>
          </w:p>
        </w:tc>
      </w:tr>
      <w:tr>
        <w:tblPrEx>
          <w:tblW w:w="9015" w:type="dxa"/>
          <w:tblCellMar>
            <w:left w:w="70" w:type="dxa"/>
            <w:right w:w="70" w:type="dxa"/>
          </w:tblCellMar>
          <w:tblLook w:val="04A0"/>
        </w:tblPrEx>
        <w:trPr>
          <w:cantSplit/>
          <w:trHeight w:val="528"/>
        </w:trPr>
        <w:tc>
          <w:tcPr>
            <w:tcW w:w="4875" w:type="dxa"/>
            <w:tcBorders>
              <w:top w:val="single" w:sz="4" w:space="0" w:color="auto"/>
              <w:left w:val="single" w:sz="4" w:space="0" w:color="auto"/>
              <w:bottom w:val="nil"/>
              <w:right w:val="single" w:sz="4" w:space="0" w:color="auto"/>
            </w:tcBorders>
            <w:textDirection w:val="lrTb"/>
            <w:vAlign w:val="center"/>
            <w:hideMark/>
          </w:tcPr>
          <w:p w:rsidR="00674822" w:rsidRPr="00674822" w:rsidP="00674822">
            <w:pPr>
              <w:bidi w:val="0"/>
              <w:spacing w:line="240" w:lineRule="auto"/>
              <w:ind w:firstLine="440" w:firstLineChars="200"/>
              <w:jc w:val="both"/>
              <w:rPr>
                <w:rFonts w:ascii="Times New Roman" w:hAnsi="Times New Roman" w:cs="Times New Roman"/>
                <w:lang w:val="sk-SK"/>
              </w:rPr>
            </w:pPr>
            <w:r w:rsidRPr="00674822">
              <w:rPr>
                <w:rFonts w:ascii="Times New Roman" w:hAnsi="Times New Roman" w:cs="Times New Roman"/>
                <w:lang w:val="sk-SK"/>
              </w:rPr>
              <w:t xml:space="preserve">Kvantifikujte: </w:t>
            </w:r>
          </w:p>
        </w:tc>
        <w:tc>
          <w:tcPr>
            <w:tcW w:w="4140" w:type="dxa"/>
            <w:vMerge w:val="restart"/>
            <w:tcBorders>
              <w:top w:val="nil"/>
              <w:left w:val="nil"/>
              <w:bottom w:val="single" w:sz="4" w:space="0" w:color="auto"/>
              <w:right w:val="single" w:sz="4" w:space="0" w:color="auto"/>
            </w:tcBorders>
            <w:textDirection w:val="lrTb"/>
            <w:vAlign w:val="top"/>
          </w:tcPr>
          <w:p w:rsidR="00674822" w:rsidRPr="00674822" w:rsidP="00674822">
            <w:pPr>
              <w:bidi w:val="0"/>
              <w:spacing w:line="240" w:lineRule="auto"/>
              <w:jc w:val="both"/>
              <w:rPr>
                <w:rFonts w:ascii="Times New Roman" w:hAnsi="Times New Roman" w:cs="Times New Roman"/>
                <w:lang w:val="sk-SK"/>
              </w:rPr>
            </w:pPr>
          </w:p>
          <w:p w:rsidR="00674822" w:rsidRPr="00674822" w:rsidP="00674822">
            <w:pPr>
              <w:bidi w:val="0"/>
              <w:spacing w:line="240" w:lineRule="auto"/>
              <w:jc w:val="both"/>
              <w:rPr>
                <w:rFonts w:ascii="Times New Roman" w:hAnsi="Times New Roman" w:cs="Times New Roman"/>
                <w:lang w:val="sk-SK"/>
              </w:rPr>
            </w:pPr>
            <w:r w:rsidRPr="00674822">
              <w:rPr>
                <w:rFonts w:ascii="Times New Roman" w:hAnsi="Times New Roman" w:cs="Times New Roman"/>
                <w:lang w:val="sk-SK"/>
              </w:rPr>
              <w:t>-</w:t>
            </w:r>
          </w:p>
        </w:tc>
      </w:tr>
      <w:tr>
        <w:tblPrEx>
          <w:tblW w:w="9015" w:type="dxa"/>
          <w:tblCellMar>
            <w:left w:w="70" w:type="dxa"/>
            <w:right w:w="70" w:type="dxa"/>
          </w:tblCellMar>
          <w:tblLook w:val="04A0"/>
        </w:tblPrEx>
        <w:trPr>
          <w:cantSplit/>
          <w:trHeight w:val="549"/>
        </w:trPr>
        <w:tc>
          <w:tcPr>
            <w:tcW w:w="4875" w:type="dxa"/>
            <w:tcBorders>
              <w:top w:val="nil"/>
              <w:left w:val="single" w:sz="4" w:space="0" w:color="auto"/>
              <w:bottom w:val="nil"/>
              <w:right w:val="single" w:sz="4" w:space="0" w:color="auto"/>
            </w:tcBorders>
            <w:textDirection w:val="lrTb"/>
            <w:vAlign w:val="center"/>
            <w:hideMark/>
          </w:tcPr>
          <w:p w:rsidR="00674822" w:rsidRPr="00674822" w:rsidP="00674822">
            <w:pPr>
              <w:bidi w:val="0"/>
              <w:spacing w:line="240" w:lineRule="auto"/>
              <w:ind w:firstLine="660" w:firstLineChars="300"/>
              <w:jc w:val="both"/>
              <w:rPr>
                <w:rFonts w:ascii="Times New Roman" w:hAnsi="Times New Roman" w:cs="Times New Roman"/>
                <w:lang w:val="sk-SK"/>
              </w:rPr>
            </w:pPr>
            <w:r w:rsidRPr="00674822">
              <w:rPr>
                <w:rFonts w:ascii="Times New Roman" w:hAnsi="Times New Roman" w:cs="Times New Roman"/>
                <w:lang w:val="sk-SK"/>
              </w:rPr>
              <w:t>- Rast alebo pokles príjmov/výdavkov            na priemerného obyvateľa</w:t>
            </w:r>
          </w:p>
        </w:tc>
        <w:tc>
          <w:tcPr>
            <w:tcW w:w="0" w:type="auto"/>
            <w:vMerge/>
            <w:tcBorders>
              <w:top w:val="nil"/>
              <w:left w:val="nil"/>
              <w:bottom w:val="single" w:sz="4" w:space="0" w:color="auto"/>
              <w:right w:val="single" w:sz="4" w:space="0" w:color="auto"/>
            </w:tcBorders>
            <w:textDirection w:val="lrTb"/>
            <w:vAlign w:val="center"/>
            <w:hideMark/>
          </w:tcPr>
          <w:p w:rsidR="00674822" w:rsidRPr="00674822" w:rsidP="00674822">
            <w:pPr>
              <w:bidi w:val="0"/>
              <w:spacing w:line="240" w:lineRule="auto"/>
              <w:rPr>
                <w:rFonts w:ascii="Times New Roman" w:hAnsi="Times New Roman" w:cs="Times New Roman"/>
                <w:lang w:val="sk-SK"/>
              </w:rPr>
            </w:pPr>
          </w:p>
        </w:tc>
      </w:tr>
      <w:tr>
        <w:tblPrEx>
          <w:tblW w:w="9015" w:type="dxa"/>
          <w:tblCellMar>
            <w:left w:w="70" w:type="dxa"/>
            <w:right w:w="70" w:type="dxa"/>
          </w:tblCellMar>
          <w:tblLook w:val="04A0"/>
        </w:tblPrEx>
        <w:trPr>
          <w:cantSplit/>
          <w:trHeight w:val="870"/>
        </w:trPr>
        <w:tc>
          <w:tcPr>
            <w:tcW w:w="4875" w:type="dxa"/>
            <w:tcBorders>
              <w:top w:val="nil"/>
              <w:left w:val="single" w:sz="4" w:space="0" w:color="auto"/>
              <w:bottom w:val="nil"/>
              <w:right w:val="single" w:sz="4" w:space="0" w:color="auto"/>
            </w:tcBorders>
            <w:textDirection w:val="lrTb"/>
            <w:vAlign w:val="center"/>
            <w:hideMark/>
          </w:tcPr>
          <w:p w:rsidR="00674822" w:rsidRPr="00674822" w:rsidP="00674822">
            <w:pPr>
              <w:bidi w:val="0"/>
              <w:spacing w:line="240" w:lineRule="auto"/>
              <w:ind w:firstLine="660" w:firstLineChars="300"/>
              <w:jc w:val="both"/>
              <w:rPr>
                <w:rFonts w:ascii="Times New Roman" w:hAnsi="Times New Roman" w:cs="Times New Roman"/>
                <w:lang w:val="sk-SK"/>
              </w:rPr>
            </w:pPr>
            <w:r w:rsidRPr="00674822">
              <w:rPr>
                <w:rFonts w:ascii="Times New Roman" w:hAnsi="Times New Roman" w:cs="Times New Roman"/>
                <w:lang w:val="sk-SK"/>
              </w:rPr>
              <w:t>- Rast alebo pokles príjmov/výdavkov                  za jednotlivé ovplyvnené  skupiny domácností</w:t>
            </w:r>
          </w:p>
          <w:p w:rsidR="00674822" w:rsidRPr="00674822" w:rsidP="00674822">
            <w:pPr>
              <w:bidi w:val="0"/>
              <w:spacing w:line="240" w:lineRule="auto"/>
              <w:ind w:firstLine="660" w:firstLineChars="300"/>
              <w:jc w:val="both"/>
              <w:rPr>
                <w:rFonts w:ascii="Times New Roman" w:hAnsi="Times New Roman" w:cs="Times New Roman"/>
                <w:lang w:val="sk-SK"/>
              </w:rPr>
            </w:pPr>
            <w:r w:rsidRPr="00674822">
              <w:rPr>
                <w:rFonts w:ascii="Times New Roman" w:hAnsi="Times New Roman" w:cs="Times New Roman"/>
                <w:lang w:val="sk-SK"/>
              </w:rPr>
              <w:t>- Celkový počet obyvateľstva/domácností ovplyvnených predkladaným materiálom</w:t>
            </w:r>
          </w:p>
        </w:tc>
        <w:tc>
          <w:tcPr>
            <w:tcW w:w="0" w:type="auto"/>
            <w:vMerge/>
            <w:tcBorders>
              <w:top w:val="nil"/>
              <w:left w:val="nil"/>
              <w:bottom w:val="single" w:sz="4" w:space="0" w:color="auto"/>
              <w:right w:val="single" w:sz="4" w:space="0" w:color="auto"/>
            </w:tcBorders>
            <w:textDirection w:val="lrTb"/>
            <w:vAlign w:val="center"/>
            <w:hideMark/>
          </w:tcPr>
          <w:p w:rsidR="00674822" w:rsidRPr="00674822" w:rsidP="00674822">
            <w:pPr>
              <w:bidi w:val="0"/>
              <w:spacing w:line="240" w:lineRule="auto"/>
              <w:rPr>
                <w:rFonts w:ascii="Times New Roman" w:hAnsi="Times New Roman" w:cs="Times New Roman"/>
                <w:lang w:val="sk-SK"/>
              </w:rPr>
            </w:pPr>
          </w:p>
        </w:tc>
      </w:tr>
      <w:tr>
        <w:tblPrEx>
          <w:tblW w:w="9015" w:type="dxa"/>
          <w:tblCellMar>
            <w:left w:w="70" w:type="dxa"/>
            <w:right w:w="70" w:type="dxa"/>
          </w:tblCellMar>
          <w:tblLook w:val="04A0"/>
        </w:tblPrEx>
        <w:trPr>
          <w:cantSplit/>
          <w:trHeight w:val="128"/>
        </w:trPr>
        <w:tc>
          <w:tcPr>
            <w:tcW w:w="4875" w:type="dxa"/>
            <w:tcBorders>
              <w:top w:val="nil"/>
              <w:left w:val="single" w:sz="4" w:space="0" w:color="auto"/>
              <w:bottom w:val="nil"/>
              <w:right w:val="single" w:sz="4" w:space="0" w:color="auto"/>
            </w:tcBorders>
            <w:textDirection w:val="lrTb"/>
            <w:vAlign w:val="center"/>
          </w:tcPr>
          <w:p w:rsidR="00674822" w:rsidRPr="00674822" w:rsidP="00674822">
            <w:pPr>
              <w:bidi w:val="0"/>
              <w:spacing w:line="240" w:lineRule="auto"/>
              <w:ind w:firstLine="660" w:firstLineChars="300"/>
              <w:jc w:val="both"/>
              <w:rPr>
                <w:rFonts w:ascii="Times New Roman" w:hAnsi="Times New Roman" w:cs="Times New Roman"/>
                <w:lang w:val="sk-SK"/>
              </w:rPr>
            </w:pPr>
          </w:p>
        </w:tc>
        <w:tc>
          <w:tcPr>
            <w:tcW w:w="0" w:type="auto"/>
            <w:vMerge/>
            <w:tcBorders>
              <w:top w:val="nil"/>
              <w:left w:val="nil"/>
              <w:bottom w:val="single" w:sz="4" w:space="0" w:color="auto"/>
              <w:right w:val="single" w:sz="4" w:space="0" w:color="auto"/>
            </w:tcBorders>
            <w:textDirection w:val="lrTb"/>
            <w:vAlign w:val="center"/>
            <w:hideMark/>
          </w:tcPr>
          <w:p w:rsidR="00674822" w:rsidRPr="00674822" w:rsidP="00674822">
            <w:pPr>
              <w:bidi w:val="0"/>
              <w:spacing w:line="240" w:lineRule="auto"/>
              <w:rPr>
                <w:rFonts w:ascii="Times New Roman" w:hAnsi="Times New Roman" w:cs="Times New Roman"/>
                <w:lang w:val="sk-SK"/>
              </w:rPr>
            </w:pPr>
          </w:p>
        </w:tc>
      </w:tr>
      <w:tr>
        <w:tblPrEx>
          <w:tblW w:w="9015" w:type="dxa"/>
          <w:tblCellMar>
            <w:left w:w="70" w:type="dxa"/>
            <w:right w:w="70" w:type="dxa"/>
          </w:tblCellMar>
          <w:tblLook w:val="04A0"/>
        </w:tblPrEx>
        <w:trPr>
          <w:trHeight w:val="1608"/>
        </w:trPr>
        <w:tc>
          <w:tcPr>
            <w:tcW w:w="4875" w:type="dxa"/>
            <w:tcBorders>
              <w:top w:val="single" w:sz="4" w:space="0" w:color="auto"/>
              <w:left w:val="single" w:sz="4" w:space="0" w:color="auto"/>
              <w:bottom w:val="single" w:sz="4" w:space="0" w:color="auto"/>
              <w:right w:val="single" w:sz="4" w:space="0" w:color="auto"/>
            </w:tcBorders>
            <w:textDirection w:val="lrTb"/>
            <w:vAlign w:val="center"/>
            <w:hideMark/>
          </w:tcPr>
          <w:p w:rsidR="00674822" w:rsidRPr="00674822" w:rsidP="00674822">
            <w:pPr>
              <w:bidi w:val="0"/>
              <w:spacing w:line="240" w:lineRule="auto"/>
              <w:jc w:val="both"/>
              <w:rPr>
                <w:rFonts w:ascii="Times New Roman" w:hAnsi="Times New Roman" w:cs="Times New Roman"/>
                <w:lang w:val="sk-SK"/>
              </w:rPr>
            </w:pPr>
            <w:r w:rsidRPr="00674822">
              <w:rPr>
                <w:rFonts w:ascii="Times New Roman" w:hAnsi="Times New Roman" w:cs="Times New Roman"/>
                <w:b/>
                <w:lang w:val="sk-SK"/>
              </w:rPr>
              <w:t>4.2.</w:t>
            </w:r>
            <w:r w:rsidRPr="00674822">
              <w:rPr>
                <w:rFonts w:ascii="Times New Roman" w:hAnsi="Times New Roman" w:cs="Times New Roman"/>
                <w:lang w:val="sk-SK"/>
              </w:rPr>
              <w:t xml:space="preserve"> Zhodnoťte kvalitatívne (prípadne kvantitatívne) vplyvy na prístup k zdrojom, právam, tovarom a službám u jednotlivých ovplyvnených skupín obyvateľstva.</w:t>
            </w:r>
          </w:p>
        </w:tc>
        <w:tc>
          <w:tcPr>
            <w:tcW w:w="4140" w:type="dxa"/>
            <w:tcBorders>
              <w:top w:val="nil"/>
              <w:left w:val="nil"/>
              <w:bottom w:val="single" w:sz="4" w:space="0" w:color="auto"/>
              <w:right w:val="single" w:sz="4" w:space="0" w:color="auto"/>
            </w:tcBorders>
            <w:textDirection w:val="lrTb"/>
            <w:vAlign w:val="top"/>
            <w:hideMark/>
          </w:tcPr>
          <w:p w:rsidR="00674822" w:rsidRPr="00674822" w:rsidP="00674822">
            <w:pPr>
              <w:bidi w:val="0"/>
              <w:spacing w:line="240" w:lineRule="auto"/>
              <w:jc w:val="both"/>
              <w:rPr>
                <w:rFonts w:ascii="Times New Roman" w:hAnsi="Times New Roman" w:cs="Times New Roman"/>
                <w:lang w:val="sk-SK"/>
              </w:rPr>
            </w:pPr>
            <w:r w:rsidRPr="00674822">
              <w:rPr>
                <w:rFonts w:ascii="Times New Roman" w:hAnsi="Times New Roman" w:cs="Times New Roman"/>
                <w:lang w:val="sk-SK"/>
              </w:rPr>
              <w:t> </w:t>
            </w:r>
          </w:p>
          <w:p w:rsidR="00674822" w:rsidRPr="00674822" w:rsidP="00674822">
            <w:pPr>
              <w:bidi w:val="0"/>
              <w:spacing w:line="240" w:lineRule="auto"/>
              <w:jc w:val="both"/>
              <w:rPr>
                <w:rFonts w:ascii="Times New Roman" w:hAnsi="Times New Roman" w:cs="Times New Roman"/>
                <w:lang w:val="sk-SK"/>
              </w:rPr>
            </w:pPr>
            <w:r w:rsidRPr="00674822">
              <w:rPr>
                <w:rFonts w:ascii="Times New Roman" w:hAnsi="Times New Roman" w:cs="Times New Roman"/>
                <w:lang w:val="sk-SK"/>
              </w:rPr>
              <w:t>Bez vplyvu.</w:t>
            </w:r>
          </w:p>
        </w:tc>
      </w:tr>
      <w:tr>
        <w:tblPrEx>
          <w:tblW w:w="9015" w:type="dxa"/>
          <w:tblCellMar>
            <w:left w:w="70" w:type="dxa"/>
            <w:right w:w="70" w:type="dxa"/>
          </w:tblCellMar>
          <w:tblLook w:val="04A0"/>
        </w:tblPrEx>
        <w:trPr>
          <w:trHeight w:val="660"/>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674822" w:rsidRPr="00674822" w:rsidP="00674822">
            <w:pPr>
              <w:bidi w:val="0"/>
              <w:spacing w:line="240" w:lineRule="auto"/>
              <w:jc w:val="both"/>
              <w:rPr>
                <w:rFonts w:ascii="Times New Roman" w:hAnsi="Times New Roman" w:cs="Times New Roman"/>
                <w:lang w:val="sk-SK"/>
              </w:rPr>
            </w:pPr>
          </w:p>
          <w:p w:rsidR="00674822" w:rsidRPr="00674822" w:rsidP="00674822">
            <w:pPr>
              <w:bidi w:val="0"/>
              <w:spacing w:line="240" w:lineRule="auto"/>
              <w:jc w:val="both"/>
              <w:rPr>
                <w:rFonts w:ascii="Times New Roman" w:hAnsi="Times New Roman" w:cs="Times New Roman"/>
                <w:lang w:val="sk-SK"/>
              </w:rPr>
            </w:pPr>
            <w:r w:rsidRPr="00674822">
              <w:rPr>
                <w:rFonts w:ascii="Times New Roman" w:hAnsi="Times New Roman" w:cs="Times New Roman"/>
                <w:b/>
                <w:lang w:val="sk-SK"/>
              </w:rPr>
              <w:t>4.3.</w:t>
            </w:r>
            <w:r w:rsidRPr="00674822">
              <w:rPr>
                <w:rFonts w:ascii="Times New Roman" w:hAnsi="Times New Roman" w:cs="Times New Roman"/>
                <w:lang w:val="sk-SK"/>
              </w:rPr>
              <w:t xml:space="preserve">  Zhodnoťte vplyv na rovnosť príležitostí:</w:t>
            </w:r>
          </w:p>
          <w:p w:rsidR="00674822" w:rsidRPr="00674822" w:rsidP="00674822">
            <w:pPr>
              <w:bidi w:val="0"/>
              <w:spacing w:line="240" w:lineRule="auto"/>
              <w:jc w:val="both"/>
              <w:rPr>
                <w:rFonts w:ascii="Times New Roman" w:hAnsi="Times New Roman" w:cs="Times New Roman"/>
                <w:lang w:val="sk-SK"/>
              </w:rPr>
            </w:pPr>
          </w:p>
          <w:p w:rsidR="00674822" w:rsidRPr="00674822" w:rsidP="00674822">
            <w:pPr>
              <w:bidi w:val="0"/>
              <w:spacing w:line="240" w:lineRule="auto"/>
              <w:jc w:val="both"/>
              <w:rPr>
                <w:rFonts w:ascii="Times New Roman" w:hAnsi="Times New Roman" w:cs="Times New Roman"/>
                <w:lang w:val="sk-SK"/>
              </w:rPr>
            </w:pPr>
            <w:r w:rsidRPr="00674822">
              <w:rPr>
                <w:rFonts w:ascii="Times New Roman" w:hAnsi="Times New Roman" w:cs="Times New Roman"/>
                <w:lang w:val="sk-SK"/>
              </w:rPr>
              <w:t>Zhodnoťte vplyv na rodovú rovnosť.</w:t>
            </w:r>
          </w:p>
          <w:p w:rsidR="00674822" w:rsidRPr="00674822" w:rsidP="00674822">
            <w:pPr>
              <w:bidi w:val="0"/>
              <w:spacing w:line="240" w:lineRule="auto"/>
              <w:jc w:val="both"/>
              <w:rPr>
                <w:rFonts w:ascii="Times New Roman" w:hAnsi="Times New Roman" w:cs="Times New Roman"/>
                <w:lang w:val="sk-SK"/>
              </w:rPr>
            </w:pPr>
          </w:p>
        </w:tc>
        <w:tc>
          <w:tcPr>
            <w:tcW w:w="4140" w:type="dxa"/>
            <w:tcBorders>
              <w:top w:val="nil"/>
              <w:left w:val="nil"/>
              <w:bottom w:val="single" w:sz="4" w:space="0" w:color="auto"/>
              <w:right w:val="single" w:sz="4" w:space="0" w:color="auto"/>
            </w:tcBorders>
            <w:textDirection w:val="lrTb"/>
            <w:vAlign w:val="top"/>
            <w:hideMark/>
          </w:tcPr>
          <w:p w:rsidR="00674822" w:rsidRPr="00674822" w:rsidP="00674822">
            <w:pPr>
              <w:bidi w:val="0"/>
              <w:spacing w:line="240" w:lineRule="auto"/>
              <w:jc w:val="both"/>
              <w:rPr>
                <w:rFonts w:ascii="Times New Roman" w:hAnsi="Times New Roman" w:cs="Times New Roman"/>
                <w:lang w:val="sk-SK"/>
              </w:rPr>
            </w:pPr>
            <w:r w:rsidRPr="00674822">
              <w:rPr>
                <w:rFonts w:ascii="Times New Roman" w:hAnsi="Times New Roman" w:cs="Times New Roman"/>
                <w:lang w:val="sk-SK"/>
              </w:rPr>
              <w:t> Dohovor vo svojom čl. 12 písm. d) upravuje povinnosť Slovenskej republiky ako zmluvnej strany „</w:t>
            </w:r>
            <w:r w:rsidRPr="00674822">
              <w:rPr>
                <w:rFonts w:ascii="Times New Roman" w:hAnsi="Times New Roman" w:cs="Times New Roman"/>
              </w:rPr>
              <w:t xml:space="preserve"> </w:t>
            </w:r>
            <w:r w:rsidRPr="00674822">
              <w:rPr>
                <w:rFonts w:ascii="Times New Roman" w:hAnsi="Times New Roman" w:cs="Times New Roman"/>
                <w:i/>
              </w:rPr>
              <w:t>prijať opatrenia na zlepšenie prístupu ku kultúrnemu dedičstvu, hlavne pre mladých ľudí a znevýhodnených, s cieľom zvýšiť povedomie o hodnote kultúrneho dedičstva, potrebe udržiavať a zachovať ho a o možnostiach využitia, ktoré prináša</w:t>
            </w:r>
            <w:r w:rsidRPr="00674822">
              <w:rPr>
                <w:rFonts w:ascii="Times New Roman" w:hAnsi="Times New Roman" w:cs="Times New Roman"/>
              </w:rPr>
              <w:t>.” Konkrétna implementácia citovaného ustanovenia bude závisieť od Slovenskej republiky.</w:t>
            </w:r>
          </w:p>
        </w:tc>
      </w:tr>
      <w:tr>
        <w:tblPrEx>
          <w:tblW w:w="9015" w:type="dxa"/>
          <w:tblCellMar>
            <w:left w:w="70" w:type="dxa"/>
            <w:right w:w="70" w:type="dxa"/>
          </w:tblCellMar>
          <w:tblLook w:val="04A0"/>
        </w:tblPrEx>
        <w:trPr>
          <w:trHeight w:val="2252"/>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674822" w:rsidRPr="00674822" w:rsidP="00674822">
            <w:pPr>
              <w:bidi w:val="0"/>
              <w:spacing w:line="240" w:lineRule="auto"/>
              <w:jc w:val="both"/>
              <w:rPr>
                <w:rFonts w:ascii="Times New Roman" w:hAnsi="Times New Roman" w:cs="Times New Roman"/>
                <w:lang w:val="sk-SK"/>
              </w:rPr>
            </w:pPr>
            <w:r w:rsidRPr="00674822">
              <w:rPr>
                <w:rFonts w:ascii="Times New Roman" w:hAnsi="Times New Roman" w:cs="Times New Roman"/>
                <w:b/>
                <w:lang w:val="sk-SK"/>
              </w:rPr>
              <w:t xml:space="preserve">4.4. </w:t>
            </w:r>
            <w:r w:rsidRPr="00674822">
              <w:rPr>
                <w:rFonts w:ascii="Times New Roman" w:hAnsi="Times New Roman" w:cs="Times New Roman"/>
                <w:lang w:val="sk-SK"/>
              </w:rPr>
              <w:t>Zhodnoťte vplyvy na zamestnanosť.</w:t>
            </w:r>
          </w:p>
          <w:p w:rsidR="00674822" w:rsidRPr="00674822" w:rsidP="00674822">
            <w:pPr>
              <w:bidi w:val="0"/>
              <w:spacing w:line="240" w:lineRule="auto"/>
              <w:jc w:val="both"/>
              <w:rPr>
                <w:rFonts w:ascii="Times New Roman" w:hAnsi="Times New Roman" w:cs="Times New Roman"/>
                <w:bCs/>
                <w:lang w:val="sk-SK"/>
              </w:rPr>
            </w:pPr>
            <w:r w:rsidRPr="00674822">
              <w:rPr>
                <w:rFonts w:ascii="Times New Roman" w:hAnsi="Times New Roman" w:cs="Times New Roman"/>
                <w:bCs/>
                <w:lang w:val="sk-SK"/>
              </w:rPr>
              <w:t>Aké sú  vplyvy na zamestnanosť ?</w:t>
            </w:r>
          </w:p>
          <w:p w:rsidR="00674822" w:rsidRPr="00674822" w:rsidP="00674822">
            <w:pPr>
              <w:bidi w:val="0"/>
              <w:spacing w:line="240" w:lineRule="auto"/>
              <w:jc w:val="both"/>
              <w:rPr>
                <w:rFonts w:ascii="Times New Roman" w:hAnsi="Times New Roman" w:cs="Times New Roman"/>
                <w:lang w:val="sk-SK"/>
              </w:rPr>
            </w:pPr>
            <w:r w:rsidRPr="00674822">
              <w:rPr>
                <w:rFonts w:ascii="Times New Roman" w:hAnsi="Times New Roman" w:cs="Times New Roman"/>
                <w:bCs/>
                <w:lang w:val="sk-SK"/>
              </w:rPr>
              <w:t>Ktoré skupiny zamestnancov budú ohrozené schválením predkladaného materiálu ?</w:t>
            </w:r>
          </w:p>
          <w:p w:rsidR="00674822" w:rsidRPr="00674822" w:rsidP="00674822">
            <w:pPr>
              <w:bidi w:val="0"/>
              <w:spacing w:line="240" w:lineRule="auto"/>
              <w:jc w:val="both"/>
              <w:rPr>
                <w:rFonts w:ascii="Times New Roman" w:hAnsi="Times New Roman" w:cs="Times New Roman"/>
                <w:bCs/>
                <w:lang w:val="sk-SK"/>
              </w:rPr>
            </w:pPr>
            <w:r w:rsidRPr="00674822">
              <w:rPr>
                <w:rFonts w:ascii="Times New Roman" w:hAnsi="Times New Roman" w:cs="Times New Roman"/>
                <w:bCs/>
                <w:lang w:val="sk-SK"/>
              </w:rPr>
              <w:t>Hrozí v prípade schválenia predkladaného materiálu hromadné prepúšťanie ?</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674822" w:rsidRPr="00674822" w:rsidP="004A0465">
            <w:pPr>
              <w:bidi w:val="0"/>
              <w:spacing w:line="240" w:lineRule="auto"/>
              <w:jc w:val="both"/>
              <w:rPr>
                <w:rFonts w:ascii="Times New Roman" w:hAnsi="Times New Roman" w:cs="Times New Roman"/>
              </w:rPr>
            </w:pPr>
            <w:r w:rsidRPr="00674822">
              <w:rPr>
                <w:rFonts w:ascii="Times New Roman" w:hAnsi="Times New Roman" w:cs="Times New Roman"/>
              </w:rPr>
              <w:t xml:space="preserve">Dôsledná implementácia </w:t>
            </w:r>
            <w:r w:rsidR="004A0465">
              <w:rPr>
                <w:rFonts w:ascii="Times New Roman" w:hAnsi="Times New Roman" w:cs="Times New Roman"/>
              </w:rPr>
              <w:t>d</w:t>
            </w:r>
            <w:r w:rsidRPr="00674822">
              <w:rPr>
                <w:rFonts w:ascii="Times New Roman" w:hAnsi="Times New Roman" w:cs="Times New Roman"/>
              </w:rPr>
              <w:t xml:space="preserve">ohovoru Slovenskou republikou  predovšetkým v oblasti podpory kultúrneho dedičstva a pri vytváraní nových programov môže viesť aj k bližšie nešpecifikovanému zvyšovaniu zamestnanosti v regiónoch vďaka rozvoju cestovného ruchu a služieb. </w:t>
            </w:r>
          </w:p>
        </w:tc>
      </w:tr>
    </w:tbl>
    <w:tbl>
      <w:tblPr>
        <w:tblStyle w:val="TableNormal"/>
        <w:tblpPr w:leftFromText="141" w:rightFromText="141" w:vertAnchor="page" w:horzAnchor="margin" w:tblpY="1066"/>
        <w:tblW w:w="9015" w:type="dxa"/>
        <w:tblCellMar>
          <w:left w:w="70" w:type="dxa"/>
          <w:right w:w="70" w:type="dxa"/>
        </w:tblCellMar>
        <w:tblLook w:val="04A0"/>
      </w:tblPr>
      <w:tblGrid>
        <w:gridCol w:w="9015"/>
      </w:tblGrid>
      <w:tr>
        <w:tblPrEx>
          <w:tblW w:w="9015" w:type="dxa"/>
          <w:tblCellMar>
            <w:left w:w="70" w:type="dxa"/>
            <w:right w:w="70" w:type="dxa"/>
          </w:tblCellMar>
          <w:tblLook w:val="04A0"/>
        </w:tblPrEx>
        <w:trPr>
          <w:trHeight w:val="660"/>
        </w:trPr>
        <w:tc>
          <w:tcPr>
            <w:tcW w:w="9015" w:type="dxa"/>
            <w:tcBorders>
              <w:top w:val="single" w:sz="4" w:space="0" w:color="auto"/>
              <w:left w:val="single" w:sz="4" w:space="0" w:color="auto"/>
              <w:bottom w:val="single" w:sz="4" w:space="0" w:color="auto"/>
              <w:right w:val="single" w:sz="4" w:space="0" w:color="000000"/>
            </w:tcBorders>
            <w:shd w:val="clear" w:color="auto" w:fill="0C0C0C"/>
            <w:textDirection w:val="lrTb"/>
            <w:vAlign w:val="top"/>
            <w:hideMark/>
          </w:tcPr>
          <w:p w:rsidR="00674822" w:rsidRPr="00674822" w:rsidP="00674822">
            <w:pPr>
              <w:bidi w:val="0"/>
              <w:jc w:val="center"/>
              <w:rPr>
                <w:rFonts w:ascii="Times New Roman" w:hAnsi="Times New Roman" w:cs="Times New Roman"/>
                <w:b/>
                <w:bCs/>
                <w:color w:val="FFFFFF"/>
                <w:lang w:val="sk-SK"/>
              </w:rPr>
            </w:pPr>
            <w:r w:rsidRPr="00674822">
              <w:rPr>
                <w:rFonts w:ascii="Times New Roman" w:hAnsi="Times New Roman" w:cs="Times New Roman"/>
                <w:b/>
                <w:bCs/>
                <w:color w:val="FFFFFF"/>
                <w:lang w:val="sk-SK"/>
              </w:rPr>
              <w:t>Sociálne vplyvy predkladaného materiálu -  vplyvy na hospodárenie obyvateľstva, sociálnu exklúziu, rovnosť príležitostí a rodovú rovnosť a vplyvy na zamestnanosť</w:t>
            </w:r>
          </w:p>
        </w:tc>
      </w:tr>
    </w:tbl>
    <w:p w:rsidR="00674822">
      <w:pPr>
        <w:bidi w:val="0"/>
        <w:spacing w:after="0" w:line="240" w:lineRule="auto"/>
        <w:jc w:val="both"/>
        <w:rPr>
          <w:rFonts w:ascii="Times New Roman" w:hAnsi="Times New Roman" w:cs="Times New Roman"/>
          <w:b/>
          <w:bCs/>
          <w:sz w:val="24"/>
          <w:szCs w:val="24"/>
          <w:lang w:val="sk-SK"/>
        </w:rPr>
      </w:pPr>
    </w:p>
    <w:p w:rsidR="00674822" w:rsidRPr="00674822" w:rsidP="00BF6A6D">
      <w:pPr>
        <w:bidi w:val="0"/>
        <w:jc w:val="both"/>
        <w:rPr>
          <w:rFonts w:ascii="Times New Roman" w:hAnsi="Times New Roman" w:cs="Times New Roman"/>
          <w:b/>
          <w:lang w:val="sk-SK"/>
        </w:rPr>
      </w:pPr>
    </w:p>
    <w:tbl>
      <w:tblPr>
        <w:tblStyle w:val="TableNormal"/>
        <w:tblW w:w="8835" w:type="dxa"/>
        <w:tblInd w:w="55" w:type="dxa"/>
        <w:tblCellMar>
          <w:top w:w="28" w:type="dxa"/>
          <w:left w:w="70" w:type="dxa"/>
          <w:bottom w:w="28" w:type="dxa"/>
          <w:right w:w="70" w:type="dxa"/>
        </w:tblCellMar>
        <w:tblLook w:val="04A0"/>
      </w:tblPr>
      <w:tblGrid>
        <w:gridCol w:w="4335"/>
        <w:gridCol w:w="4500"/>
      </w:tblGrid>
      <w:tr>
        <w:tblPrEx>
          <w:tblW w:w="8835" w:type="dxa"/>
          <w:tblInd w:w="55" w:type="dxa"/>
          <w:tblCellMar>
            <w:top w:w="28" w:type="dxa"/>
            <w:left w:w="70" w:type="dxa"/>
            <w:bottom w:w="28" w:type="dxa"/>
            <w:right w:w="70" w:type="dxa"/>
          </w:tblCellMar>
          <w:tblLook w:val="04A0"/>
        </w:tblPrEx>
        <w:trPr>
          <w:trHeight w:val="600"/>
        </w:trPr>
        <w:tc>
          <w:tcPr>
            <w:tcW w:w="883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hideMark/>
          </w:tcPr>
          <w:p w:rsidR="00BF6A6D" w:rsidRPr="00674822" w:rsidP="00DA7FF0">
            <w:pPr>
              <w:bidi w:val="0"/>
              <w:jc w:val="center"/>
              <w:rPr>
                <w:rFonts w:ascii="Times New Roman" w:hAnsi="Times New Roman" w:cs="Times New Roman"/>
                <w:b/>
                <w:bCs/>
                <w:color w:val="FFFFFF"/>
                <w:lang w:val="sk-SK"/>
              </w:rPr>
            </w:pPr>
            <w:r w:rsidRPr="00674822">
              <w:rPr>
                <w:rFonts w:ascii="Times New Roman" w:hAnsi="Times New Roman" w:cs="Times New Roman"/>
                <w:b/>
                <w:bCs/>
                <w:color w:val="FFFFFF"/>
                <w:lang w:val="sk-SK"/>
              </w:rPr>
              <w:t>Životné prostredie</w:t>
            </w:r>
          </w:p>
        </w:tc>
      </w:tr>
      <w:tr>
        <w:tblPrEx>
          <w:tblW w:w="8835" w:type="dxa"/>
          <w:tblInd w:w="55" w:type="dxa"/>
          <w:tblCellMar>
            <w:top w:w="28" w:type="dxa"/>
            <w:left w:w="70" w:type="dxa"/>
            <w:bottom w:w="28" w:type="dxa"/>
            <w:right w:w="70" w:type="dxa"/>
          </w:tblCellMar>
          <w:tblLook w:val="04A0"/>
        </w:tblPrEx>
        <w:trPr>
          <w:trHeight w:val="600"/>
        </w:trPr>
        <w:tc>
          <w:tcPr>
            <w:tcW w:w="4335" w:type="dxa"/>
            <w:tcBorders>
              <w:top w:val="nil"/>
              <w:left w:val="single" w:sz="8" w:space="0" w:color="auto"/>
              <w:bottom w:val="single" w:sz="4" w:space="0" w:color="auto"/>
              <w:right w:val="single" w:sz="4" w:space="0" w:color="auto"/>
            </w:tcBorders>
            <w:textDirection w:val="lrTb"/>
            <w:vAlign w:val="top"/>
          </w:tcPr>
          <w:p w:rsidR="00BF6A6D" w:rsidRPr="00674822" w:rsidP="00DA7FF0">
            <w:pPr>
              <w:bidi w:val="0"/>
              <w:rPr>
                <w:rFonts w:ascii="Times New Roman" w:hAnsi="Times New Roman" w:cs="Times New Roman"/>
                <w:b/>
                <w:lang w:val="sk-SK"/>
              </w:rPr>
            </w:pPr>
          </w:p>
          <w:p w:rsidR="00BF6A6D" w:rsidRPr="00674822" w:rsidP="00DA7FF0">
            <w:pPr>
              <w:bidi w:val="0"/>
              <w:rPr>
                <w:rFonts w:ascii="Times New Roman" w:hAnsi="Times New Roman" w:cs="Times New Roman"/>
                <w:lang w:val="sk-SK"/>
              </w:rPr>
            </w:pPr>
            <w:r w:rsidRPr="00674822">
              <w:rPr>
                <w:rFonts w:ascii="Times New Roman" w:hAnsi="Times New Roman" w:cs="Times New Roman"/>
                <w:b/>
                <w:lang w:val="sk-SK"/>
              </w:rPr>
              <w:t>5.1.</w:t>
            </w:r>
            <w:r w:rsidRPr="00674822">
              <w:rPr>
                <w:rFonts w:ascii="Times New Roman" w:hAnsi="Times New Roman" w:cs="Times New Roman"/>
                <w:lang w:val="sk-SK"/>
              </w:rPr>
              <w:t xml:space="preserve">  Ktoré zložky životného prostredia (najmä ovzdušie, voda, horniny, pôda, organizmy) budú návrhom ovplyvnené a aký bude ich vplyv (pozitívny alebo negatívny)?</w:t>
            </w:r>
          </w:p>
          <w:p w:rsidR="00BF6A6D" w:rsidRPr="00674822" w:rsidP="00DA7FF0">
            <w:pPr>
              <w:bidi w:val="0"/>
              <w:rPr>
                <w:rFonts w:ascii="Times New Roman" w:hAnsi="Times New Roman" w:cs="Times New Roman"/>
                <w:lang w:val="sk-SK"/>
              </w:rPr>
            </w:pPr>
          </w:p>
        </w:tc>
        <w:tc>
          <w:tcPr>
            <w:tcW w:w="4500" w:type="dxa"/>
            <w:tcBorders>
              <w:top w:val="nil"/>
              <w:left w:val="nil"/>
              <w:bottom w:val="single" w:sz="4" w:space="0" w:color="auto"/>
              <w:right w:val="single" w:sz="8" w:space="0" w:color="auto"/>
            </w:tcBorders>
            <w:textDirection w:val="lrTb"/>
            <w:vAlign w:val="top"/>
            <w:hideMark/>
          </w:tcPr>
          <w:p w:rsidR="00BF6A6D" w:rsidRPr="00674822" w:rsidP="00DA7FF0">
            <w:pPr>
              <w:bidi w:val="0"/>
              <w:rPr>
                <w:rFonts w:ascii="Times New Roman" w:hAnsi="Times New Roman" w:cs="Times New Roman"/>
                <w:lang w:val="sk-SK"/>
              </w:rPr>
            </w:pPr>
            <w:r w:rsidRPr="00674822">
              <w:rPr>
                <w:rFonts w:ascii="Times New Roman" w:hAnsi="Times New Roman" w:cs="Times New Roman"/>
                <w:lang w:val="sk-SK"/>
              </w:rPr>
              <w:t> </w:t>
            </w:r>
          </w:p>
          <w:p w:rsidR="00BF6A6D" w:rsidRPr="00674822" w:rsidP="00DA7FF0">
            <w:pPr>
              <w:bidi w:val="0"/>
              <w:rPr>
                <w:rFonts w:ascii="Times New Roman" w:hAnsi="Times New Roman" w:cs="Times New Roman"/>
                <w:lang w:val="sk-SK"/>
              </w:rPr>
            </w:pPr>
            <w:r w:rsidRPr="00674822">
              <w:rPr>
                <w:rFonts w:ascii="Times New Roman" w:hAnsi="Times New Roman" w:cs="Times New Roman"/>
                <w:lang w:val="sk-SK"/>
              </w:rPr>
              <w:t>Žiadne.</w:t>
            </w:r>
          </w:p>
        </w:tc>
      </w:tr>
      <w:tr>
        <w:tblPrEx>
          <w:tblW w:w="8835" w:type="dxa"/>
          <w:tblInd w:w="55" w:type="dxa"/>
          <w:tblCellMar>
            <w:top w:w="28" w:type="dxa"/>
            <w:left w:w="70" w:type="dxa"/>
            <w:bottom w:w="28" w:type="dxa"/>
            <w:right w:w="70" w:type="dxa"/>
          </w:tblCellMar>
          <w:tblLook w:val="04A0"/>
        </w:tblPrEx>
        <w:trPr>
          <w:trHeight w:val="1020"/>
        </w:trPr>
        <w:tc>
          <w:tcPr>
            <w:tcW w:w="4335" w:type="dxa"/>
            <w:tcBorders>
              <w:top w:val="nil"/>
              <w:left w:val="single" w:sz="8" w:space="0" w:color="auto"/>
              <w:bottom w:val="single" w:sz="4" w:space="0" w:color="auto"/>
              <w:right w:val="single" w:sz="4" w:space="0" w:color="auto"/>
            </w:tcBorders>
            <w:textDirection w:val="lrTb"/>
            <w:vAlign w:val="top"/>
          </w:tcPr>
          <w:p w:rsidR="00BF6A6D" w:rsidRPr="00674822" w:rsidP="00DA7FF0">
            <w:pPr>
              <w:bidi w:val="0"/>
              <w:rPr>
                <w:rFonts w:ascii="Times New Roman" w:hAnsi="Times New Roman" w:cs="Times New Roman"/>
                <w:b/>
                <w:lang w:val="sk-SK"/>
              </w:rPr>
            </w:pPr>
          </w:p>
          <w:p w:rsidR="00BF6A6D" w:rsidRPr="00674822" w:rsidP="00DA7FF0">
            <w:pPr>
              <w:bidi w:val="0"/>
              <w:rPr>
                <w:rFonts w:ascii="Times New Roman" w:hAnsi="Times New Roman" w:cs="Times New Roman"/>
                <w:lang w:val="sk-SK"/>
              </w:rPr>
            </w:pPr>
            <w:r w:rsidRPr="00674822">
              <w:rPr>
                <w:rFonts w:ascii="Times New Roman" w:hAnsi="Times New Roman" w:cs="Times New Roman"/>
                <w:b/>
                <w:lang w:val="sk-SK"/>
              </w:rPr>
              <w:t xml:space="preserve">5.2. </w:t>
            </w:r>
            <w:r w:rsidRPr="00674822">
              <w:rPr>
                <w:rFonts w:ascii="Times New Roman" w:hAnsi="Times New Roman" w:cs="Times New Roman"/>
                <w:lang w:val="sk-SK"/>
              </w:rPr>
              <w:t>Bude mať navrhovaný materiál vplyv na chránené územia a ak áno aký?</w:t>
            </w:r>
          </w:p>
        </w:tc>
        <w:tc>
          <w:tcPr>
            <w:tcW w:w="4500" w:type="dxa"/>
            <w:tcBorders>
              <w:top w:val="nil"/>
              <w:left w:val="nil"/>
              <w:bottom w:val="single" w:sz="4" w:space="0" w:color="auto"/>
              <w:right w:val="single" w:sz="8" w:space="0" w:color="auto"/>
            </w:tcBorders>
            <w:textDirection w:val="lrTb"/>
            <w:vAlign w:val="top"/>
          </w:tcPr>
          <w:p w:rsidR="00BF6A6D" w:rsidRPr="00674822" w:rsidP="004A4345">
            <w:pPr>
              <w:bidi w:val="0"/>
              <w:rPr>
                <w:rFonts w:ascii="Times New Roman" w:hAnsi="Times New Roman" w:cs="Times New Roman"/>
                <w:i/>
                <w:lang w:val="sk-SK"/>
              </w:rPr>
            </w:pPr>
            <w:r w:rsidRPr="00674822">
              <w:rPr>
                <w:rFonts w:ascii="Times New Roman" w:hAnsi="Times New Roman" w:cs="Times New Roman"/>
                <w:i/>
                <w:lang w:val="sk-SK"/>
              </w:rPr>
              <w:t xml:space="preserve">Áno, </w:t>
            </w:r>
            <w:r w:rsidR="00B82540">
              <w:rPr>
                <w:rFonts w:ascii="Times New Roman" w:hAnsi="Times New Roman" w:cs="Times New Roman"/>
                <w:i/>
                <w:lang w:val="sk-SK"/>
              </w:rPr>
              <w:t>d</w:t>
            </w:r>
            <w:r w:rsidRPr="00674822">
              <w:rPr>
                <w:rFonts w:ascii="Times New Roman" w:hAnsi="Times New Roman" w:cs="Times New Roman"/>
                <w:i/>
                <w:lang w:val="sk-SK"/>
              </w:rPr>
              <w:t>ohovor má pozitívny vplyv na chránené územia a na krajinu. Dohovor výslovne uvádza záväzok zmluvných strán „</w:t>
            </w:r>
            <w:r w:rsidRPr="00674822">
              <w:rPr>
                <w:rFonts w:ascii="Times New Roman" w:hAnsi="Times New Roman" w:cs="Times New Roman"/>
                <w:i/>
              </w:rPr>
              <w:t>podporovať integrovaný prístup k politikám týkajúcim sa kultúrnej, biologickej, geologickej a krajinnej rozmanitosti na dosiahnutie rovnováhy medzi týmito zložkami”, ako aj “presadzovať cieľ kvality v súčasných zásahoch do životného prostredia bez ohrozenia jeho kultúrnych hodnôt”.</w:t>
            </w:r>
            <w:r w:rsidRPr="00674822">
              <w:rPr>
                <w:rFonts w:ascii="Times New Roman" w:hAnsi="Times New Roman" w:cs="Times New Roman"/>
                <w:i/>
                <w:lang w:val="sk-SK"/>
              </w:rPr>
              <w:t xml:space="preserve"> Dohovor tento vplyv nekonkretizuje; implementácia bude závisieť od Slovenskej republiky ako zmluvnej strany </w:t>
            </w:r>
            <w:r w:rsidR="004A4345">
              <w:rPr>
                <w:rFonts w:ascii="Times New Roman" w:hAnsi="Times New Roman" w:cs="Times New Roman"/>
                <w:i/>
                <w:lang w:val="sk-SK"/>
              </w:rPr>
              <w:t>d</w:t>
            </w:r>
            <w:r w:rsidRPr="00674822">
              <w:rPr>
                <w:rFonts w:ascii="Times New Roman" w:hAnsi="Times New Roman" w:cs="Times New Roman"/>
                <w:i/>
                <w:lang w:val="sk-SK"/>
              </w:rPr>
              <w:t>ohovoru.</w:t>
            </w:r>
          </w:p>
        </w:tc>
      </w:tr>
      <w:tr>
        <w:tblPrEx>
          <w:tblW w:w="8835" w:type="dxa"/>
          <w:tblInd w:w="55" w:type="dxa"/>
          <w:tblCellMar>
            <w:top w:w="28" w:type="dxa"/>
            <w:left w:w="70" w:type="dxa"/>
            <w:bottom w:w="28" w:type="dxa"/>
            <w:right w:w="70" w:type="dxa"/>
          </w:tblCellMar>
          <w:tblLook w:val="04A0"/>
        </w:tblPrEx>
        <w:trPr>
          <w:trHeight w:val="600"/>
        </w:trPr>
        <w:tc>
          <w:tcPr>
            <w:tcW w:w="4335" w:type="dxa"/>
            <w:tcBorders>
              <w:top w:val="nil"/>
              <w:left w:val="single" w:sz="8" w:space="0" w:color="auto"/>
              <w:bottom w:val="nil"/>
              <w:right w:val="single" w:sz="4" w:space="0" w:color="auto"/>
            </w:tcBorders>
            <w:textDirection w:val="lrTb"/>
            <w:vAlign w:val="top"/>
          </w:tcPr>
          <w:p w:rsidR="00BF6A6D" w:rsidRPr="00674822" w:rsidP="00DA7FF0">
            <w:pPr>
              <w:bidi w:val="0"/>
              <w:rPr>
                <w:rFonts w:ascii="Times New Roman" w:hAnsi="Times New Roman" w:cs="Times New Roman"/>
                <w:b/>
                <w:lang w:val="sk-SK"/>
              </w:rPr>
            </w:pPr>
          </w:p>
          <w:p w:rsidR="00BF6A6D" w:rsidRPr="00674822" w:rsidP="00DA7FF0">
            <w:pPr>
              <w:bidi w:val="0"/>
              <w:rPr>
                <w:rFonts w:ascii="Times New Roman" w:hAnsi="Times New Roman" w:cs="Times New Roman"/>
                <w:lang w:val="sk-SK"/>
              </w:rPr>
            </w:pPr>
            <w:r w:rsidRPr="00674822">
              <w:rPr>
                <w:rFonts w:ascii="Times New Roman" w:hAnsi="Times New Roman" w:cs="Times New Roman"/>
                <w:b/>
                <w:lang w:val="sk-SK"/>
              </w:rPr>
              <w:t>5.3.</w:t>
            </w:r>
            <w:r w:rsidRPr="00674822">
              <w:rPr>
                <w:rFonts w:ascii="Times New Roman" w:hAnsi="Times New Roman" w:cs="Times New Roman"/>
                <w:lang w:val="sk-SK"/>
              </w:rPr>
              <w:t xml:space="preserve"> Bude mať návrh vplyv na životné prostredie presahujúce štátne hranice?</w:t>
            </w:r>
          </w:p>
          <w:p w:rsidR="00BF6A6D" w:rsidRPr="00674822" w:rsidP="00DA7FF0">
            <w:pPr>
              <w:bidi w:val="0"/>
              <w:rPr>
                <w:rFonts w:ascii="Times New Roman" w:hAnsi="Times New Roman" w:cs="Times New Roman"/>
                <w:lang w:val="sk-SK"/>
              </w:rPr>
            </w:pPr>
          </w:p>
        </w:tc>
        <w:tc>
          <w:tcPr>
            <w:tcW w:w="4500" w:type="dxa"/>
            <w:tcBorders>
              <w:top w:val="nil"/>
              <w:left w:val="nil"/>
              <w:bottom w:val="nil"/>
              <w:right w:val="single" w:sz="8" w:space="0" w:color="auto"/>
            </w:tcBorders>
            <w:noWrap/>
            <w:textDirection w:val="lrTb"/>
            <w:vAlign w:val="top"/>
            <w:hideMark/>
          </w:tcPr>
          <w:p w:rsidR="00B97075" w:rsidP="00DA7FF0">
            <w:pPr>
              <w:bidi w:val="0"/>
              <w:rPr>
                <w:rFonts w:ascii="Times New Roman" w:hAnsi="Times New Roman" w:cs="Times New Roman"/>
                <w:lang w:val="sk-SK"/>
              </w:rPr>
            </w:pPr>
          </w:p>
          <w:p w:rsidR="00BF6A6D" w:rsidRPr="00674822" w:rsidP="00DA7FF0">
            <w:pPr>
              <w:bidi w:val="0"/>
              <w:rPr>
                <w:rFonts w:ascii="Times New Roman" w:hAnsi="Times New Roman" w:cs="Times New Roman"/>
                <w:lang w:val="sk-SK"/>
              </w:rPr>
            </w:pPr>
            <w:r w:rsidRPr="00674822">
              <w:rPr>
                <w:rFonts w:ascii="Times New Roman" w:hAnsi="Times New Roman" w:cs="Times New Roman"/>
                <w:lang w:val="sk-SK"/>
              </w:rPr>
              <w:t> Nie.</w:t>
            </w:r>
          </w:p>
        </w:tc>
      </w:tr>
      <w:tr>
        <w:tblPrEx>
          <w:tblW w:w="8835" w:type="dxa"/>
          <w:tblInd w:w="55" w:type="dxa"/>
          <w:tblCellMar>
            <w:top w:w="28" w:type="dxa"/>
            <w:left w:w="70" w:type="dxa"/>
            <w:bottom w:w="28" w:type="dxa"/>
            <w:right w:w="70" w:type="dxa"/>
          </w:tblCellMar>
          <w:tblLook w:val="04A0"/>
        </w:tblPrEx>
        <w:trPr>
          <w:trHeight w:val="52"/>
        </w:trPr>
        <w:tc>
          <w:tcPr>
            <w:tcW w:w="4335" w:type="dxa"/>
            <w:tcBorders>
              <w:top w:val="nil"/>
              <w:left w:val="single" w:sz="8" w:space="0" w:color="auto"/>
              <w:bottom w:val="single" w:sz="4" w:space="0" w:color="auto"/>
              <w:right w:val="single" w:sz="4" w:space="0" w:color="auto"/>
            </w:tcBorders>
            <w:textDirection w:val="lrTb"/>
            <w:vAlign w:val="top"/>
          </w:tcPr>
          <w:p w:rsidR="00BF6A6D" w:rsidRPr="00674822" w:rsidP="00DA7FF0">
            <w:pPr>
              <w:bidi w:val="0"/>
              <w:rPr>
                <w:rFonts w:ascii="Times New Roman" w:hAnsi="Times New Roman" w:cs="Times New Roman"/>
                <w:lang w:val="sk-SK"/>
              </w:rPr>
            </w:pPr>
          </w:p>
        </w:tc>
        <w:tc>
          <w:tcPr>
            <w:tcW w:w="4500" w:type="dxa"/>
            <w:tcBorders>
              <w:top w:val="nil"/>
              <w:left w:val="nil"/>
              <w:bottom w:val="single" w:sz="4" w:space="0" w:color="auto"/>
              <w:right w:val="single" w:sz="8" w:space="0" w:color="auto"/>
            </w:tcBorders>
            <w:noWrap/>
            <w:textDirection w:val="lrTb"/>
            <w:vAlign w:val="top"/>
          </w:tcPr>
          <w:p w:rsidR="00BF6A6D" w:rsidRPr="00674822" w:rsidP="00DA7FF0">
            <w:pPr>
              <w:bidi w:val="0"/>
              <w:rPr>
                <w:rFonts w:ascii="Times New Roman" w:hAnsi="Times New Roman" w:cs="Times New Roman"/>
                <w:lang w:val="sk-SK"/>
              </w:rPr>
            </w:pPr>
          </w:p>
        </w:tc>
      </w:tr>
    </w:tbl>
    <w:p w:rsidR="00BF6A6D" w:rsidRPr="00674822">
      <w:pPr>
        <w:bidi w:val="0"/>
        <w:spacing w:after="0" w:line="240" w:lineRule="auto"/>
        <w:jc w:val="both"/>
        <w:rPr>
          <w:rFonts w:ascii="Times New Roman" w:hAnsi="Times New Roman" w:cs="Times New Roman"/>
          <w:b/>
          <w:bCs/>
          <w:sz w:val="24"/>
          <w:szCs w:val="24"/>
          <w:lang w:val="de-DE"/>
        </w:rPr>
      </w:pPr>
    </w:p>
    <w:p w:rsidR="00BF6A6D" w:rsidRPr="00674822">
      <w:pPr>
        <w:bidi w:val="0"/>
        <w:spacing w:after="0" w:line="240" w:lineRule="auto"/>
        <w:jc w:val="both"/>
        <w:rPr>
          <w:rFonts w:ascii="Times New Roman" w:hAnsi="Times New Roman" w:cs="Times New Roman"/>
          <w:b/>
          <w:bCs/>
          <w:sz w:val="24"/>
          <w:szCs w:val="24"/>
          <w:lang w:val="de-DE"/>
        </w:rPr>
      </w:pPr>
    </w:p>
    <w:p w:rsidR="00BF6A6D" w:rsidRPr="00674822">
      <w:pPr>
        <w:bidi w:val="0"/>
        <w:spacing w:after="0" w:line="240" w:lineRule="auto"/>
        <w:jc w:val="both"/>
        <w:rPr>
          <w:rFonts w:ascii="Times New Roman" w:hAnsi="Times New Roman" w:cs="Times New Roman"/>
          <w:b/>
          <w:bCs/>
          <w:sz w:val="24"/>
          <w:szCs w:val="24"/>
          <w:lang w:val="de-DE"/>
        </w:rPr>
      </w:pPr>
    </w:p>
    <w:p w:rsidR="00BF6A6D" w:rsidRPr="00674822">
      <w:pPr>
        <w:bidi w:val="0"/>
        <w:spacing w:after="0" w:line="240" w:lineRule="auto"/>
        <w:jc w:val="both"/>
        <w:rPr>
          <w:rFonts w:ascii="Times New Roman" w:hAnsi="Times New Roman" w:cs="Times New Roman"/>
          <w:b/>
          <w:bCs/>
          <w:sz w:val="24"/>
          <w:szCs w:val="24"/>
          <w:lang w:val="de-DE"/>
        </w:rPr>
      </w:pPr>
    </w:p>
    <w:p w:rsidR="00BF6A6D" w:rsidRPr="00674822">
      <w:pPr>
        <w:bidi w:val="0"/>
        <w:spacing w:after="0" w:line="240" w:lineRule="auto"/>
        <w:jc w:val="both"/>
        <w:rPr>
          <w:rFonts w:ascii="Times New Roman" w:hAnsi="Times New Roman" w:cs="Times New Roman"/>
          <w:b/>
          <w:bCs/>
          <w:sz w:val="24"/>
          <w:szCs w:val="24"/>
          <w:lang w:val="de-DE"/>
        </w:rPr>
      </w:pPr>
    </w:p>
    <w:p w:rsidR="00BF6A6D" w:rsidRPr="00674822">
      <w:pPr>
        <w:bidi w:val="0"/>
        <w:spacing w:after="0" w:line="240" w:lineRule="auto"/>
        <w:jc w:val="both"/>
        <w:rPr>
          <w:rFonts w:ascii="Times New Roman" w:hAnsi="Times New Roman" w:cs="Times New Roman"/>
          <w:b/>
          <w:bCs/>
          <w:sz w:val="24"/>
          <w:szCs w:val="24"/>
          <w:lang w:val="de-DE"/>
        </w:rPr>
      </w:pPr>
    </w:p>
    <w:p w:rsidR="00BF6A6D">
      <w:pPr>
        <w:bidi w:val="0"/>
        <w:spacing w:after="0" w:line="240" w:lineRule="auto"/>
        <w:jc w:val="both"/>
        <w:rPr>
          <w:rFonts w:ascii="Times New Roman" w:hAnsi="Times New Roman" w:cs="Times New Roman"/>
          <w:b/>
          <w:bCs/>
          <w:sz w:val="24"/>
          <w:szCs w:val="24"/>
          <w:lang w:val="de-DE"/>
        </w:rPr>
      </w:pPr>
    </w:p>
    <w:p w:rsidR="00674822">
      <w:pPr>
        <w:bidi w:val="0"/>
        <w:spacing w:after="0" w:line="240" w:lineRule="auto"/>
        <w:jc w:val="both"/>
        <w:rPr>
          <w:rFonts w:ascii="Times New Roman" w:hAnsi="Times New Roman" w:cs="Times New Roman"/>
          <w:b/>
          <w:bCs/>
          <w:sz w:val="24"/>
          <w:szCs w:val="24"/>
          <w:lang w:val="de-DE"/>
        </w:rPr>
      </w:pPr>
    </w:p>
    <w:p w:rsidR="00674822">
      <w:pPr>
        <w:bidi w:val="0"/>
        <w:spacing w:after="0" w:line="240" w:lineRule="auto"/>
        <w:jc w:val="both"/>
        <w:rPr>
          <w:rFonts w:ascii="Times New Roman" w:hAnsi="Times New Roman" w:cs="Times New Roman"/>
          <w:b/>
          <w:bCs/>
          <w:sz w:val="24"/>
          <w:szCs w:val="24"/>
          <w:lang w:val="de-DE"/>
        </w:rPr>
      </w:pPr>
    </w:p>
    <w:p w:rsidR="00674822">
      <w:pPr>
        <w:bidi w:val="0"/>
        <w:spacing w:after="0" w:line="240" w:lineRule="auto"/>
        <w:jc w:val="both"/>
        <w:rPr>
          <w:rFonts w:ascii="Times New Roman" w:hAnsi="Times New Roman" w:cs="Times New Roman"/>
          <w:b/>
          <w:bCs/>
          <w:sz w:val="24"/>
          <w:szCs w:val="24"/>
          <w:lang w:val="de-DE"/>
        </w:rPr>
      </w:pPr>
    </w:p>
    <w:p w:rsidR="00BF6A6D">
      <w:pPr>
        <w:bidi w:val="0"/>
        <w:spacing w:after="0" w:line="240" w:lineRule="auto"/>
        <w:jc w:val="both"/>
        <w:rPr>
          <w:rFonts w:ascii="Times New Roman" w:hAnsi="Times New Roman" w:cs="Times New Roman"/>
          <w:b/>
          <w:bCs/>
          <w:sz w:val="24"/>
          <w:szCs w:val="24"/>
          <w:lang w:val="de-DE"/>
        </w:rPr>
      </w:pPr>
    </w:p>
    <w:p w:rsidR="00674822" w:rsidRPr="00674822">
      <w:pPr>
        <w:bidi w:val="0"/>
        <w:spacing w:after="0" w:line="240" w:lineRule="auto"/>
        <w:jc w:val="both"/>
        <w:rPr>
          <w:rFonts w:ascii="Times New Roman" w:hAnsi="Times New Roman" w:cs="Times New Roman"/>
          <w:b/>
          <w:bCs/>
          <w:sz w:val="24"/>
          <w:szCs w:val="24"/>
          <w:lang w:val="de-DE"/>
        </w:rPr>
      </w:pPr>
    </w:p>
    <w:tbl>
      <w:tblPr>
        <w:tblStyle w:val="TableNormal"/>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tblPr>
      <w:tblGrid>
        <w:gridCol w:w="5235"/>
        <w:gridCol w:w="3780"/>
      </w:tblGrid>
      <w:tr>
        <w:tblPrEx>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hideMark/>
          </w:tcPr>
          <w:p w:rsidR="00BF6A6D" w:rsidRPr="00674822" w:rsidP="00DA7FF0">
            <w:pPr>
              <w:bidi w:val="0"/>
              <w:jc w:val="both"/>
              <w:rPr>
                <w:rFonts w:ascii="Times New Roman" w:hAnsi="Times New Roman" w:cs="Times New Roman"/>
                <w:b/>
                <w:lang w:val="sk-SK"/>
              </w:rPr>
            </w:pPr>
            <w:r w:rsidRPr="00674822">
              <w:rPr>
                <w:rFonts w:ascii="Times New Roman" w:hAnsi="Times New Roman" w:cs="Times New Roman"/>
                <w:b/>
                <w:lang w:val="sk-SK"/>
              </w:rPr>
              <w:t>Budovanie základných pilierov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F6A6D" w:rsidRPr="00674822" w:rsidP="00DA7FF0">
            <w:pPr>
              <w:bidi w:val="0"/>
              <w:rPr>
                <w:rFonts w:ascii="Times New Roman" w:hAnsi="Times New Roman" w:cs="Times New Roman"/>
                <w:b/>
                <w:i/>
                <w:iCs/>
                <w:lang w:val="sk-SK"/>
              </w:rPr>
            </w:pP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hideMark/>
          </w:tcPr>
          <w:p w:rsidR="00BF6A6D" w:rsidRPr="00674822" w:rsidP="00DA7FF0">
            <w:pPr>
              <w:bidi w:val="0"/>
              <w:jc w:val="both"/>
              <w:rPr>
                <w:rFonts w:ascii="Times New Roman" w:hAnsi="Times New Roman" w:cs="Times New Roman"/>
                <w:b/>
                <w:lang w:val="sk-SK"/>
              </w:rPr>
            </w:pPr>
            <w:r w:rsidRPr="00674822">
              <w:rPr>
                <w:rFonts w:ascii="Times New Roman" w:hAnsi="Times New Roman" w:cs="Times New Roman"/>
                <w:b/>
                <w:lang w:val="sk-SK"/>
              </w:rPr>
              <w:t>Obsah</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F6A6D" w:rsidRPr="00674822" w:rsidP="00DA7FF0">
            <w:pPr>
              <w:bidi w:val="0"/>
              <w:rPr>
                <w:rFonts w:ascii="Times New Roman" w:hAnsi="Times New Roman" w:cs="Times New Roman"/>
                <w:i/>
                <w:iCs/>
                <w:lang w:val="sk-SK"/>
              </w:rPr>
            </w:pP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BF6A6D" w:rsidRPr="00674822" w:rsidP="00DA7FF0">
            <w:pPr>
              <w:bidi w:val="0"/>
              <w:jc w:val="both"/>
              <w:rPr>
                <w:rFonts w:ascii="Times New Roman" w:hAnsi="Times New Roman" w:cs="Times New Roman"/>
                <w:lang w:val="sk-SK"/>
              </w:rPr>
            </w:pPr>
            <w:r w:rsidRPr="00674822">
              <w:rPr>
                <w:rFonts w:ascii="Times New Roman" w:hAnsi="Times New Roman" w:cs="Times New Roman"/>
                <w:b/>
                <w:lang w:val="sk-SK"/>
              </w:rPr>
              <w:t>6.1.</w:t>
            </w:r>
            <w:r w:rsidRPr="00674822">
              <w:rPr>
                <w:rFonts w:ascii="Times New Roman" w:hAnsi="Times New Roman" w:cs="Times New Roman"/>
                <w:lang w:val="sk-SK"/>
              </w:rPr>
              <w:t xml:space="preserve"> Rozširujú alebo inovujú  sa existujúce alebo vytvárajú sa či zavádzajú  sa nové elektronické služby?</w:t>
            </w:r>
          </w:p>
          <w:p w:rsidR="00BF6A6D" w:rsidRPr="00674822" w:rsidP="00DA7FF0">
            <w:pPr>
              <w:bidi w:val="0"/>
              <w:jc w:val="both"/>
              <w:rPr>
                <w:rFonts w:ascii="Times New Roman" w:hAnsi="Times New Roman" w:cs="Times New Roman"/>
                <w:sz w:val="20"/>
                <w:szCs w:val="20"/>
                <w:lang w:val="sk-SK"/>
              </w:rPr>
            </w:pPr>
            <w:r w:rsidRPr="00674822">
              <w:rPr>
                <w:rFonts w:ascii="Times New Roman" w:hAnsi="Times New Roman" w:cs="Times New Roman"/>
                <w:i/>
                <w:iCs/>
                <w:sz w:val="20"/>
                <w:szCs w:val="20"/>
                <w:lang w:val="sk-SK"/>
              </w:rPr>
              <w:t>(Popíšte ich funkciu a úroveň poskytovania.)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F6A6D" w:rsidRPr="00674822" w:rsidP="0086149A">
            <w:pPr>
              <w:bidi w:val="0"/>
              <w:rPr>
                <w:rFonts w:ascii="Times New Roman" w:hAnsi="Times New Roman" w:cs="Times New Roman"/>
                <w:i/>
                <w:iCs/>
                <w:lang w:val="sk-SK"/>
              </w:rPr>
            </w:pPr>
            <w:r w:rsidRPr="00674822">
              <w:rPr>
                <w:rFonts w:ascii="Times New Roman" w:hAnsi="Times New Roman" w:cs="Times New Roman"/>
                <w:i/>
                <w:iCs/>
                <w:lang w:val="sk-SK"/>
              </w:rPr>
              <w:t xml:space="preserve">Áno, na nadnárodnej úrovni Rady Európy sa Slovenská republika ako zmluvná strana </w:t>
            </w:r>
            <w:r w:rsidR="0086149A">
              <w:rPr>
                <w:rFonts w:ascii="Times New Roman" w:hAnsi="Times New Roman" w:cs="Times New Roman"/>
                <w:i/>
                <w:iCs/>
                <w:lang w:val="sk-SK"/>
              </w:rPr>
              <w:t>d</w:t>
            </w:r>
            <w:r w:rsidRPr="00674822">
              <w:rPr>
                <w:rFonts w:ascii="Times New Roman" w:hAnsi="Times New Roman" w:cs="Times New Roman"/>
                <w:i/>
                <w:iCs/>
                <w:lang w:val="sk-SK"/>
              </w:rPr>
              <w:t>ohovoru zaväzuje „</w:t>
            </w:r>
            <w:r w:rsidRPr="00674822">
              <w:rPr>
                <w:rFonts w:ascii="Times New Roman" w:hAnsi="Times New Roman" w:cs="Times New Roman"/>
                <w:i/>
              </w:rPr>
              <w:t>uchovávať, rozvíjať a dodávať údaje do spoločného informačného systému prístupného verejnosti.”, v rozsahu minimálne úrovne I (informatívna úroveň). Spoločný informačný system má byť verejnosti prístupný na webovom sidle Rady Európy.</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BF6A6D" w:rsidRPr="00674822" w:rsidP="00DA7FF0">
            <w:pPr>
              <w:bidi w:val="0"/>
              <w:jc w:val="both"/>
              <w:rPr>
                <w:rFonts w:ascii="Times New Roman" w:hAnsi="Times New Roman" w:cs="Times New Roman"/>
                <w:lang w:val="sk-SK"/>
              </w:rPr>
            </w:pPr>
            <w:r w:rsidRPr="00674822">
              <w:rPr>
                <w:rFonts w:ascii="Times New Roman" w:hAnsi="Times New Roman" w:cs="Times New Roman"/>
                <w:b/>
                <w:lang w:val="sk-SK"/>
              </w:rPr>
              <w:t>6.2.</w:t>
            </w:r>
            <w:r w:rsidRPr="00674822">
              <w:rPr>
                <w:rFonts w:ascii="Times New Roman" w:hAnsi="Times New Roman" w:cs="Times New Roman"/>
                <w:lang w:val="sk-SK"/>
              </w:rPr>
              <w:t xml:space="preserve"> Vytvárajú sa podmienky pre sémantickú interoperabilitu?</w:t>
            </w:r>
          </w:p>
          <w:p w:rsidR="00BF6A6D" w:rsidRPr="00674822" w:rsidP="00DA7FF0">
            <w:pPr>
              <w:bidi w:val="0"/>
              <w:jc w:val="both"/>
              <w:rPr>
                <w:rFonts w:ascii="Times New Roman" w:hAnsi="Times New Roman" w:cs="Times New Roman"/>
                <w:sz w:val="20"/>
                <w:szCs w:val="20"/>
                <w:lang w:val="sk-SK"/>
              </w:rPr>
            </w:pPr>
            <w:r w:rsidRPr="00674822">
              <w:rPr>
                <w:rFonts w:ascii="Times New Roman" w:hAnsi="Times New Roman" w:cs="Times New Roman"/>
                <w:i/>
                <w:iCs/>
                <w:sz w:val="20"/>
                <w:szCs w:val="20"/>
                <w:lang w:val="sk-SK"/>
              </w:rPr>
              <w:t>(Popíšte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C74FD" w:rsidP="00DA7FF0">
            <w:pPr>
              <w:bidi w:val="0"/>
              <w:rPr>
                <w:rFonts w:ascii="Times New Roman" w:hAnsi="Times New Roman" w:cs="Times New Roman"/>
                <w:i/>
                <w:iCs/>
                <w:lang w:val="sk-SK"/>
              </w:rPr>
            </w:pPr>
          </w:p>
          <w:p w:rsidR="00BF6A6D" w:rsidRPr="008C74FD" w:rsidP="00DA7FF0">
            <w:pPr>
              <w:bidi w:val="0"/>
              <w:rPr>
                <w:rFonts w:ascii="Times New Roman" w:hAnsi="Times New Roman" w:cs="Times New Roman"/>
                <w:iCs/>
                <w:lang w:val="sk-SK"/>
              </w:rPr>
            </w:pPr>
            <w:r w:rsidRPr="008C74FD">
              <w:rPr>
                <w:rFonts w:ascii="Times New Roman" w:hAnsi="Times New Roman" w:cs="Times New Roman"/>
                <w:iCs/>
                <w:lang w:val="sk-SK"/>
              </w:rPr>
              <w:t>Nie</w:t>
            </w:r>
            <w:r w:rsidR="008C74FD">
              <w:rPr>
                <w:rFonts w:ascii="Times New Roman" w:hAnsi="Times New Roman" w:cs="Times New Roman"/>
                <w:iCs/>
                <w:lang w:val="sk-SK"/>
              </w:rPr>
              <w:t>.</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hideMark/>
          </w:tcPr>
          <w:p w:rsidR="00BF6A6D" w:rsidRPr="00674822" w:rsidP="00DA7FF0">
            <w:pPr>
              <w:bidi w:val="0"/>
              <w:jc w:val="both"/>
              <w:rPr>
                <w:rFonts w:ascii="Times New Roman" w:hAnsi="Times New Roman" w:cs="Times New Roman"/>
                <w:b/>
                <w:color w:val="FFFFFF"/>
                <w:lang w:val="sk-SK"/>
              </w:rPr>
            </w:pPr>
            <w:r w:rsidRPr="00674822">
              <w:rPr>
                <w:rFonts w:ascii="Times New Roman" w:hAnsi="Times New Roman" w:cs="Times New Roman"/>
                <w:b/>
                <w:lang w:val="sk-SK"/>
              </w:rPr>
              <w:t>Ľudia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6A6D" w:rsidRPr="00674822" w:rsidP="00DA7FF0">
            <w:pPr>
              <w:bidi w:val="0"/>
              <w:rPr>
                <w:rFonts w:ascii="Times New Roman" w:hAnsi="Times New Roman" w:cs="Times New Roman"/>
                <w:b/>
                <w:i/>
                <w:iCs/>
                <w:lang w:val="sk-SK"/>
              </w:rPr>
            </w:pP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BF6A6D" w:rsidRPr="00674822" w:rsidP="00DA7FF0">
            <w:pPr>
              <w:bidi w:val="0"/>
              <w:jc w:val="both"/>
              <w:rPr>
                <w:rFonts w:ascii="Times New Roman" w:hAnsi="Times New Roman" w:cs="Times New Roman"/>
                <w:lang w:val="sk-SK"/>
              </w:rPr>
            </w:pPr>
            <w:r w:rsidRPr="00674822">
              <w:rPr>
                <w:rFonts w:ascii="Times New Roman" w:hAnsi="Times New Roman" w:cs="Times New Roman"/>
                <w:b/>
                <w:lang w:val="sk-SK"/>
              </w:rPr>
              <w:t>6.3.</w:t>
            </w:r>
            <w:r w:rsidRPr="00674822">
              <w:rPr>
                <w:rFonts w:ascii="Times New Roman" w:hAnsi="Times New Roman" w:cs="Times New Roman"/>
                <w:lang w:val="sk-SK"/>
              </w:rPr>
              <w:t xml:space="preserve"> Zabezpečuje sa vzdelávanie v oblasti počítačovej gramotnosti a rozširovanie vedomostí o IKT?</w:t>
            </w:r>
          </w:p>
          <w:p w:rsidR="00BF6A6D" w:rsidRPr="00674822" w:rsidP="00DA7FF0">
            <w:pPr>
              <w:bidi w:val="0"/>
              <w:jc w:val="both"/>
              <w:rPr>
                <w:rFonts w:ascii="Times New Roman" w:hAnsi="Times New Roman" w:cs="Times New Roman"/>
                <w:sz w:val="20"/>
                <w:szCs w:val="20"/>
                <w:lang w:val="sk-SK"/>
              </w:rPr>
            </w:pPr>
            <w:r w:rsidRPr="00674822">
              <w:rPr>
                <w:rFonts w:ascii="Times New Roman" w:hAnsi="Times New Roman" w:cs="Times New Roman"/>
                <w:i/>
                <w:iCs/>
                <w:sz w:val="20"/>
                <w:szCs w:val="20"/>
                <w:lang w:val="sk-SK"/>
              </w:rPr>
              <w:t>(Uveďte spôsob, napr. projekty, školenia.)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F6A6D" w:rsidRPr="00674822" w:rsidP="008C74FD">
            <w:pPr>
              <w:bidi w:val="0"/>
              <w:rPr>
                <w:rFonts w:ascii="Times New Roman" w:hAnsi="Times New Roman" w:cs="Times New Roman"/>
                <w:i/>
                <w:iCs/>
                <w:lang w:val="sk-SK"/>
              </w:rPr>
            </w:pPr>
            <w:r w:rsidRPr="00674822">
              <w:rPr>
                <w:rFonts w:ascii="Times New Roman" w:hAnsi="Times New Roman" w:cs="Times New Roman"/>
                <w:i/>
                <w:iCs/>
                <w:lang w:val="sk-SK"/>
              </w:rPr>
              <w:t xml:space="preserve">Áno, vzťahu kultúrneho dedičstva, vzdelávania a informatizácii je venovaný čl. 13 a 14 </w:t>
            </w:r>
            <w:r w:rsidR="008C74FD">
              <w:rPr>
                <w:rFonts w:ascii="Times New Roman" w:hAnsi="Times New Roman" w:cs="Times New Roman"/>
                <w:i/>
                <w:iCs/>
                <w:lang w:val="sk-SK"/>
              </w:rPr>
              <w:t>d</w:t>
            </w:r>
            <w:r w:rsidRPr="00674822">
              <w:rPr>
                <w:rFonts w:ascii="Times New Roman" w:hAnsi="Times New Roman" w:cs="Times New Roman"/>
                <w:i/>
                <w:iCs/>
                <w:lang w:val="sk-SK"/>
              </w:rPr>
              <w:t>ohovoru. Dohovor ako všeobecný materiál formu vzdelávania nekonkretizuje.</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BF6A6D" w:rsidRPr="00674822" w:rsidP="00DA7FF0">
            <w:pPr>
              <w:bidi w:val="0"/>
              <w:jc w:val="both"/>
              <w:rPr>
                <w:rFonts w:ascii="Times New Roman" w:hAnsi="Times New Roman" w:cs="Times New Roman"/>
                <w:lang w:val="sk-SK"/>
              </w:rPr>
            </w:pPr>
            <w:r w:rsidRPr="00674822">
              <w:rPr>
                <w:rFonts w:ascii="Times New Roman" w:hAnsi="Times New Roman" w:cs="Times New Roman"/>
                <w:b/>
                <w:lang w:val="sk-SK"/>
              </w:rPr>
              <w:t>6.4.</w:t>
            </w:r>
            <w:r w:rsidRPr="00674822">
              <w:rPr>
                <w:rFonts w:ascii="Times New Roman" w:hAnsi="Times New Roman" w:cs="Times New Roman"/>
                <w:lang w:val="sk-SK"/>
              </w:rPr>
              <w:t xml:space="preserve"> Zabezpečuje sa rozvoj elektronického vzdelávania?</w:t>
            </w:r>
          </w:p>
          <w:p w:rsidR="00BF6A6D" w:rsidRPr="00674822" w:rsidP="00DA7FF0">
            <w:pPr>
              <w:bidi w:val="0"/>
              <w:jc w:val="both"/>
              <w:rPr>
                <w:rFonts w:ascii="Times New Roman" w:hAnsi="Times New Roman" w:cs="Times New Roman"/>
                <w:color w:val="FFFFFF"/>
                <w:sz w:val="20"/>
                <w:szCs w:val="20"/>
                <w:lang w:val="sk-SK"/>
              </w:rPr>
            </w:pPr>
            <w:r w:rsidRPr="00674822">
              <w:rPr>
                <w:rFonts w:ascii="Times New Roman" w:hAnsi="Times New Roman" w:cs="Times New Roman"/>
                <w:i/>
                <w:iCs/>
                <w:sz w:val="20"/>
                <w:szCs w:val="20"/>
                <w:lang w:val="sk-SK"/>
              </w:rPr>
              <w:t>(Uveďte typ a spôsob zabezpečenia vzdelávacích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F6A6D" w:rsidRPr="00674822" w:rsidP="001A69CD">
            <w:pPr>
              <w:bidi w:val="0"/>
              <w:rPr>
                <w:rFonts w:ascii="Times New Roman" w:hAnsi="Times New Roman" w:cs="Times New Roman"/>
                <w:i/>
                <w:iCs/>
                <w:lang w:val="sk-SK"/>
              </w:rPr>
            </w:pPr>
            <w:r w:rsidRPr="00674822">
              <w:rPr>
                <w:rFonts w:ascii="Times New Roman" w:hAnsi="Times New Roman" w:cs="Times New Roman"/>
                <w:i/>
                <w:iCs/>
                <w:lang w:val="sk-SK"/>
              </w:rPr>
              <w:t xml:space="preserve">Áno, vzťahu kultúrneho dedičstva, vzdelávania a informatizácii je venovaný čl. 13 a 14 </w:t>
            </w:r>
            <w:r w:rsidR="001A69CD">
              <w:rPr>
                <w:rFonts w:ascii="Times New Roman" w:hAnsi="Times New Roman" w:cs="Times New Roman"/>
                <w:i/>
                <w:iCs/>
                <w:lang w:val="sk-SK"/>
              </w:rPr>
              <w:t>d</w:t>
            </w:r>
            <w:r w:rsidRPr="00674822">
              <w:rPr>
                <w:rFonts w:ascii="Times New Roman" w:hAnsi="Times New Roman" w:cs="Times New Roman"/>
                <w:i/>
                <w:iCs/>
                <w:lang w:val="sk-SK"/>
              </w:rPr>
              <w:t>ohovoru. Dohovor ako všeobecný materiál formu vzdelávania nekonkretizuje.</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BF6A6D" w:rsidRPr="00674822" w:rsidP="00DA7FF0">
            <w:pPr>
              <w:bidi w:val="0"/>
              <w:jc w:val="both"/>
              <w:rPr>
                <w:rFonts w:ascii="Times New Roman" w:hAnsi="Times New Roman" w:cs="Times New Roman"/>
                <w:lang w:val="sk-SK"/>
              </w:rPr>
            </w:pPr>
            <w:r w:rsidRPr="00674822">
              <w:rPr>
                <w:rFonts w:ascii="Times New Roman" w:hAnsi="Times New Roman" w:cs="Times New Roman"/>
                <w:b/>
                <w:lang w:val="sk-SK"/>
              </w:rPr>
              <w:t>6.5.</w:t>
            </w:r>
            <w:r w:rsidRPr="00674822">
              <w:rPr>
                <w:rFonts w:ascii="Times New Roman" w:hAnsi="Times New Roman" w:cs="Times New Roman"/>
                <w:lang w:val="sk-SK"/>
              </w:rPr>
              <w:t xml:space="preserve"> Zabezpečuje sa podporná a propagačná aktivita zameraná na zvyšovanie povedomia o informatizácii a IKT?</w:t>
            </w:r>
          </w:p>
          <w:p w:rsidR="00BF6A6D" w:rsidRPr="00674822" w:rsidP="00DA7FF0">
            <w:pPr>
              <w:bidi w:val="0"/>
              <w:jc w:val="both"/>
              <w:rPr>
                <w:rFonts w:ascii="Times New Roman" w:hAnsi="Times New Roman" w:cs="Times New Roman"/>
                <w:color w:val="FFFFFF"/>
                <w:sz w:val="20"/>
                <w:szCs w:val="20"/>
                <w:lang w:val="sk-SK"/>
              </w:rPr>
            </w:pPr>
            <w:r w:rsidRPr="00674822">
              <w:rPr>
                <w:rFonts w:ascii="Times New Roman" w:hAnsi="Times New Roman" w:cs="Times New Roman"/>
                <w:i/>
                <w:iCs/>
                <w:sz w:val="20"/>
                <w:szCs w:val="20"/>
                <w:lang w:val="sk-SK"/>
              </w:rPr>
              <w:t>(Uveďte typ a spôsob zabezpečenia propagačných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F6A6D" w:rsidRPr="00674822" w:rsidP="000046B7">
            <w:pPr>
              <w:bidi w:val="0"/>
              <w:rPr>
                <w:rFonts w:ascii="Times New Roman" w:hAnsi="Times New Roman" w:cs="Times New Roman"/>
                <w:i/>
                <w:iCs/>
                <w:lang w:val="sk-SK"/>
              </w:rPr>
            </w:pPr>
            <w:r w:rsidRPr="00674822">
              <w:rPr>
                <w:rFonts w:ascii="Times New Roman" w:hAnsi="Times New Roman" w:cs="Times New Roman"/>
                <w:i/>
                <w:iCs/>
                <w:lang w:val="sk-SK"/>
              </w:rPr>
              <w:t xml:space="preserve">Nie, resp. </w:t>
            </w:r>
            <w:r w:rsidR="000046B7">
              <w:rPr>
                <w:rFonts w:ascii="Times New Roman" w:hAnsi="Times New Roman" w:cs="Times New Roman"/>
                <w:i/>
                <w:iCs/>
                <w:lang w:val="sk-SK"/>
              </w:rPr>
              <w:t>d</w:t>
            </w:r>
            <w:r w:rsidRPr="00674822">
              <w:rPr>
                <w:rFonts w:ascii="Times New Roman" w:hAnsi="Times New Roman" w:cs="Times New Roman"/>
                <w:i/>
                <w:iCs/>
                <w:lang w:val="sk-SK"/>
              </w:rPr>
              <w:t>ohovor túto aktivitu upravuje len vo veľmi všeobecnej rovine.</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BF6A6D" w:rsidRPr="00674822" w:rsidP="00DA7FF0">
            <w:pPr>
              <w:bidi w:val="0"/>
              <w:jc w:val="both"/>
              <w:rPr>
                <w:rFonts w:ascii="Times New Roman" w:hAnsi="Times New Roman" w:cs="Times New Roman"/>
                <w:lang w:val="sk-SK"/>
              </w:rPr>
            </w:pPr>
            <w:r w:rsidRPr="00674822">
              <w:rPr>
                <w:rFonts w:ascii="Times New Roman" w:hAnsi="Times New Roman" w:cs="Times New Roman"/>
                <w:b/>
                <w:lang w:val="sk-SK"/>
              </w:rPr>
              <w:t>6.6.</w:t>
            </w:r>
            <w:r w:rsidRPr="00674822">
              <w:rPr>
                <w:rFonts w:ascii="Times New Roman" w:hAnsi="Times New Roman" w:cs="Times New Roman"/>
                <w:lang w:val="sk-SK"/>
              </w:rPr>
              <w:t xml:space="preserve"> Zabezpečuje/zohľadňuje/zlepšuje sa prístup znevýhodnených osôb k službám informačnej spoločnosti?</w:t>
            </w:r>
          </w:p>
          <w:p w:rsidR="00BF6A6D" w:rsidRPr="00674822" w:rsidP="00DA7FF0">
            <w:pPr>
              <w:bidi w:val="0"/>
              <w:jc w:val="both"/>
              <w:rPr>
                <w:rFonts w:ascii="Times New Roman" w:hAnsi="Times New Roman" w:cs="Times New Roman"/>
                <w:sz w:val="20"/>
                <w:szCs w:val="20"/>
                <w:lang w:val="sk-SK"/>
              </w:rPr>
            </w:pPr>
            <w:r w:rsidRPr="00674822">
              <w:rPr>
                <w:rFonts w:ascii="Times New Roman" w:hAnsi="Times New Roman" w:cs="Times New Roman"/>
                <w:i/>
                <w:iCs/>
                <w:sz w:val="20"/>
                <w:szCs w:val="20"/>
                <w:lang w:val="sk-SK"/>
              </w:rPr>
              <w:t>(Uveďte spôsob sprístupnenia digitálneho prostredia.)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F6A6D" w:rsidRPr="00674822" w:rsidP="00D52D07">
            <w:pPr>
              <w:bidi w:val="0"/>
              <w:rPr>
                <w:rFonts w:ascii="Times New Roman" w:hAnsi="Times New Roman" w:cs="Times New Roman"/>
                <w:i/>
                <w:iCs/>
                <w:lang w:val="sk-SK"/>
              </w:rPr>
            </w:pPr>
            <w:r w:rsidRPr="00674822">
              <w:rPr>
                <w:rFonts w:ascii="Times New Roman" w:hAnsi="Times New Roman" w:cs="Times New Roman"/>
                <w:i/>
                <w:iCs/>
                <w:lang w:val="sk-SK"/>
              </w:rPr>
              <w:t xml:space="preserve">Áno, </w:t>
            </w:r>
            <w:r w:rsidR="00D52D07">
              <w:rPr>
                <w:rFonts w:ascii="Times New Roman" w:hAnsi="Times New Roman" w:cs="Times New Roman"/>
                <w:i/>
                <w:iCs/>
                <w:lang w:val="sk-SK"/>
              </w:rPr>
              <w:t>d</w:t>
            </w:r>
            <w:r w:rsidRPr="00674822">
              <w:rPr>
                <w:rFonts w:ascii="Times New Roman" w:hAnsi="Times New Roman" w:cs="Times New Roman"/>
                <w:i/>
                <w:iCs/>
                <w:lang w:val="sk-SK"/>
              </w:rPr>
              <w:t xml:space="preserve">ohovor vo všeobecnej rovine výslovne uvádza predpoklad zlepšenia prístupu ku kultúrnemu dedičstvu (a teda v kontexte zvýšenia kvality služieb informačnej spoločnosti) aj znevýhodneným osobám; konkretizácia tohto predpokladu však závisí od Slovenskej republiky ako zmluvnej strany </w:t>
            </w:r>
            <w:r w:rsidR="00D52D07">
              <w:rPr>
                <w:rFonts w:ascii="Times New Roman" w:hAnsi="Times New Roman" w:cs="Times New Roman"/>
                <w:i/>
                <w:iCs/>
                <w:lang w:val="sk-SK"/>
              </w:rPr>
              <w:t>d</w:t>
            </w:r>
            <w:r w:rsidRPr="00674822">
              <w:rPr>
                <w:rFonts w:ascii="Times New Roman" w:hAnsi="Times New Roman" w:cs="Times New Roman"/>
                <w:i/>
                <w:iCs/>
                <w:lang w:val="sk-SK"/>
              </w:rPr>
              <w:t>ohovoru.</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hideMark/>
          </w:tcPr>
          <w:p w:rsidR="00BF6A6D" w:rsidRPr="00674822" w:rsidP="00DA7FF0">
            <w:pPr>
              <w:bidi w:val="0"/>
              <w:jc w:val="both"/>
              <w:rPr>
                <w:rFonts w:ascii="Times New Roman" w:hAnsi="Times New Roman" w:cs="Times New Roman"/>
                <w:b/>
                <w:lang w:val="sk-SK"/>
              </w:rPr>
            </w:pPr>
            <w:r w:rsidRPr="00674822">
              <w:rPr>
                <w:rFonts w:ascii="Times New Roman" w:hAnsi="Times New Roman" w:cs="Times New Roman"/>
                <w:b/>
                <w:lang w:val="sk-SK"/>
              </w:rPr>
              <w:t>Infraštruktúra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F6A6D" w:rsidRPr="00674822" w:rsidP="00DA7FF0">
            <w:pPr>
              <w:bidi w:val="0"/>
              <w:rPr>
                <w:rFonts w:ascii="Times New Roman" w:hAnsi="Times New Roman" w:cs="Times New Roman"/>
                <w:b/>
                <w:i/>
                <w:iCs/>
                <w:lang w:val="sk-SK"/>
              </w:rPr>
            </w:pP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BF6A6D" w:rsidRPr="00674822" w:rsidP="00DA7FF0">
            <w:pPr>
              <w:bidi w:val="0"/>
              <w:jc w:val="both"/>
              <w:rPr>
                <w:rFonts w:ascii="Times New Roman" w:hAnsi="Times New Roman" w:cs="Times New Roman"/>
                <w:lang w:val="sk-SK"/>
              </w:rPr>
            </w:pPr>
            <w:r w:rsidRPr="00674822">
              <w:rPr>
                <w:rFonts w:ascii="Times New Roman" w:hAnsi="Times New Roman" w:cs="Times New Roman"/>
                <w:b/>
                <w:lang w:val="sk-SK"/>
              </w:rPr>
              <w:t>6.7.</w:t>
            </w:r>
            <w:r w:rsidRPr="00674822">
              <w:rPr>
                <w:rFonts w:ascii="Times New Roman" w:hAnsi="Times New Roman" w:cs="Times New Roman"/>
                <w:lang w:val="sk-SK"/>
              </w:rPr>
              <w:t xml:space="preserve"> Rozširuje, inovuje, vytvára alebo zavádza sa nový informačný systém?</w:t>
            </w:r>
          </w:p>
          <w:p w:rsidR="00BF6A6D" w:rsidRPr="00674822" w:rsidP="00DA7FF0">
            <w:pPr>
              <w:bidi w:val="0"/>
              <w:jc w:val="both"/>
              <w:rPr>
                <w:rFonts w:ascii="Times New Roman" w:hAnsi="Times New Roman" w:cs="Times New Roman"/>
                <w:sz w:val="20"/>
                <w:szCs w:val="20"/>
                <w:lang w:val="sk-SK"/>
              </w:rPr>
            </w:pPr>
            <w:r w:rsidRPr="00674822">
              <w:rPr>
                <w:rFonts w:ascii="Times New Roman" w:hAnsi="Times New Roman" w:cs="Times New Roman"/>
                <w:i/>
                <w:iCs/>
                <w:sz w:val="20"/>
                <w:szCs w:val="20"/>
                <w:lang w:val="sk-SK"/>
              </w:rPr>
              <w:t>(Uveďte jeho funkciu.)</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F6A6D" w:rsidRPr="00674822" w:rsidP="00C61BBE">
            <w:pPr>
              <w:bidi w:val="0"/>
              <w:rPr>
                <w:rFonts w:ascii="Times New Roman" w:hAnsi="Times New Roman" w:cs="Times New Roman"/>
                <w:i/>
                <w:iCs/>
                <w:lang w:val="sk-SK"/>
              </w:rPr>
            </w:pPr>
            <w:r w:rsidRPr="00674822">
              <w:rPr>
                <w:rFonts w:ascii="Times New Roman" w:hAnsi="Times New Roman" w:cs="Times New Roman"/>
                <w:i/>
                <w:iCs/>
                <w:lang w:val="sk-SK"/>
              </w:rPr>
              <w:t xml:space="preserve">Áno, na úrovni Rady Európy vznikne nový informačný systém, predmetom ktorého bude o.i. spôsob implementácie </w:t>
            </w:r>
            <w:r w:rsidR="00C61BBE">
              <w:rPr>
                <w:rFonts w:ascii="Times New Roman" w:hAnsi="Times New Roman" w:cs="Times New Roman"/>
                <w:i/>
                <w:iCs/>
                <w:lang w:val="sk-SK"/>
              </w:rPr>
              <w:t>d</w:t>
            </w:r>
            <w:r w:rsidRPr="00674822">
              <w:rPr>
                <w:rFonts w:ascii="Times New Roman" w:hAnsi="Times New Roman" w:cs="Times New Roman"/>
                <w:i/>
                <w:iCs/>
                <w:lang w:val="sk-SK"/>
              </w:rPr>
              <w:t>ohovoru na úrovni zmluvných strán.</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BF6A6D" w:rsidRPr="00674822" w:rsidP="00DA7FF0">
            <w:pPr>
              <w:bidi w:val="0"/>
              <w:jc w:val="both"/>
              <w:rPr>
                <w:rFonts w:ascii="Times New Roman" w:hAnsi="Times New Roman" w:cs="Times New Roman"/>
                <w:lang w:val="sk-SK"/>
              </w:rPr>
            </w:pPr>
            <w:r w:rsidRPr="00674822">
              <w:rPr>
                <w:rFonts w:ascii="Times New Roman" w:hAnsi="Times New Roman" w:cs="Times New Roman"/>
                <w:b/>
                <w:lang w:val="sk-SK"/>
              </w:rPr>
              <w:t>6.8.</w:t>
            </w:r>
            <w:r w:rsidRPr="00674822">
              <w:rPr>
                <w:rFonts w:ascii="Times New Roman" w:hAnsi="Times New Roman" w:cs="Times New Roman"/>
                <w:lang w:val="sk-SK"/>
              </w:rPr>
              <w:t xml:space="preserve"> Rozširuje sa prístupnosť k internetu?</w:t>
            </w:r>
          </w:p>
          <w:p w:rsidR="00BF6A6D" w:rsidRPr="00674822" w:rsidP="00DA7FF0">
            <w:pPr>
              <w:bidi w:val="0"/>
              <w:jc w:val="both"/>
              <w:rPr>
                <w:rFonts w:ascii="Times New Roman" w:hAnsi="Times New Roman" w:cs="Times New Roman"/>
                <w:sz w:val="20"/>
                <w:szCs w:val="20"/>
                <w:lang w:val="sk-SK"/>
              </w:rPr>
            </w:pPr>
            <w:r w:rsidRPr="00674822">
              <w:rPr>
                <w:rFonts w:ascii="Times New Roman" w:hAnsi="Times New Roman" w:cs="Times New Roman"/>
                <w:i/>
                <w:iCs/>
                <w:sz w:val="20"/>
                <w:szCs w:val="20"/>
                <w:lang w:val="sk-SK"/>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F6A6D" w:rsidP="00DA7FF0">
            <w:pPr>
              <w:bidi w:val="0"/>
              <w:rPr>
                <w:rFonts w:ascii="Times New Roman" w:hAnsi="Times New Roman" w:cs="Times New Roman"/>
                <w:iCs/>
                <w:lang w:val="sk-SK"/>
              </w:rPr>
            </w:pPr>
            <w:r w:rsidR="00364E43">
              <w:rPr>
                <w:rFonts w:ascii="Times New Roman" w:hAnsi="Times New Roman" w:cs="Times New Roman"/>
                <w:iCs/>
                <w:lang w:val="sk-SK"/>
              </w:rPr>
              <w:t>Nie.</w:t>
            </w:r>
          </w:p>
          <w:p w:rsidR="00364E43" w:rsidRPr="00364E43" w:rsidP="00DA7FF0">
            <w:pPr>
              <w:bidi w:val="0"/>
              <w:rPr>
                <w:rFonts w:ascii="Times New Roman" w:hAnsi="Times New Roman" w:cs="Times New Roman"/>
                <w:iCs/>
                <w:lang w:val="sk-SK"/>
              </w:rPr>
            </w:pP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BF6A6D" w:rsidRPr="00674822" w:rsidP="00DA7FF0">
            <w:pPr>
              <w:bidi w:val="0"/>
              <w:rPr>
                <w:rFonts w:ascii="Times New Roman" w:hAnsi="Times New Roman" w:cs="Times New Roman"/>
                <w:lang w:val="sk-SK"/>
              </w:rPr>
            </w:pPr>
            <w:r w:rsidRPr="00674822">
              <w:rPr>
                <w:rFonts w:ascii="Times New Roman" w:hAnsi="Times New Roman" w:cs="Times New Roman"/>
                <w:b/>
                <w:lang w:val="sk-SK"/>
              </w:rPr>
              <w:t>6.9.</w:t>
            </w:r>
            <w:r w:rsidRPr="00674822">
              <w:rPr>
                <w:rFonts w:ascii="Times New Roman" w:hAnsi="Times New Roman" w:cs="Times New Roman"/>
                <w:lang w:val="sk-SK"/>
              </w:rPr>
              <w:t xml:space="preserve"> Rozširuje sa prístupnosť k elektronickým službám?</w:t>
            </w:r>
          </w:p>
          <w:p w:rsidR="00BF6A6D" w:rsidRPr="00674822" w:rsidP="00DA7FF0">
            <w:pPr>
              <w:bidi w:val="0"/>
              <w:rPr>
                <w:rFonts w:ascii="Times New Roman" w:hAnsi="Times New Roman" w:cs="Times New Roman"/>
                <w:sz w:val="20"/>
                <w:szCs w:val="20"/>
                <w:lang w:val="sk-SK"/>
              </w:rPr>
            </w:pPr>
            <w:r w:rsidRPr="00674822">
              <w:rPr>
                <w:rFonts w:ascii="Times New Roman" w:hAnsi="Times New Roman" w:cs="Times New Roman"/>
                <w:i/>
                <w:iCs/>
                <w:sz w:val="20"/>
                <w:szCs w:val="20"/>
                <w:lang w:val="sk-SK"/>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F6A6D" w:rsidRPr="00364E43" w:rsidP="00DA7FF0">
            <w:pPr>
              <w:bidi w:val="0"/>
              <w:rPr>
                <w:rFonts w:ascii="Times New Roman" w:hAnsi="Times New Roman" w:cs="Times New Roman"/>
                <w:iCs/>
                <w:lang w:val="sk-SK"/>
              </w:rPr>
            </w:pPr>
            <w:r w:rsidR="00364E43">
              <w:rPr>
                <w:rFonts w:ascii="Times New Roman" w:hAnsi="Times New Roman" w:cs="Times New Roman"/>
                <w:iCs/>
                <w:lang w:val="sk-SK"/>
              </w:rPr>
              <w:t>Nie.</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BF6A6D" w:rsidRPr="00674822" w:rsidP="00DA7FF0">
            <w:pPr>
              <w:bidi w:val="0"/>
              <w:jc w:val="both"/>
              <w:rPr>
                <w:rFonts w:ascii="Times New Roman" w:hAnsi="Times New Roman" w:cs="Times New Roman"/>
                <w:lang w:val="sk-SK"/>
              </w:rPr>
            </w:pPr>
            <w:r w:rsidRPr="00674822">
              <w:rPr>
                <w:rFonts w:ascii="Times New Roman" w:hAnsi="Times New Roman" w:cs="Times New Roman"/>
                <w:b/>
                <w:lang w:val="sk-SK"/>
              </w:rPr>
              <w:t>6.10.</w:t>
            </w:r>
            <w:r w:rsidRPr="00674822">
              <w:rPr>
                <w:rFonts w:ascii="Times New Roman" w:hAnsi="Times New Roman" w:cs="Times New Roman"/>
                <w:lang w:val="sk-SK"/>
              </w:rPr>
              <w:t xml:space="preserve"> Zabezpečuje sa technická interoperabilita?</w:t>
            </w:r>
          </w:p>
          <w:p w:rsidR="00BF6A6D" w:rsidRPr="00674822" w:rsidP="00DA7FF0">
            <w:pPr>
              <w:bidi w:val="0"/>
              <w:jc w:val="both"/>
              <w:rPr>
                <w:rFonts w:ascii="Times New Roman" w:hAnsi="Times New Roman" w:cs="Times New Roman"/>
                <w:sz w:val="20"/>
                <w:szCs w:val="20"/>
                <w:lang w:val="sk-SK"/>
              </w:rPr>
            </w:pPr>
            <w:r w:rsidRPr="00674822">
              <w:rPr>
                <w:rFonts w:ascii="Times New Roman" w:hAnsi="Times New Roman" w:cs="Times New Roman"/>
                <w:i/>
                <w:iCs/>
                <w:sz w:val="20"/>
                <w:szCs w:val="20"/>
                <w:lang w:val="sk-SK"/>
              </w:rPr>
              <w:t>(Uveďte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F6A6D" w:rsidRPr="00364E43" w:rsidP="00DA7FF0">
            <w:pPr>
              <w:bidi w:val="0"/>
              <w:rPr>
                <w:rFonts w:ascii="Times New Roman" w:hAnsi="Times New Roman" w:cs="Times New Roman"/>
                <w:iCs/>
                <w:lang w:val="sk-SK"/>
              </w:rPr>
            </w:pPr>
            <w:r w:rsidR="00364E43">
              <w:rPr>
                <w:rFonts w:ascii="Times New Roman" w:hAnsi="Times New Roman" w:cs="Times New Roman"/>
                <w:iCs/>
                <w:lang w:val="sk-SK"/>
              </w:rPr>
              <w:t>Nie.</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BF6A6D" w:rsidRPr="00674822" w:rsidP="00DA7FF0">
            <w:pPr>
              <w:bidi w:val="0"/>
              <w:jc w:val="both"/>
              <w:rPr>
                <w:rFonts w:ascii="Times New Roman" w:hAnsi="Times New Roman" w:cs="Times New Roman"/>
                <w:lang w:val="sk-SK"/>
              </w:rPr>
            </w:pPr>
            <w:r w:rsidRPr="00674822">
              <w:rPr>
                <w:rFonts w:ascii="Times New Roman" w:hAnsi="Times New Roman" w:cs="Times New Roman"/>
                <w:b/>
                <w:lang w:val="sk-SK"/>
              </w:rPr>
              <w:t>6.11.</w:t>
            </w:r>
            <w:r w:rsidRPr="00674822">
              <w:rPr>
                <w:rFonts w:ascii="Times New Roman" w:hAnsi="Times New Roman" w:cs="Times New Roman"/>
                <w:lang w:val="sk-SK"/>
              </w:rPr>
              <w:t xml:space="preserve"> Zvyšuje sa bezpečnosť IT?</w:t>
            </w:r>
          </w:p>
          <w:p w:rsidR="00BF6A6D" w:rsidRPr="00674822" w:rsidP="00DA7FF0">
            <w:pPr>
              <w:bidi w:val="0"/>
              <w:jc w:val="both"/>
              <w:rPr>
                <w:rFonts w:ascii="Times New Roman" w:hAnsi="Times New Roman" w:cs="Times New Roman"/>
                <w:sz w:val="20"/>
                <w:szCs w:val="20"/>
                <w:lang w:val="sk-SK"/>
              </w:rPr>
            </w:pPr>
            <w:r w:rsidRPr="00674822">
              <w:rPr>
                <w:rFonts w:ascii="Times New Roman" w:hAnsi="Times New Roman" w:cs="Times New Roman"/>
                <w:sz w:val="20"/>
                <w:szCs w:val="20"/>
                <w:lang w:val="sk-SK"/>
              </w:rPr>
              <w:t>(</w:t>
            </w:r>
            <w:r w:rsidRPr="00674822">
              <w:rPr>
                <w:rFonts w:ascii="Times New Roman" w:hAnsi="Times New Roman" w:cs="Times New Roman"/>
                <w:i/>
                <w:iCs/>
                <w:sz w:val="20"/>
                <w:szCs w:val="20"/>
                <w:lang w:val="sk-SK"/>
              </w:rPr>
              <w:t>Uveďte spôsob zvýšenia bezpečnosti a ochrany IT.)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F6A6D" w:rsidRPr="00364E43" w:rsidP="00DA7FF0">
            <w:pPr>
              <w:bidi w:val="0"/>
              <w:rPr>
                <w:rFonts w:ascii="Times New Roman" w:hAnsi="Times New Roman" w:cs="Times New Roman"/>
                <w:iCs/>
                <w:lang w:val="sk-SK"/>
              </w:rPr>
            </w:pPr>
            <w:r w:rsidR="00364E43">
              <w:rPr>
                <w:rFonts w:ascii="Times New Roman" w:hAnsi="Times New Roman" w:cs="Times New Roman"/>
                <w:iCs/>
                <w:lang w:val="sk-SK"/>
              </w:rPr>
              <w:t>Nie.</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BF6A6D" w:rsidRPr="00674822" w:rsidP="00DA7FF0">
            <w:pPr>
              <w:bidi w:val="0"/>
              <w:jc w:val="both"/>
              <w:rPr>
                <w:rFonts w:ascii="Times New Roman" w:hAnsi="Times New Roman" w:cs="Times New Roman"/>
                <w:lang w:val="sk-SK"/>
              </w:rPr>
            </w:pPr>
            <w:r w:rsidRPr="00674822">
              <w:rPr>
                <w:rFonts w:ascii="Times New Roman" w:hAnsi="Times New Roman" w:cs="Times New Roman"/>
                <w:b/>
                <w:lang w:val="sk-SK"/>
              </w:rPr>
              <w:t>6.12.</w:t>
            </w:r>
            <w:r w:rsidRPr="00674822">
              <w:rPr>
                <w:rFonts w:ascii="Times New Roman" w:hAnsi="Times New Roman" w:cs="Times New Roman"/>
                <w:lang w:val="sk-SK"/>
              </w:rPr>
              <w:t xml:space="preserve"> Rozširuje sa technická infraštruktúra?</w:t>
            </w:r>
          </w:p>
          <w:p w:rsidR="00BF6A6D" w:rsidRPr="00674822" w:rsidP="00DA7FF0">
            <w:pPr>
              <w:bidi w:val="0"/>
              <w:jc w:val="both"/>
              <w:rPr>
                <w:rFonts w:ascii="Times New Roman" w:hAnsi="Times New Roman" w:cs="Times New Roman"/>
                <w:sz w:val="20"/>
                <w:szCs w:val="20"/>
                <w:lang w:val="sk-SK"/>
              </w:rPr>
            </w:pPr>
            <w:r w:rsidRPr="00674822">
              <w:rPr>
                <w:rFonts w:ascii="Times New Roman" w:hAnsi="Times New Roman" w:cs="Times New Roman"/>
                <w:sz w:val="20"/>
                <w:szCs w:val="20"/>
                <w:lang w:val="sk-SK"/>
              </w:rPr>
              <w:t>(</w:t>
            </w:r>
            <w:r w:rsidRPr="00674822">
              <w:rPr>
                <w:rFonts w:ascii="Times New Roman" w:hAnsi="Times New Roman" w:cs="Times New Roman"/>
                <w:i/>
                <w:iCs/>
                <w:sz w:val="20"/>
                <w:szCs w:val="20"/>
                <w:lang w:val="sk-SK"/>
              </w:rPr>
              <w:t>Uveďte stručný popis zavádzanej infraštruktúry.)</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F6A6D" w:rsidRPr="00F64F12" w:rsidP="00DA7FF0">
            <w:pPr>
              <w:bidi w:val="0"/>
              <w:rPr>
                <w:rFonts w:ascii="Times New Roman" w:hAnsi="Times New Roman" w:cs="Times New Roman"/>
                <w:iCs/>
                <w:lang w:val="sk-SK"/>
              </w:rPr>
            </w:pPr>
            <w:r w:rsidR="00F64F12">
              <w:rPr>
                <w:rFonts w:ascii="Times New Roman" w:hAnsi="Times New Roman" w:cs="Times New Roman"/>
                <w:iCs/>
                <w:lang w:val="sk-SK"/>
              </w:rPr>
              <w:t>Nie.</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hideMark/>
          </w:tcPr>
          <w:p w:rsidR="00BF6A6D" w:rsidRPr="00674822" w:rsidP="00DA7FF0">
            <w:pPr>
              <w:bidi w:val="0"/>
              <w:rPr>
                <w:rFonts w:ascii="Times New Roman" w:hAnsi="Times New Roman" w:cs="Times New Roman"/>
                <w:b/>
                <w:lang w:val="sk-SK"/>
              </w:rPr>
            </w:pPr>
            <w:r w:rsidRPr="00674822">
              <w:rPr>
                <w:rFonts w:ascii="Times New Roman" w:hAnsi="Times New Roman" w:cs="Times New Roman"/>
                <w:b/>
                <w:lang w:val="sk-SK"/>
              </w:rPr>
              <w:t>Riadenie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F6A6D" w:rsidRPr="00674822" w:rsidP="00DA7FF0">
            <w:pPr>
              <w:bidi w:val="0"/>
              <w:rPr>
                <w:rFonts w:ascii="Times New Roman" w:hAnsi="Times New Roman" w:cs="Times New Roman"/>
                <w:b/>
                <w:lang w:val="sk-SK"/>
              </w:rPr>
            </w:pP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BF6A6D" w:rsidRPr="00674822" w:rsidP="00DA7FF0">
            <w:pPr>
              <w:bidi w:val="0"/>
              <w:jc w:val="both"/>
              <w:rPr>
                <w:rFonts w:ascii="Times New Roman" w:hAnsi="Times New Roman" w:cs="Times New Roman"/>
                <w:lang w:val="sk-SK"/>
              </w:rPr>
            </w:pPr>
            <w:r w:rsidRPr="00674822">
              <w:rPr>
                <w:rFonts w:ascii="Times New Roman" w:hAnsi="Times New Roman" w:cs="Times New Roman"/>
                <w:b/>
                <w:lang w:val="sk-SK"/>
              </w:rPr>
              <w:t>6.13.</w:t>
            </w:r>
            <w:r w:rsidRPr="00674822">
              <w:rPr>
                <w:rFonts w:ascii="Times New Roman" w:hAnsi="Times New Roman" w:cs="Times New Roman"/>
                <w:lang w:val="sk-SK"/>
              </w:rPr>
              <w:t xml:space="preserve"> Predpokladajú sa zmeny v riadení procesu informatizácie?</w:t>
            </w:r>
          </w:p>
          <w:p w:rsidR="00BF6A6D" w:rsidRPr="00674822" w:rsidP="00DA7FF0">
            <w:pPr>
              <w:bidi w:val="0"/>
              <w:jc w:val="both"/>
              <w:rPr>
                <w:rFonts w:ascii="Times New Roman" w:hAnsi="Times New Roman" w:cs="Times New Roman"/>
                <w:sz w:val="20"/>
                <w:szCs w:val="20"/>
                <w:lang w:val="sk-SK"/>
              </w:rPr>
            </w:pPr>
            <w:r w:rsidRPr="00674822">
              <w:rPr>
                <w:rFonts w:ascii="Times New Roman" w:hAnsi="Times New Roman" w:cs="Times New Roman"/>
                <w:i/>
                <w:iCs/>
                <w:sz w:val="20"/>
                <w:szCs w:val="20"/>
                <w:lang w:val="sk-SK"/>
              </w:rPr>
              <w:t>(Uveďte popis zmien.)</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F6A6D" w:rsidRPr="00F64F12" w:rsidP="00DA7FF0">
            <w:pPr>
              <w:bidi w:val="0"/>
              <w:rPr>
                <w:rFonts w:ascii="Times New Roman" w:hAnsi="Times New Roman" w:cs="Times New Roman"/>
                <w:iCs/>
                <w:lang w:val="sk-SK"/>
              </w:rPr>
            </w:pPr>
            <w:r w:rsidR="00F64F12">
              <w:rPr>
                <w:rFonts w:ascii="Times New Roman" w:hAnsi="Times New Roman" w:cs="Times New Roman"/>
                <w:iCs/>
                <w:lang w:val="sk-SK"/>
              </w:rPr>
              <w:t>Nie.</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hideMark/>
          </w:tcPr>
          <w:p w:rsidR="00BF6A6D" w:rsidRPr="00674822" w:rsidP="00DA7FF0">
            <w:pPr>
              <w:bidi w:val="0"/>
              <w:jc w:val="both"/>
              <w:rPr>
                <w:rFonts w:ascii="Times New Roman" w:hAnsi="Times New Roman" w:cs="Times New Roman"/>
                <w:b/>
                <w:lang w:val="sk-SK"/>
              </w:rPr>
            </w:pPr>
            <w:r w:rsidRPr="00674822">
              <w:rPr>
                <w:rFonts w:ascii="Times New Roman" w:hAnsi="Times New Roman" w:cs="Times New Roman"/>
                <w:b/>
                <w:lang w:val="sk-SK"/>
              </w:rPr>
              <w:t>Financovanie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F6A6D" w:rsidRPr="00674822" w:rsidP="00DA7FF0">
            <w:pPr>
              <w:bidi w:val="0"/>
              <w:rPr>
                <w:rFonts w:ascii="Times New Roman" w:hAnsi="Times New Roman" w:cs="Times New Roman"/>
                <w:b/>
                <w:i/>
                <w:iCs/>
                <w:lang w:val="sk-SK"/>
              </w:rPr>
            </w:pP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BF6A6D" w:rsidRPr="00674822" w:rsidP="00DA7FF0">
            <w:pPr>
              <w:bidi w:val="0"/>
              <w:rPr>
                <w:rFonts w:ascii="Times New Roman" w:hAnsi="Times New Roman" w:cs="Times New Roman"/>
                <w:lang w:val="sk-SK"/>
              </w:rPr>
            </w:pPr>
            <w:r w:rsidRPr="00674822">
              <w:rPr>
                <w:rFonts w:ascii="Times New Roman" w:hAnsi="Times New Roman" w:cs="Times New Roman"/>
                <w:b/>
                <w:lang w:val="sk-SK"/>
              </w:rPr>
              <w:t>6.14.</w:t>
            </w:r>
            <w:r w:rsidRPr="00674822">
              <w:rPr>
                <w:rFonts w:ascii="Times New Roman" w:hAnsi="Times New Roman" w:cs="Times New Roman"/>
                <w:lang w:val="sk-SK"/>
              </w:rPr>
              <w:t xml:space="preserve"> Vyžaduje si proces informatizácie  finančné investície?</w:t>
            </w:r>
          </w:p>
          <w:p w:rsidR="00BF6A6D" w:rsidRPr="00674822" w:rsidP="00DA7FF0">
            <w:pPr>
              <w:bidi w:val="0"/>
              <w:rPr>
                <w:rFonts w:ascii="Times New Roman" w:hAnsi="Times New Roman" w:cs="Times New Roman"/>
                <w:sz w:val="20"/>
                <w:szCs w:val="20"/>
                <w:lang w:val="sk-SK"/>
              </w:rPr>
            </w:pPr>
            <w:r w:rsidRPr="00674822">
              <w:rPr>
                <w:rFonts w:ascii="Times New Roman" w:hAnsi="Times New Roman" w:cs="Times New Roman"/>
                <w:i/>
                <w:iCs/>
                <w:sz w:val="20"/>
                <w:szCs w:val="20"/>
                <w:lang w:val="sk-SK"/>
              </w:rPr>
              <w:t>(Popíšte príslušnú úroveň financovania.)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F6A6D" w:rsidRPr="00F64F12" w:rsidP="00DA7FF0">
            <w:pPr>
              <w:bidi w:val="0"/>
              <w:rPr>
                <w:rFonts w:ascii="Times New Roman" w:hAnsi="Times New Roman" w:cs="Times New Roman"/>
                <w:iCs/>
                <w:lang w:val="sk-SK"/>
              </w:rPr>
            </w:pPr>
            <w:r w:rsidR="00F64F12">
              <w:rPr>
                <w:rFonts w:ascii="Times New Roman" w:hAnsi="Times New Roman" w:cs="Times New Roman"/>
                <w:iCs/>
                <w:lang w:val="sk-SK"/>
              </w:rPr>
              <w:t>Nie.</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hideMark/>
          </w:tcPr>
          <w:p w:rsidR="00BF6A6D" w:rsidRPr="00674822" w:rsidP="00DA7FF0">
            <w:pPr>
              <w:bidi w:val="0"/>
              <w:jc w:val="both"/>
              <w:rPr>
                <w:rFonts w:ascii="Times New Roman" w:hAnsi="Times New Roman" w:cs="Times New Roman"/>
                <w:b/>
                <w:lang w:val="sk-SK"/>
              </w:rPr>
            </w:pPr>
            <w:r w:rsidRPr="00674822">
              <w:rPr>
                <w:rFonts w:ascii="Times New Roman" w:hAnsi="Times New Roman" w:cs="Times New Roman"/>
                <w:b/>
                <w:lang w:val="sk-SK"/>
              </w:rPr>
              <w:t>Legislatívne prostredie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F6A6D" w:rsidRPr="00674822" w:rsidP="00DA7FF0">
            <w:pPr>
              <w:bidi w:val="0"/>
              <w:rPr>
                <w:rFonts w:ascii="Times New Roman" w:hAnsi="Times New Roman" w:cs="Times New Roman"/>
                <w:b/>
                <w:i/>
                <w:iCs/>
                <w:lang w:val="sk-SK"/>
              </w:rPr>
            </w:pP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BF6A6D" w:rsidRPr="00674822" w:rsidP="00DA7FF0">
            <w:pPr>
              <w:bidi w:val="0"/>
              <w:rPr>
                <w:rFonts w:ascii="Times New Roman" w:hAnsi="Times New Roman" w:cs="Times New Roman"/>
                <w:lang w:val="sk-SK"/>
              </w:rPr>
            </w:pPr>
            <w:r w:rsidRPr="00674822">
              <w:rPr>
                <w:rFonts w:ascii="Times New Roman" w:hAnsi="Times New Roman" w:cs="Times New Roman"/>
                <w:b/>
                <w:lang w:val="sk-SK"/>
              </w:rPr>
              <w:t>6.15.</w:t>
            </w:r>
            <w:r w:rsidRPr="00674822">
              <w:rPr>
                <w:rFonts w:ascii="Times New Roman" w:hAnsi="Times New Roman" w:cs="Times New Roman"/>
                <w:lang w:val="sk-SK"/>
              </w:rPr>
              <w:t xml:space="preserve"> Predpokladá nelegislatívny materiál potrebu úpravy legislatívneho prostredia  procesu informatizácie?</w:t>
            </w:r>
          </w:p>
          <w:p w:rsidR="00BF6A6D" w:rsidRPr="00674822" w:rsidP="00DA7FF0">
            <w:pPr>
              <w:bidi w:val="0"/>
              <w:rPr>
                <w:rFonts w:ascii="Times New Roman" w:hAnsi="Times New Roman" w:cs="Times New Roman"/>
                <w:sz w:val="20"/>
                <w:szCs w:val="20"/>
                <w:lang w:val="sk-SK"/>
              </w:rPr>
            </w:pPr>
            <w:r w:rsidRPr="00674822">
              <w:rPr>
                <w:rFonts w:ascii="Times New Roman" w:hAnsi="Times New Roman" w:cs="Times New Roman"/>
                <w:i/>
                <w:iCs/>
                <w:sz w:val="20"/>
                <w:szCs w:val="20"/>
                <w:lang w:val="sk-SK"/>
              </w:rPr>
              <w:t>(Stručne popíšte navrhované legislatívne zmeny.)</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F6A6D" w:rsidRPr="00F64F12" w:rsidP="00DA7FF0">
            <w:pPr>
              <w:bidi w:val="0"/>
              <w:rPr>
                <w:rFonts w:ascii="Times New Roman" w:hAnsi="Times New Roman" w:cs="Times New Roman"/>
                <w:iCs/>
                <w:lang w:val="sk-SK"/>
              </w:rPr>
            </w:pPr>
            <w:r w:rsidR="00F64F12">
              <w:rPr>
                <w:rFonts w:ascii="Times New Roman" w:hAnsi="Times New Roman" w:cs="Times New Roman"/>
                <w:iCs/>
                <w:lang w:val="sk-SK"/>
              </w:rPr>
              <w:t>Nie.</w:t>
            </w:r>
          </w:p>
        </w:tc>
      </w:tr>
    </w:tbl>
    <w:p w:rsidR="00BF6A6D" w:rsidRPr="00674822">
      <w:pPr>
        <w:bidi w:val="0"/>
        <w:spacing w:after="0" w:line="240" w:lineRule="auto"/>
        <w:jc w:val="both"/>
        <w:rPr>
          <w:rFonts w:ascii="Times New Roman" w:hAnsi="Times New Roman" w:cs="Times New Roman"/>
          <w:b/>
          <w:bCs/>
          <w:sz w:val="24"/>
          <w:szCs w:val="24"/>
          <w:lang w:val="de-DE"/>
        </w:rPr>
      </w:pPr>
    </w:p>
    <w:sectPr>
      <w:pgSz w:w="12240" w:h="15840"/>
      <w:pgMar w:top="1417" w:right="1440" w:bottom="1417" w:left="1440" w:header="708" w:footer="708" w:gutter="0"/>
      <w:lnNumType w:distance="0"/>
      <w:cols w:space="708"/>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altName w:val="Times New Roman"/>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B8498B"/>
    <w:rsid w:val="000046B7"/>
    <w:rsid w:val="0011688A"/>
    <w:rsid w:val="001A69CD"/>
    <w:rsid w:val="002704AC"/>
    <w:rsid w:val="00364E43"/>
    <w:rsid w:val="004022DA"/>
    <w:rsid w:val="004A0465"/>
    <w:rsid w:val="004A4345"/>
    <w:rsid w:val="004B1378"/>
    <w:rsid w:val="00517E1D"/>
    <w:rsid w:val="00593F1E"/>
    <w:rsid w:val="00674822"/>
    <w:rsid w:val="00734797"/>
    <w:rsid w:val="0079575F"/>
    <w:rsid w:val="00797EC0"/>
    <w:rsid w:val="0086149A"/>
    <w:rsid w:val="008C74FD"/>
    <w:rsid w:val="00964AB1"/>
    <w:rsid w:val="00AE0E3C"/>
    <w:rsid w:val="00B82540"/>
    <w:rsid w:val="00B8498B"/>
    <w:rsid w:val="00B97075"/>
    <w:rsid w:val="00BB0705"/>
    <w:rsid w:val="00BF6A6D"/>
    <w:rsid w:val="00C55DE3"/>
    <w:rsid w:val="00C61BBE"/>
    <w:rsid w:val="00CF537A"/>
    <w:rsid w:val="00D52D07"/>
    <w:rsid w:val="00DA7FF0"/>
    <w:rsid w:val="00F64F1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val="0"/>
      <w:autoSpaceDE/>
      <w:autoSpaceDN/>
      <w:adjustRightInd w:val="0"/>
      <w:spacing w:after="200" w:line="276" w:lineRule="auto"/>
      <w:ind w:left="0" w:right="0"/>
      <w:jc w:val="left"/>
      <w:textAlignment w:val="auto"/>
    </w:pPr>
    <w:rPr>
      <w:rFonts w:ascii="Calibri" w:hAnsi="Calibri" w:cs="Calibri"/>
      <w:sz w:val="22"/>
      <w:szCs w:val="22"/>
      <w:rtl w:val="0"/>
      <w:cs w:val="0"/>
      <w:lang w:val="en-US" w:eastAsia="en-US" w:bidi="ar-SA"/>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CharChar">
    <w:name w:val="Char Char"/>
    <w:basedOn w:val="Normal"/>
    <w:uiPriority w:val="99"/>
    <w:rsid w:val="00797EC0"/>
    <w:pPr>
      <w:spacing w:after="0" w:line="360" w:lineRule="atLeast"/>
      <w:jc w:val="both"/>
      <w:textAlignment w:val="baseline"/>
    </w:pPr>
    <w:rPr>
      <w:rFonts w:ascii="Times New Roman" w:hAnsi="Times New Roman" w:cs="Times New Roman"/>
      <w:sz w:val="24"/>
      <w:szCs w:val="24"/>
      <w:lang w:val="pl-PL" w:eastAsia="pl-PL"/>
    </w:rPr>
  </w:style>
  <w:style w:type="paragraph" w:styleId="NormalWeb">
    <w:name w:val="Normal (Web)"/>
    <w:basedOn w:val="Normal"/>
    <w:uiPriority w:val="99"/>
    <w:semiHidden/>
    <w:unhideWhenUsed/>
    <w:rsid w:val="00797EC0"/>
    <w:pPr>
      <w:widowControl/>
      <w:adjustRightInd/>
      <w:spacing w:before="100" w:beforeAutospacing="1" w:after="100" w:afterAutospacing="1" w:line="240" w:lineRule="auto"/>
      <w:jc w:val="left"/>
    </w:pPr>
    <w:rPr>
      <w:rFonts w:ascii="Times New Roman" w:hAnsi="Times New Roman" w:cs="Times New Roman"/>
      <w:sz w:val="24"/>
      <w:szCs w:val="24"/>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50</TotalTime>
  <Pages>6</Pages>
  <Words>1008</Words>
  <Characters>5752</Characters>
  <Application>Microsoft Office Word</Application>
  <DocSecurity>0</DocSecurity>
  <Lines>0</Lines>
  <Paragraphs>0</Paragraphs>
  <ScaleCrop>false</ScaleCrop>
  <Company>MK SR</Company>
  <LinksUpToDate>false</LinksUpToDate>
  <CharactersWithSpaces>6747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dc:title>
  <dc:creator>slovakova1</dc:creator>
  <cp:lastModifiedBy>Slováková Nora</cp:lastModifiedBy>
  <cp:revision>21</cp:revision>
  <dcterms:created xsi:type="dcterms:W3CDTF">2011-10-04T12:01:00Z</dcterms:created>
  <dcterms:modified xsi:type="dcterms:W3CDTF">2013-01-18T07:40:00Z</dcterms:modified>
</cp:coreProperties>
</file>