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>z ... 2013,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 xml:space="preserve">ktorým sa </w:t>
      </w:r>
      <w:r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4A3E2C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4A3E2C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4A3E2C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>č. 100/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 xml:space="preserve">2010 Z. z., ústavného zákona č. 356/2011 Z. z. a ústavného zákona č. 232/2012 Z. z. sa </w:t>
      </w:r>
      <w:r w:rsidRPr="00F94E39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dopĺňa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 xml:space="preserve"> takto:</w:t>
      </w:r>
    </w:p>
    <w:p w:rsidR="00355DF8" w:rsidRPr="004A3E2C" w:rsidP="005D18E8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472D5D" w:rsidRPr="004A3E2C" w:rsidP="005D18E8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4A3E2C">
        <w:rPr>
          <w:rFonts w:ascii="Book Antiqua" w:hAnsi="Book Antiqua"/>
          <w:bCs/>
          <w:sz w:val="22"/>
          <w:szCs w:val="22"/>
        </w:rPr>
        <w:t xml:space="preserve">V </w:t>
      </w:r>
      <w:r w:rsidRPr="004A3E2C" w:rsidR="00273F9E">
        <w:rPr>
          <w:rFonts w:ascii="Book Antiqua" w:hAnsi="Book Antiqua"/>
          <w:bCs/>
          <w:sz w:val="22"/>
          <w:szCs w:val="22"/>
        </w:rPr>
        <w:t>č</w:t>
      </w:r>
      <w:r w:rsidRPr="004A3E2C" w:rsidR="00D33F44">
        <w:rPr>
          <w:rFonts w:ascii="Book Antiqua" w:hAnsi="Book Antiqua"/>
          <w:bCs/>
          <w:sz w:val="22"/>
          <w:szCs w:val="22"/>
        </w:rPr>
        <w:t>l. 77</w:t>
      </w:r>
      <w:r w:rsidRPr="004A3E2C">
        <w:rPr>
          <w:rFonts w:ascii="Book Antiqua" w:hAnsi="Book Antiqua"/>
          <w:bCs/>
          <w:sz w:val="22"/>
          <w:szCs w:val="22"/>
        </w:rPr>
        <w:t xml:space="preserve"> odsek</w:t>
      </w:r>
      <w:r w:rsidRPr="004A3E2C" w:rsidR="00452619">
        <w:rPr>
          <w:rFonts w:ascii="Book Antiqua" w:hAnsi="Book Antiqua"/>
          <w:bCs/>
          <w:sz w:val="22"/>
          <w:szCs w:val="22"/>
        </w:rPr>
        <w:t xml:space="preserve"> 1 </w:t>
      </w:r>
      <w:r w:rsidRPr="004A3E2C">
        <w:rPr>
          <w:rFonts w:ascii="Book Antiqua" w:hAnsi="Book Antiqua"/>
          <w:bCs/>
          <w:sz w:val="22"/>
          <w:szCs w:val="22"/>
        </w:rPr>
        <w:t>znie:</w:t>
      </w:r>
    </w:p>
    <w:p w:rsidR="00950795" w:rsidRPr="004A3E2C" w:rsidP="0011595B">
      <w:pPr>
        <w:bidi w:val="0"/>
        <w:spacing w:line="360" w:lineRule="auto"/>
        <w:ind w:left="708"/>
        <w:jc w:val="both"/>
        <w:rPr>
          <w:rFonts w:ascii="Book Antiqua" w:hAnsi="Book Antiqua"/>
          <w:bCs/>
          <w:sz w:val="22"/>
          <w:szCs w:val="22"/>
        </w:rPr>
      </w:pPr>
      <w:r w:rsidRPr="004A3E2C" w:rsidR="00472D5D">
        <w:rPr>
          <w:rFonts w:ascii="Book Antiqua" w:hAnsi="Book Antiqua"/>
          <w:bCs/>
          <w:sz w:val="22"/>
          <w:szCs w:val="22"/>
        </w:rPr>
        <w:t xml:space="preserve">„(1) </w:t>
      </w:r>
      <w:r w:rsidRPr="004A3E2C" w:rsidR="000D2E53">
        <w:rPr>
          <w:rFonts w:ascii="Book Antiqua" w:hAnsi="Book Antiqua"/>
          <w:bCs/>
          <w:sz w:val="22"/>
          <w:szCs w:val="22"/>
        </w:rPr>
        <w:t>Funkcia poslanca je nezlučiteľná s</w:t>
      </w:r>
      <w:r w:rsidR="00A62BA4">
        <w:rPr>
          <w:rFonts w:ascii="Book Antiqua" w:hAnsi="Book Antiqua"/>
          <w:bCs/>
          <w:sz w:val="22"/>
          <w:szCs w:val="22"/>
        </w:rPr>
        <w:t> </w:t>
      </w:r>
      <w:r w:rsidRPr="004A3E2C" w:rsidR="000D2E53">
        <w:rPr>
          <w:rFonts w:ascii="Book Antiqua" w:hAnsi="Book Antiqua"/>
          <w:bCs/>
          <w:sz w:val="22"/>
          <w:szCs w:val="22"/>
        </w:rPr>
        <w:t>funkciou</w:t>
      </w:r>
      <w:r w:rsidR="00A62BA4">
        <w:rPr>
          <w:rFonts w:ascii="Book Antiqua" w:hAnsi="Book Antiqua"/>
          <w:bCs/>
          <w:sz w:val="22"/>
          <w:szCs w:val="22"/>
        </w:rPr>
        <w:t xml:space="preserve"> </w:t>
      </w:r>
      <w:r w:rsidRPr="004A3E2C" w:rsidR="004A3E2C">
        <w:rPr>
          <w:rFonts w:ascii="Book Antiqua" w:hAnsi="Book Antiqua"/>
          <w:bCs/>
          <w:sz w:val="22"/>
          <w:szCs w:val="22"/>
        </w:rPr>
        <w:t>predsedu vyššieho územného celku, starostu obce, sudcu, prokurátora, verejného ochrancu práv, príslušníka ozbrojených síl a príslušníka ozbrojeného zboru.</w:t>
      </w:r>
      <w:r w:rsidRPr="004A3E2C" w:rsidR="007B5ED5">
        <w:rPr>
          <w:rFonts w:ascii="Book Antiqua" w:hAnsi="Book Antiqua"/>
          <w:bCs/>
          <w:sz w:val="22"/>
          <w:szCs w:val="22"/>
        </w:rPr>
        <w:t>“</w:t>
      </w:r>
      <w:r w:rsidRPr="004A3E2C" w:rsidR="004A3E2C">
        <w:rPr>
          <w:rFonts w:ascii="Book Antiqua" w:hAnsi="Book Antiqua"/>
          <w:bCs/>
          <w:sz w:val="22"/>
          <w:szCs w:val="22"/>
        </w:rPr>
        <w:t>.</w:t>
      </w:r>
    </w:p>
    <w:p w:rsidR="00D24847" w:rsidRPr="004A3E2C" w:rsidP="00D24847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D24847" w:rsidRPr="004A3E2C" w:rsidP="004A3E2C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4A3E2C">
        <w:rPr>
          <w:rFonts w:ascii="Book Antiqua" w:hAnsi="Book Antiqua"/>
          <w:bCs/>
          <w:sz w:val="22"/>
          <w:szCs w:val="22"/>
        </w:rPr>
        <w:t>Za čl</w:t>
      </w:r>
      <w:r w:rsidRPr="004A3E2C" w:rsidR="00474ADD">
        <w:rPr>
          <w:rFonts w:ascii="Book Antiqua" w:hAnsi="Book Antiqua"/>
          <w:bCs/>
          <w:sz w:val="22"/>
          <w:szCs w:val="22"/>
        </w:rPr>
        <w:t>. 154c sa vkladá čl. 154d, ktorý znie:</w:t>
      </w:r>
    </w:p>
    <w:p w:rsidR="00474ADD" w:rsidRPr="004A3E2C" w:rsidP="00474ADD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474ADD" w:rsidRPr="004A3E2C" w:rsidP="00474ADD">
      <w:pPr>
        <w:pStyle w:val="ListParagraph"/>
        <w:bidi w:val="0"/>
        <w:spacing w:line="360" w:lineRule="auto"/>
        <w:ind w:left="0"/>
        <w:jc w:val="center"/>
        <w:rPr>
          <w:rFonts w:ascii="Book Antiqua" w:hAnsi="Book Antiqua"/>
          <w:bCs/>
          <w:sz w:val="22"/>
          <w:szCs w:val="22"/>
        </w:rPr>
      </w:pPr>
      <w:r w:rsidRPr="004A3E2C">
        <w:rPr>
          <w:rFonts w:ascii="Book Antiqua" w:hAnsi="Book Antiqua"/>
          <w:bCs/>
          <w:sz w:val="22"/>
          <w:szCs w:val="22"/>
        </w:rPr>
        <w:t>„</w:t>
      </w:r>
      <w:r w:rsidRPr="00F94E39">
        <w:rPr>
          <w:rFonts w:ascii="Book Antiqua" w:hAnsi="Book Antiqua"/>
          <w:b/>
          <w:bCs/>
          <w:sz w:val="22"/>
          <w:szCs w:val="22"/>
        </w:rPr>
        <w:t>Čl. 154d</w:t>
      </w:r>
    </w:p>
    <w:p w:rsidR="00474ADD" w:rsidRPr="004A3E2C" w:rsidP="00317EA7">
      <w:pPr>
        <w:pStyle w:val="ListParagraph"/>
        <w:bidi w:val="0"/>
        <w:spacing w:line="360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4A3E2C" w:rsidR="005B0047">
        <w:rPr>
          <w:rFonts w:ascii="Book Antiqua" w:hAnsi="Book Antiqua"/>
          <w:bCs/>
          <w:sz w:val="22"/>
          <w:szCs w:val="22"/>
        </w:rPr>
        <w:t xml:space="preserve">Na poslanca vykonávajúceho funkciu </w:t>
      </w:r>
      <w:r w:rsidR="004A3E2C">
        <w:rPr>
          <w:rFonts w:ascii="Book Antiqua" w:hAnsi="Book Antiqua"/>
          <w:bCs/>
          <w:sz w:val="22"/>
          <w:szCs w:val="22"/>
        </w:rPr>
        <w:t xml:space="preserve">predsedu vyššieho územného celku a starostu obce </w:t>
      </w:r>
      <w:r w:rsidRPr="004A3E2C" w:rsidR="005B0047">
        <w:rPr>
          <w:rFonts w:ascii="Book Antiqua" w:hAnsi="Book Antiqua"/>
          <w:bCs/>
          <w:sz w:val="22"/>
          <w:szCs w:val="22"/>
        </w:rPr>
        <w:t>vo funkčnom období, ktoré začalo</w:t>
      </w:r>
      <w:r w:rsidRPr="004A3E2C" w:rsidR="004931CF">
        <w:rPr>
          <w:rFonts w:ascii="Book Antiqua" w:hAnsi="Book Antiqua"/>
          <w:bCs/>
          <w:sz w:val="22"/>
          <w:szCs w:val="22"/>
        </w:rPr>
        <w:t xml:space="preserve"> pre</w:t>
      </w:r>
      <w:r w:rsidR="002E4B21">
        <w:rPr>
          <w:rFonts w:ascii="Book Antiqua" w:hAnsi="Book Antiqua"/>
          <w:bCs/>
          <w:sz w:val="22"/>
          <w:szCs w:val="22"/>
        </w:rPr>
        <w:t>d</w:t>
      </w:r>
      <w:r w:rsidRPr="004A3E2C" w:rsidR="004931CF">
        <w:rPr>
          <w:rFonts w:ascii="Book Antiqua" w:hAnsi="Book Antiqua"/>
          <w:bCs/>
          <w:sz w:val="22"/>
          <w:szCs w:val="22"/>
        </w:rPr>
        <w:t xml:space="preserve"> účinnosťou tohto ústavného zákona</w:t>
      </w:r>
      <w:r w:rsidRPr="004A3E2C" w:rsidR="005B0047">
        <w:rPr>
          <w:rFonts w:ascii="Book Antiqua" w:hAnsi="Book Antiqua"/>
          <w:bCs/>
          <w:sz w:val="22"/>
          <w:szCs w:val="22"/>
        </w:rPr>
        <w:t>, sa vzťahuje</w:t>
      </w:r>
      <w:r w:rsidRPr="004A3E2C" w:rsidR="00317EA7">
        <w:rPr>
          <w:rFonts w:ascii="Book Antiqua" w:hAnsi="Book Antiqua"/>
          <w:bCs/>
          <w:sz w:val="22"/>
          <w:szCs w:val="22"/>
        </w:rPr>
        <w:t xml:space="preserve"> právna úprava podľa doterajších právnych predpisov.</w:t>
      </w:r>
      <w:r w:rsidRPr="004A3E2C">
        <w:rPr>
          <w:rFonts w:ascii="Book Antiqua" w:hAnsi="Book Antiqua"/>
          <w:bCs/>
          <w:sz w:val="22"/>
          <w:szCs w:val="22"/>
        </w:rPr>
        <w:t>“</w:t>
      </w:r>
      <w:r w:rsidR="00A37F27">
        <w:rPr>
          <w:rFonts w:ascii="Book Antiqua" w:hAnsi="Book Antiqua"/>
          <w:bCs/>
          <w:sz w:val="22"/>
          <w:szCs w:val="22"/>
        </w:rPr>
        <w:t>.</w:t>
      </w:r>
    </w:p>
    <w:p w:rsidR="00E21846" w:rsidRPr="004A3E2C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E21846" w:rsidRPr="004A3E2C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II</w:t>
      </w:r>
    </w:p>
    <w:p w:rsidR="00F444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Tento </w:t>
      </w:r>
      <w:r w:rsidRPr="004A3E2C" w:rsidR="00F444F8">
        <w:rPr>
          <w:rFonts w:ascii="Book Antiqua" w:hAnsi="Book Antiqua"/>
          <w:sz w:val="22"/>
          <w:szCs w:val="22"/>
        </w:rPr>
        <w:t xml:space="preserve">ústavný </w:t>
      </w:r>
      <w:r w:rsidR="007B2565">
        <w:rPr>
          <w:rFonts w:ascii="Book Antiqua" w:hAnsi="Book Antiqua"/>
          <w:sz w:val="22"/>
          <w:szCs w:val="22"/>
        </w:rPr>
        <w:t>zákon nadobúda účinnosť dňom vyhlásenia</w:t>
      </w:r>
      <w:r w:rsidRPr="004A3E2C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D2E53"/>
    <w:rsid w:val="000F4272"/>
    <w:rsid w:val="00113A5A"/>
    <w:rsid w:val="0011595B"/>
    <w:rsid w:val="00120770"/>
    <w:rsid w:val="001717B1"/>
    <w:rsid w:val="001E271E"/>
    <w:rsid w:val="002637A5"/>
    <w:rsid w:val="00273F9E"/>
    <w:rsid w:val="002835DF"/>
    <w:rsid w:val="002A10BC"/>
    <w:rsid w:val="002E4B21"/>
    <w:rsid w:val="00317EA7"/>
    <w:rsid w:val="00355DF8"/>
    <w:rsid w:val="00392D5C"/>
    <w:rsid w:val="003A3B7B"/>
    <w:rsid w:val="00450A28"/>
    <w:rsid w:val="00452619"/>
    <w:rsid w:val="00472D5D"/>
    <w:rsid w:val="00474ADD"/>
    <w:rsid w:val="004931CF"/>
    <w:rsid w:val="00496A32"/>
    <w:rsid w:val="00496EE0"/>
    <w:rsid w:val="004A3E2C"/>
    <w:rsid w:val="00511153"/>
    <w:rsid w:val="005B0047"/>
    <w:rsid w:val="005D18E8"/>
    <w:rsid w:val="00740E04"/>
    <w:rsid w:val="007A60C4"/>
    <w:rsid w:val="007B2565"/>
    <w:rsid w:val="007B5ED5"/>
    <w:rsid w:val="0094671B"/>
    <w:rsid w:val="00950795"/>
    <w:rsid w:val="009B3C7E"/>
    <w:rsid w:val="00A37F27"/>
    <w:rsid w:val="00A62BA4"/>
    <w:rsid w:val="00A90DCB"/>
    <w:rsid w:val="00B16FB6"/>
    <w:rsid w:val="00B32B22"/>
    <w:rsid w:val="00BA26F3"/>
    <w:rsid w:val="00C210C5"/>
    <w:rsid w:val="00C31F50"/>
    <w:rsid w:val="00D24847"/>
    <w:rsid w:val="00D33F44"/>
    <w:rsid w:val="00DB457A"/>
    <w:rsid w:val="00E21846"/>
    <w:rsid w:val="00F444F8"/>
    <w:rsid w:val="00F63AF2"/>
    <w:rsid w:val="00F94E39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1130</Characters>
  <Application>Microsoft Office Word</Application>
  <DocSecurity>0</DocSecurity>
  <Lines>0</Lines>
  <Paragraphs>0</Paragraphs>
  <ScaleCrop>false</ScaleCrop>
  <Company>Kancelaria NR SR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2013-01-10T16:21:00Z</cp:lastPrinted>
  <dcterms:created xsi:type="dcterms:W3CDTF">2013-04-26T18:10:00Z</dcterms:created>
  <dcterms:modified xsi:type="dcterms:W3CDTF">2013-04-26T18:10:00Z</dcterms:modified>
</cp:coreProperties>
</file>