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7BCD" w:rsidRPr="00CF22F0" w:rsidP="00867BCD">
      <w:pPr>
        <w:pBdr>
          <w:bottom w:val="single" w:sz="12" w:space="1" w:color="auto"/>
        </w:pBdr>
        <w:bidi w:val="0"/>
        <w:spacing w:before="120"/>
        <w:jc w:val="center"/>
        <w:rPr>
          <w:rFonts w:ascii="Book Antiqua" w:hAnsi="Book Antiqua" w:hint="default"/>
          <w:b/>
          <w:bCs/>
          <w:spacing w:val="20"/>
          <w:sz w:val="22"/>
        </w:rPr>
      </w:pPr>
      <w:r w:rsidRPr="00CF22F0">
        <w:rPr>
          <w:rFonts w:ascii="Book Antiqua" w:hAnsi="Book Antiqua" w:hint="default"/>
          <w:b/>
          <w:bCs/>
          <w:spacing w:val="20"/>
          <w:sz w:val="22"/>
        </w:rPr>
        <w:t>NÁ</w:t>
      </w:r>
      <w:r w:rsidRPr="00CF22F0">
        <w:rPr>
          <w:rFonts w:ascii="Book Antiqua" w:hAnsi="Book Antiqua" w:hint="default"/>
          <w:b/>
          <w:bCs/>
          <w:spacing w:val="20"/>
          <w:sz w:val="22"/>
        </w:rPr>
        <w:t>RODNÁ</w:t>
      </w:r>
      <w:r w:rsidRPr="00CF22F0">
        <w:rPr>
          <w:rFonts w:ascii="Book Antiqua" w:hAnsi="Book Antiqua" w:hint="default"/>
          <w:b/>
          <w:bCs/>
          <w:spacing w:val="20"/>
          <w:sz w:val="22"/>
        </w:rPr>
        <w:t xml:space="preserve">  RADA  SLOVENSKEJ  REPUBLIKY</w:t>
      </w:r>
    </w:p>
    <w:p w:rsidR="00867BCD" w:rsidRPr="00CF22F0" w:rsidP="00867BCD">
      <w:pPr>
        <w:bidi w:val="0"/>
        <w:spacing w:before="120"/>
        <w:jc w:val="center"/>
        <w:rPr>
          <w:rFonts w:ascii="Book Antiqua" w:hAnsi="Book Antiqua"/>
          <w:spacing w:val="20"/>
          <w:sz w:val="22"/>
        </w:rPr>
      </w:pPr>
    </w:p>
    <w:p w:rsidR="00867BCD" w:rsidRPr="00CF22F0" w:rsidP="00867BCD">
      <w:pPr>
        <w:bidi w:val="0"/>
        <w:spacing w:before="120"/>
        <w:jc w:val="center"/>
        <w:rPr>
          <w:rFonts w:ascii="Book Antiqua" w:hAnsi="Book Antiqua" w:hint="default"/>
          <w:spacing w:val="20"/>
          <w:sz w:val="22"/>
        </w:rPr>
      </w:pPr>
      <w:r w:rsidRPr="00CF22F0">
        <w:rPr>
          <w:rFonts w:ascii="Book Antiqua" w:hAnsi="Book Antiqua" w:hint="default"/>
          <w:spacing w:val="20"/>
          <w:sz w:val="22"/>
        </w:rPr>
        <w:t>VI. volebné</w:t>
      </w:r>
      <w:r w:rsidRPr="00CF22F0">
        <w:rPr>
          <w:rFonts w:ascii="Book Antiqua" w:hAnsi="Book Antiqua" w:hint="default"/>
          <w:spacing w:val="20"/>
          <w:sz w:val="22"/>
        </w:rPr>
        <w:t xml:space="preserve"> obdobie</w:t>
      </w:r>
    </w:p>
    <w:p w:rsidR="00867BCD" w:rsidRPr="00CF22F0" w:rsidP="00867BCD">
      <w:pPr>
        <w:bidi w:val="0"/>
        <w:spacing w:before="120"/>
        <w:jc w:val="center"/>
        <w:rPr>
          <w:rFonts w:ascii="Book Antiqua" w:hAnsi="Book Antiqua"/>
          <w:b/>
          <w:bCs/>
          <w:spacing w:val="30"/>
          <w:sz w:val="22"/>
        </w:rPr>
      </w:pPr>
    </w:p>
    <w:p w:rsidR="00867BCD" w:rsidRPr="00CF22F0" w:rsidP="00867BCD">
      <w:pPr>
        <w:bidi w:val="0"/>
        <w:spacing w:before="120"/>
        <w:jc w:val="center"/>
        <w:rPr>
          <w:rFonts w:ascii="Book Antiqua" w:hAnsi="Book Antiqua"/>
          <w:b/>
          <w:bCs/>
          <w:spacing w:val="30"/>
          <w:sz w:val="22"/>
        </w:rPr>
      </w:pPr>
    </w:p>
    <w:p w:rsidR="00867BCD" w:rsidRPr="00CF22F0" w:rsidP="00867BCD">
      <w:pPr>
        <w:bidi w:val="0"/>
        <w:spacing w:before="120"/>
        <w:jc w:val="center"/>
        <w:rPr>
          <w:rFonts w:ascii="Book Antiqua" w:hAnsi="Book Antiqua" w:hint="default"/>
          <w:b/>
          <w:bCs/>
          <w:spacing w:val="30"/>
          <w:sz w:val="22"/>
        </w:rPr>
      </w:pPr>
      <w:r w:rsidRPr="00CF22F0">
        <w:rPr>
          <w:rFonts w:ascii="Book Antiqua" w:hAnsi="Book Antiqua" w:hint="default"/>
          <w:b/>
          <w:bCs/>
          <w:spacing w:val="30"/>
          <w:sz w:val="22"/>
        </w:rPr>
        <w:t>Ná</w:t>
      </w:r>
      <w:r w:rsidRPr="00CF22F0">
        <w:rPr>
          <w:rFonts w:ascii="Book Antiqua" w:hAnsi="Book Antiqua" w:hint="default"/>
          <w:b/>
          <w:bCs/>
          <w:spacing w:val="30"/>
          <w:sz w:val="22"/>
        </w:rPr>
        <w:t xml:space="preserve">vrh </w:t>
      </w:r>
    </w:p>
    <w:p w:rsidR="00867BCD" w:rsidRPr="00CF22F0" w:rsidP="00867BCD">
      <w:pPr>
        <w:bidi w:val="0"/>
        <w:spacing w:before="120"/>
        <w:jc w:val="center"/>
        <w:rPr>
          <w:rFonts w:ascii="Book Antiqua" w:hAnsi="Book Antiqua" w:hint="default"/>
          <w:b/>
          <w:bCs/>
          <w:spacing w:val="30"/>
          <w:sz w:val="22"/>
        </w:rPr>
      </w:pPr>
    </w:p>
    <w:p w:rsidR="00875841" w:rsidRPr="00CF22F0" w:rsidP="00867BCD">
      <w:pPr>
        <w:bidi w:val="0"/>
        <w:spacing w:before="120" w:line="280" w:lineRule="atLeast"/>
        <w:jc w:val="center"/>
        <w:rPr>
          <w:rFonts w:ascii="Book Antiqua" w:hAnsi="Book Antiqua"/>
          <w:b/>
          <w:spacing w:val="30"/>
          <w:sz w:val="22"/>
        </w:rPr>
      </w:pPr>
      <w:r w:rsidRPr="00CF22F0" w:rsidR="00867BCD">
        <w:rPr>
          <w:rFonts w:ascii="Book Antiqua" w:hAnsi="Book Antiqua" w:hint="default"/>
          <w:b/>
          <w:bCs/>
          <w:caps/>
          <w:spacing w:val="30"/>
          <w:sz w:val="22"/>
        </w:rPr>
        <w:t>zá</w:t>
      </w:r>
      <w:r w:rsidRPr="00CF22F0" w:rsidR="00867BCD">
        <w:rPr>
          <w:rFonts w:ascii="Book Antiqua" w:hAnsi="Book Antiqua" w:hint="default"/>
          <w:b/>
          <w:bCs/>
          <w:caps/>
          <w:spacing w:val="30"/>
          <w:sz w:val="22"/>
        </w:rPr>
        <w:t>kon</w:t>
      </w:r>
    </w:p>
    <w:p w:rsidR="00875841" w:rsidRPr="00CF22F0" w:rsidP="00DE5D98">
      <w:pPr>
        <w:bidi w:val="0"/>
        <w:spacing w:before="120" w:line="280" w:lineRule="atLeast"/>
        <w:rPr>
          <w:rFonts w:ascii="Book Antiqua" w:hAnsi="Book Antiqua"/>
          <w:sz w:val="22"/>
        </w:rPr>
      </w:pPr>
    </w:p>
    <w:p w:rsidR="00875841" w:rsidRPr="00CF22F0" w:rsidP="00DE5D98">
      <w:pPr>
        <w:bidi w:val="0"/>
        <w:spacing w:before="120" w:line="280" w:lineRule="atLeast"/>
        <w:jc w:val="center"/>
        <w:rPr>
          <w:rFonts w:ascii="Book Antiqua" w:hAnsi="Book Antiqua"/>
          <w:sz w:val="22"/>
        </w:rPr>
      </w:pPr>
      <w:r w:rsidRPr="00CF22F0" w:rsidR="009F053A">
        <w:rPr>
          <w:rFonts w:ascii="Book Antiqua" w:hAnsi="Book Antiqua"/>
          <w:sz w:val="22"/>
        </w:rPr>
        <w:t>z ........................2013</w:t>
      </w:r>
      <w:r w:rsidRPr="00CF22F0">
        <w:rPr>
          <w:rFonts w:ascii="Book Antiqua" w:hAnsi="Book Antiqua"/>
          <w:sz w:val="22"/>
        </w:rPr>
        <w:t>,</w:t>
      </w:r>
    </w:p>
    <w:p w:rsidR="00875841" w:rsidRPr="00CF22F0" w:rsidP="00DE5D98">
      <w:pPr>
        <w:bidi w:val="0"/>
        <w:spacing w:before="120" w:line="280" w:lineRule="atLeast"/>
        <w:rPr>
          <w:rFonts w:ascii="Book Antiqua" w:hAnsi="Book Antiqua"/>
          <w:sz w:val="22"/>
        </w:rPr>
      </w:pPr>
    </w:p>
    <w:p w:rsidR="00875841" w:rsidRPr="00CF22F0" w:rsidP="00AA11E1">
      <w:pPr>
        <w:bidi w:val="0"/>
        <w:spacing w:before="120" w:line="280" w:lineRule="atLeast"/>
        <w:jc w:val="center"/>
        <w:rPr>
          <w:rFonts w:ascii="Book Antiqua" w:hAnsi="Book Antiqua"/>
          <w:b/>
          <w:sz w:val="22"/>
        </w:rPr>
      </w:pPr>
      <w:r w:rsidRPr="00CF22F0" w:rsidR="00E7729E">
        <w:rPr>
          <w:rFonts w:ascii="Book Antiqua" w:hAnsi="Book Antiqua" w:hint="default"/>
          <w:b/>
          <w:sz w:val="22"/>
        </w:rPr>
        <w:t>ktorý</w:t>
      </w:r>
      <w:r w:rsidRPr="00CF22F0" w:rsidR="00E7729E">
        <w:rPr>
          <w:rFonts w:ascii="Book Antiqua" w:hAnsi="Book Antiqua" w:hint="default"/>
          <w:b/>
          <w:sz w:val="22"/>
        </w:rPr>
        <w:t>m sa mení</w:t>
      </w:r>
      <w:r w:rsidRPr="00CF22F0" w:rsidR="00E7729E">
        <w:rPr>
          <w:rFonts w:ascii="Book Antiqua" w:hAnsi="Book Antiqua" w:hint="default"/>
          <w:b/>
          <w:sz w:val="22"/>
        </w:rPr>
        <w:t xml:space="preserve"> a dopĺň</w:t>
      </w:r>
      <w:r w:rsidRPr="00CF22F0" w:rsidR="00E7729E">
        <w:rPr>
          <w:rFonts w:ascii="Book Antiqua" w:hAnsi="Book Antiqua" w:hint="default"/>
          <w:b/>
          <w:sz w:val="22"/>
        </w:rPr>
        <w:t>a zá</w:t>
      </w:r>
      <w:r w:rsidRPr="00CF22F0" w:rsidR="00E7729E">
        <w:rPr>
          <w:rFonts w:ascii="Book Antiqua" w:hAnsi="Book Antiqua" w:hint="default"/>
          <w:b/>
          <w:sz w:val="22"/>
        </w:rPr>
        <w:t>kon Slovenskej ná</w:t>
      </w:r>
      <w:r w:rsidRPr="00CF22F0" w:rsidR="00E7729E">
        <w:rPr>
          <w:rFonts w:ascii="Book Antiqua" w:hAnsi="Book Antiqua" w:hint="default"/>
          <w:b/>
          <w:sz w:val="22"/>
        </w:rPr>
        <w:t>rodnej rady č</w:t>
      </w:r>
      <w:r w:rsidRPr="00CF22F0" w:rsidR="00E7729E">
        <w:rPr>
          <w:rFonts w:ascii="Book Antiqua" w:hAnsi="Book Antiqua" w:hint="default"/>
          <w:b/>
          <w:sz w:val="22"/>
        </w:rPr>
        <w:t>. 369/1990 Zb. o obecnom zriadení</w:t>
      </w:r>
      <w:r w:rsidRPr="00CF22F0" w:rsidR="00E7729E">
        <w:rPr>
          <w:rFonts w:ascii="Book Antiqua" w:hAnsi="Book Antiqua" w:hint="default"/>
          <w:b/>
          <w:sz w:val="22"/>
        </w:rPr>
        <w:t xml:space="preserve"> v znení</w:t>
      </w:r>
      <w:r w:rsidRPr="00CF22F0" w:rsidR="00E7729E">
        <w:rPr>
          <w:rFonts w:ascii="Book Antiqua" w:hAnsi="Book Antiqua" w:hint="default"/>
          <w:b/>
          <w:sz w:val="22"/>
        </w:rPr>
        <w:t xml:space="preserve"> neskorší</w:t>
      </w:r>
      <w:r w:rsidRPr="00CF22F0" w:rsidR="00E7729E">
        <w:rPr>
          <w:rFonts w:ascii="Book Antiqua" w:hAnsi="Book Antiqua" w:hint="default"/>
          <w:b/>
          <w:sz w:val="22"/>
        </w:rPr>
        <w:t>ch predpis</w:t>
      </w:r>
      <w:r w:rsidRPr="00CF22F0" w:rsidR="007B625D">
        <w:rPr>
          <w:rFonts w:ascii="Book Antiqua" w:hAnsi="Book Antiqua"/>
          <w:b/>
          <w:sz w:val="22"/>
        </w:rPr>
        <w:t>ov</w:t>
      </w:r>
    </w:p>
    <w:p w:rsidR="00F75B39" w:rsidRPr="00CF22F0" w:rsidP="00DE5D98">
      <w:pPr>
        <w:bidi w:val="0"/>
        <w:spacing w:before="120" w:line="280" w:lineRule="atLeast"/>
        <w:jc w:val="center"/>
        <w:rPr>
          <w:rFonts w:ascii="Book Antiqua" w:hAnsi="Book Antiqua"/>
          <w:sz w:val="22"/>
        </w:rPr>
      </w:pPr>
    </w:p>
    <w:p w:rsidR="00875841" w:rsidRPr="00CF22F0" w:rsidP="00DE5D98">
      <w:pPr>
        <w:bidi w:val="0"/>
        <w:spacing w:before="120" w:line="280" w:lineRule="atLeast"/>
        <w:rPr>
          <w:rFonts w:ascii="Book Antiqua" w:hAnsi="Book Antiqua" w:hint="default"/>
          <w:sz w:val="22"/>
        </w:rPr>
      </w:pPr>
      <w:r w:rsidRPr="00CF22F0">
        <w:rPr>
          <w:rFonts w:ascii="Book Antiqua" w:hAnsi="Book Antiqua" w:hint="default"/>
          <w:sz w:val="22"/>
        </w:rPr>
        <w:t>Ná</w:t>
      </w:r>
      <w:r w:rsidRPr="00CF22F0">
        <w:rPr>
          <w:rFonts w:ascii="Book Antiqua" w:hAnsi="Book Antiqua" w:hint="default"/>
          <w:sz w:val="22"/>
        </w:rPr>
        <w:t>rodná</w:t>
      </w:r>
      <w:r w:rsidRPr="00CF22F0">
        <w:rPr>
          <w:rFonts w:ascii="Book Antiqua" w:hAnsi="Book Antiqua" w:hint="default"/>
          <w:sz w:val="22"/>
        </w:rPr>
        <w:t xml:space="preserve"> rada Slovenskej repu</w:t>
      </w:r>
      <w:r w:rsidRPr="00CF22F0">
        <w:rPr>
          <w:rFonts w:ascii="Book Antiqua" w:hAnsi="Book Antiqua" w:hint="default"/>
          <w:sz w:val="22"/>
        </w:rPr>
        <w:t>bliky sa uzniesla na tomto zá</w:t>
      </w:r>
      <w:r w:rsidRPr="00CF22F0">
        <w:rPr>
          <w:rFonts w:ascii="Book Antiqua" w:hAnsi="Book Antiqua" w:hint="default"/>
          <w:sz w:val="22"/>
        </w:rPr>
        <w:t>kone:</w:t>
      </w:r>
    </w:p>
    <w:p w:rsidR="00875841" w:rsidRPr="00CF22F0" w:rsidP="00DE5D98">
      <w:pPr>
        <w:bidi w:val="0"/>
        <w:spacing w:before="120" w:line="280" w:lineRule="atLeast"/>
        <w:rPr>
          <w:rFonts w:ascii="Book Antiqua" w:hAnsi="Book Antiqua" w:hint="default"/>
          <w:sz w:val="22"/>
        </w:rPr>
      </w:pPr>
    </w:p>
    <w:p w:rsidR="00875841" w:rsidRPr="00CF22F0" w:rsidP="00DE5D98">
      <w:pPr>
        <w:tabs>
          <w:tab w:val="left" w:pos="1800"/>
        </w:tabs>
        <w:bidi w:val="0"/>
        <w:spacing w:before="120" w:line="280" w:lineRule="atLeast"/>
        <w:jc w:val="center"/>
        <w:rPr>
          <w:rFonts w:ascii="Book Antiqua" w:hAnsi="Book Antiqua" w:hint="default"/>
          <w:b/>
          <w:sz w:val="22"/>
        </w:rPr>
      </w:pPr>
      <w:r w:rsidRPr="00CF22F0">
        <w:rPr>
          <w:rFonts w:ascii="Book Antiqua" w:hAnsi="Book Antiqua" w:hint="default"/>
          <w:b/>
          <w:sz w:val="22"/>
        </w:rPr>
        <w:t>Č</w:t>
      </w:r>
      <w:r w:rsidRPr="00CF22F0">
        <w:rPr>
          <w:rFonts w:ascii="Book Antiqua" w:hAnsi="Book Antiqua" w:hint="default"/>
          <w:b/>
          <w:sz w:val="22"/>
        </w:rPr>
        <w:t>l. I</w:t>
      </w:r>
    </w:p>
    <w:p w:rsidR="00875841" w:rsidRPr="00CF22F0" w:rsidP="00DE5D98">
      <w:pPr>
        <w:tabs>
          <w:tab w:val="left" w:pos="1800"/>
        </w:tabs>
        <w:bidi w:val="0"/>
        <w:spacing w:before="120" w:line="280" w:lineRule="atLeast"/>
        <w:rPr>
          <w:rFonts w:ascii="Book Antiqua" w:hAnsi="Book Antiqua"/>
          <w:sz w:val="22"/>
        </w:rPr>
      </w:pPr>
    </w:p>
    <w:p w:rsidR="00D86255" w:rsidRPr="00CF22F0" w:rsidP="00D86255">
      <w:pPr>
        <w:pStyle w:val="BodyText"/>
        <w:bidi w:val="0"/>
        <w:ind w:firstLine="708"/>
        <w:rPr>
          <w:rFonts w:ascii="Book Antiqua" w:hAnsi="Book Antiqua"/>
          <w:sz w:val="22"/>
          <w:szCs w:val="22"/>
          <w:lang w:val="sk-SK"/>
        </w:rPr>
      </w:pPr>
      <w:r w:rsidRPr="00CF22F0" w:rsidR="007D1FAD">
        <w:rPr>
          <w:rFonts w:ascii="Book Antiqua" w:hAnsi="Book Antiqua"/>
          <w:sz w:val="22"/>
          <w:szCs w:val="22"/>
        </w:rPr>
        <w:t xml:space="preserve">Zákon Slovenskej národnej rady č. 369/1990 Zb. o obecnom zriadení v znení zákona Slovenskej národnej rady č. 401/1990 Zb., zákona Slovenskej národnej rady č. 96/1991 Zb., zákona Slovenskej národnej rady č. 130/1991 Zb., zákona Slovenskej národnej rady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 xml:space="preserve">č. 421/1991 Zb., zákona Slovenskej národnej rady č. 500/1991 Zb., zákona Slovenskej národnej rady č. 564/1991 Zb., zákona Slovenskej národnej rady č. 11/1992 Zb., zákona Slovenskej národnej rady č. 295/1992 Zb., zákona Národnej rady Slovenskej republiky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 xml:space="preserve">č. 43/1993 Z. z., zákona Národnej rady Slovenskej republiky č. 252/1994 Z. z., zákona Národnej rady Slovenskej republiky č. 287/1994 Z. z., zákona č. 229/1997 Z. z., zákona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 xml:space="preserve">č. 225/1998 Z. z., zákona č. 233/1998 Z. z., nálezu Ústavného súdu Slovenskej republiky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 xml:space="preserve">č. 185/1999 Z. z., zákona č. 389/1999 Z. z., zákona č. 6/2001 Z. z., zákona č. 453/2001 Z. z., zákona č. 205/2002 Z. z., zákona č. 515/2003 Z. z., zákona č. 369/2004 Z. z., zákona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 xml:space="preserve">č. 535/2004 Z. z., zákona č. 583/2004 Z. z., zákona č. 615/2004 Z. z., zákona č. 757/2004 Z. z., zákona č. 171/2005 Z. z., zákona č. 628/2005 Z. z., zákona č. 267/2006 Z. z., uznesenia Ústavného súdu Slovenskej republiky č. 616/2006 Z. z., zákona č. 330/2007 Z. z., zákona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 xml:space="preserve">č. 334/2007 Z. z., zákona č. 335/2007 Z. z., nálezu Ústavného súdu Slovenskej republiky </w:t>
      </w:r>
      <w:r w:rsidRPr="00CF22F0" w:rsidR="007B625D">
        <w:rPr>
          <w:rFonts w:ascii="Book Antiqua" w:hAnsi="Book Antiqua"/>
          <w:sz w:val="22"/>
          <w:szCs w:val="22"/>
          <w:lang w:val="sk-SK"/>
        </w:rPr>
        <w:t xml:space="preserve">       </w:t>
      </w:r>
      <w:r w:rsidRPr="00CF22F0" w:rsidR="007D1FAD">
        <w:rPr>
          <w:rFonts w:ascii="Book Antiqua" w:hAnsi="Book Antiqua"/>
          <w:sz w:val="22"/>
          <w:szCs w:val="22"/>
        </w:rPr>
        <w:t>č. 205/2008 Z. z., zákona č. 384/2008 Z. z., zákona č. 445/2008 Z. z., nálezu Ústavného súdu Slovenskej republiky č. 511/2009 Z. z., zákona č. 102/2010 Z. z., zákona č. 204/2011 Z. z. a zákona č. 361/2012 Z. z. sa mení a dopĺňa takto:</w:t>
      </w:r>
      <w:r w:rsidRPr="00CF22F0" w:rsidR="00693A91">
        <w:rPr>
          <w:rFonts w:ascii="Book Antiqua" w:hAnsi="Book Antiqua"/>
          <w:sz w:val="22"/>
          <w:szCs w:val="22"/>
        </w:rPr>
        <w:t>:</w:t>
      </w:r>
    </w:p>
    <w:p w:rsidR="006328E1" w:rsidRPr="00CF22F0" w:rsidP="006328E1">
      <w:pPr>
        <w:pStyle w:val="BodyText"/>
        <w:bidi w:val="0"/>
        <w:rPr>
          <w:rFonts w:ascii="Book Antiqua" w:hAnsi="Book Antiqua"/>
          <w:sz w:val="22"/>
          <w:szCs w:val="22"/>
          <w:lang w:val="sk-SK"/>
        </w:rPr>
      </w:pPr>
    </w:p>
    <w:p w:rsidR="004A4A2D" w:rsidRPr="00CF22F0" w:rsidP="0047565C">
      <w:pPr>
        <w:pStyle w:val="BodyText"/>
        <w:numPr>
          <w:numId w:val="11"/>
        </w:numPr>
        <w:bidi w:val="0"/>
        <w:rPr>
          <w:rFonts w:ascii="Book Antiqua" w:hAnsi="Book Antiqua"/>
          <w:sz w:val="22"/>
          <w:szCs w:val="22"/>
          <w:lang w:val="sk-SK"/>
        </w:rPr>
      </w:pPr>
      <w:r w:rsidRPr="00CF22F0" w:rsidR="00256C88">
        <w:rPr>
          <w:rFonts w:ascii="Book Antiqua" w:hAnsi="Book Antiqua"/>
          <w:sz w:val="22"/>
          <w:szCs w:val="22"/>
          <w:lang w:val="sk-SK"/>
        </w:rPr>
        <w:t>V § 6 ods. 7 sa na konci pripájajú tieto vety:  „Fyzické osoby a právnické osoby, ktoré majú trvalý pobyt alebo sídlo na území obce, môžu zaslať spoločnú pripomienku. Za spoločnú pripomienku sa považuje každá obsahovo totožná pripomienka zaslaná samostatne, ak je jej súčasťou splnomocnenie tej istej fyzickej osoby alebo štatutárneho zástupcu tej istej právnickej osoby na zastupovanie pripomienkujúcich osôb. Ak spoločnú pripomienku zaslalo aspoň 10 fyzických osôb alebo 2 právnické osoby, udelí obecné zastupiteľstvo splnomocnenému zástupcovi slovo na rokovaní zastupiteľstva v tej časti rokovania, ktorého sa pripomienka týka. Časový limit na vystúpenie splnomocneného zástupcu je najmenej desať minút.“.</w:t>
      </w:r>
    </w:p>
    <w:p w:rsidR="00036E24" w:rsidRPr="00CF22F0" w:rsidP="004A4A2D">
      <w:pPr>
        <w:pStyle w:val="BodyText"/>
        <w:bidi w:val="0"/>
        <w:ind w:left="720"/>
        <w:rPr>
          <w:rFonts w:ascii="Book Antiqua" w:hAnsi="Book Antiqua"/>
          <w:sz w:val="22"/>
          <w:szCs w:val="22"/>
          <w:lang w:val="sk-SK"/>
        </w:rPr>
      </w:pPr>
    </w:p>
    <w:p w:rsidR="00036E24" w:rsidRPr="00CF22F0" w:rsidP="00036E24">
      <w:pPr>
        <w:numPr>
          <w:numId w:val="11"/>
        </w:numPr>
        <w:bidi w:val="0"/>
        <w:rPr>
          <w:rFonts w:ascii="Book Antiqua" w:hAnsi="Book Antiqua"/>
          <w:sz w:val="22"/>
        </w:rPr>
      </w:pPr>
      <w:r w:rsidRPr="00CF22F0">
        <w:rPr>
          <w:rFonts w:ascii="Book Antiqua" w:hAnsi="Book Antiqua"/>
          <w:sz w:val="22"/>
        </w:rPr>
        <w:t>V § 6 ods. 8 prvej vete sa na konci pripájajú tieto slová „v jeho úplnom znení“.</w:t>
      </w:r>
    </w:p>
    <w:p w:rsidR="00256C88" w:rsidRPr="00CF22F0" w:rsidP="0047565C">
      <w:pPr>
        <w:pStyle w:val="BodyText"/>
        <w:bidi w:val="0"/>
        <w:rPr>
          <w:rFonts w:ascii="Book Antiqua" w:hAnsi="Book Antiqua"/>
          <w:sz w:val="22"/>
          <w:szCs w:val="22"/>
          <w:lang w:val="sk-SK"/>
        </w:rPr>
      </w:pPr>
    </w:p>
    <w:p w:rsidR="002D7AFB" w:rsidRPr="00CF22F0" w:rsidP="0047565C">
      <w:pPr>
        <w:pStyle w:val="BodyText"/>
        <w:numPr>
          <w:numId w:val="11"/>
        </w:numPr>
        <w:bidi w:val="0"/>
        <w:rPr>
          <w:rFonts w:ascii="Book Antiqua" w:hAnsi="Book Antiqua"/>
          <w:sz w:val="22"/>
          <w:szCs w:val="22"/>
          <w:lang w:val="sk-SK"/>
        </w:rPr>
      </w:pPr>
      <w:r w:rsidRPr="00CF22F0" w:rsidR="00256C88">
        <w:rPr>
          <w:rFonts w:ascii="Book Antiqua" w:hAnsi="Book Antiqua"/>
          <w:sz w:val="22"/>
          <w:szCs w:val="22"/>
          <w:lang w:val="sk-SK"/>
        </w:rPr>
        <w:t xml:space="preserve"> V </w:t>
      </w:r>
      <w:r w:rsidRPr="00CF22F0" w:rsidR="00C50529">
        <w:rPr>
          <w:rFonts w:ascii="Book Antiqua" w:hAnsi="Book Antiqua"/>
          <w:sz w:val="22"/>
          <w:szCs w:val="22"/>
          <w:lang w:val="sk-SK"/>
        </w:rPr>
        <w:t>§ 6 odsek</w:t>
      </w:r>
      <w:r w:rsidRPr="00CF22F0">
        <w:rPr>
          <w:rFonts w:ascii="Book Antiqua" w:hAnsi="Book Antiqua"/>
          <w:sz w:val="22"/>
          <w:szCs w:val="22"/>
          <w:lang w:val="sk-SK"/>
        </w:rPr>
        <w:t xml:space="preserve"> 10 znie</w:t>
      </w:r>
      <w:r w:rsidRPr="00CF22F0" w:rsidR="00C50529">
        <w:rPr>
          <w:rFonts w:ascii="Book Antiqua" w:hAnsi="Book Antiqua"/>
          <w:sz w:val="22"/>
          <w:szCs w:val="22"/>
          <w:lang w:val="sk-SK"/>
        </w:rPr>
        <w:t>:</w:t>
      </w:r>
    </w:p>
    <w:p w:rsidR="002D7AFB" w:rsidRPr="00CF22F0" w:rsidP="002D7AFB">
      <w:pPr>
        <w:pStyle w:val="ListParagraph"/>
        <w:bidi w:val="0"/>
        <w:rPr>
          <w:rFonts w:ascii="Book Antiqua" w:hAnsi="Book Antiqua"/>
          <w:sz w:val="22"/>
        </w:rPr>
      </w:pPr>
    </w:p>
    <w:p w:rsidR="00036E24" w:rsidRPr="00CF22F0" w:rsidP="00C50529">
      <w:pPr>
        <w:pStyle w:val="BodyText"/>
        <w:bidi w:val="0"/>
        <w:ind w:left="720"/>
        <w:rPr>
          <w:rFonts w:ascii="Book Antiqua" w:hAnsi="Book Antiqua"/>
          <w:sz w:val="22"/>
          <w:szCs w:val="22"/>
          <w:lang w:val="sk-SK"/>
        </w:rPr>
      </w:pPr>
      <w:r w:rsidRPr="00CF22F0" w:rsidR="002D7AFB">
        <w:rPr>
          <w:rFonts w:ascii="Book Antiqua" w:hAnsi="Book Antiqua"/>
          <w:sz w:val="22"/>
          <w:szCs w:val="22"/>
          <w:lang w:val="sk-SK"/>
        </w:rPr>
        <w:t xml:space="preserve">„(10) </w:t>
      </w:r>
      <w:r w:rsidRPr="00CF22F0" w:rsidR="007528D4">
        <w:rPr>
          <w:rFonts w:ascii="Book Antiqua" w:hAnsi="Book Antiqua"/>
          <w:sz w:val="22"/>
          <w:szCs w:val="22"/>
          <w:lang w:val="sk-SK"/>
        </w:rPr>
        <w:t>Nariadenia musia byť každému prístupné</w:t>
      </w:r>
      <w:r w:rsidRPr="00CF22F0" w:rsidR="002D7AFB">
        <w:rPr>
          <w:rFonts w:ascii="Book Antiqua" w:hAnsi="Book Antiqua"/>
          <w:sz w:val="22"/>
          <w:szCs w:val="22"/>
          <w:lang w:val="sk-SK"/>
        </w:rPr>
        <w:t xml:space="preserve"> v zbierke nariadení, ktorú vedie obec, ktorá nariadenie vydala. </w:t>
      </w:r>
      <w:r w:rsidRPr="00CF22F0" w:rsidR="000E276A">
        <w:rPr>
          <w:rFonts w:ascii="Book Antiqua" w:hAnsi="Book Antiqua"/>
          <w:sz w:val="22"/>
          <w:szCs w:val="22"/>
          <w:lang w:val="sk-SK"/>
        </w:rPr>
        <w:t>Obec zabezpečí, aby každý záujemca o zbierku nariadení mal možno</w:t>
      </w:r>
      <w:r w:rsidRPr="00CF22F0" w:rsidR="00CF22F0">
        <w:rPr>
          <w:rFonts w:ascii="Book Antiqua" w:hAnsi="Book Antiqua"/>
          <w:sz w:val="22"/>
          <w:szCs w:val="22"/>
          <w:lang w:val="sk-SK"/>
        </w:rPr>
        <w:t>sť si ju obstarať</w:t>
      </w:r>
      <w:r w:rsidRPr="00CF22F0" w:rsidR="000E276A">
        <w:rPr>
          <w:rFonts w:ascii="Book Antiqua" w:hAnsi="Book Antiqua"/>
          <w:sz w:val="22"/>
          <w:szCs w:val="22"/>
          <w:lang w:val="sk-SK"/>
        </w:rPr>
        <w:t xml:space="preserve">. </w:t>
      </w:r>
      <w:r w:rsidRPr="00CF22F0" w:rsidR="00E54A2D">
        <w:rPr>
          <w:rFonts w:ascii="Book Antiqua" w:hAnsi="Book Antiqua"/>
          <w:sz w:val="22"/>
          <w:szCs w:val="22"/>
          <w:lang w:val="sk-SK"/>
        </w:rPr>
        <w:t>Podrobnosti o</w:t>
      </w:r>
      <w:r w:rsidRPr="00CF22F0" w:rsidR="007528D4">
        <w:rPr>
          <w:rFonts w:ascii="Book Antiqua" w:hAnsi="Book Antiqua"/>
          <w:sz w:val="22"/>
          <w:szCs w:val="22"/>
          <w:lang w:val="sk-SK"/>
        </w:rPr>
        <w:t> </w:t>
      </w:r>
      <w:r w:rsidRPr="00CF22F0" w:rsidR="00E54A2D">
        <w:rPr>
          <w:rFonts w:ascii="Book Antiqua" w:hAnsi="Book Antiqua"/>
          <w:sz w:val="22"/>
          <w:szCs w:val="22"/>
          <w:lang w:val="sk-SK"/>
        </w:rPr>
        <w:t>f</w:t>
      </w:r>
      <w:r w:rsidRPr="00CF22F0" w:rsidR="007528D4">
        <w:rPr>
          <w:rFonts w:ascii="Book Antiqua" w:hAnsi="Book Antiqua"/>
          <w:sz w:val="22"/>
          <w:szCs w:val="22"/>
          <w:lang w:val="sk-SK"/>
        </w:rPr>
        <w:t>ormálnej podobe a požiadavkách na obsah zbierky nariadení</w:t>
      </w:r>
      <w:r w:rsidRPr="00CF22F0" w:rsidR="00E54A2D">
        <w:rPr>
          <w:rFonts w:ascii="Book Antiqua" w:hAnsi="Book Antiqua"/>
          <w:sz w:val="22"/>
          <w:szCs w:val="22"/>
          <w:lang w:val="sk-SK"/>
        </w:rPr>
        <w:t xml:space="preserve"> ustanoví všeobecne záväzný právny predpis,</w:t>
      </w:r>
      <w:r w:rsidRPr="00CF22F0" w:rsidR="00B93590">
        <w:rPr>
          <w:rFonts w:ascii="Book Antiqua" w:hAnsi="Book Antiqua"/>
          <w:sz w:val="22"/>
          <w:szCs w:val="22"/>
          <w:lang w:val="sk-SK"/>
        </w:rPr>
        <w:t xml:space="preserve"> ktorý vydá m</w:t>
      </w:r>
      <w:r w:rsidRPr="00CF22F0" w:rsidR="00EE03D5">
        <w:rPr>
          <w:rFonts w:ascii="Book Antiqua" w:hAnsi="Book Antiqua"/>
          <w:sz w:val="22"/>
          <w:szCs w:val="22"/>
          <w:lang w:val="sk-SK"/>
        </w:rPr>
        <w:t>inisterstvo</w:t>
      </w:r>
      <w:r w:rsidRPr="00CF22F0" w:rsidR="00C50529">
        <w:rPr>
          <w:rFonts w:ascii="Book Antiqua" w:hAnsi="Book Antiqua"/>
          <w:sz w:val="22"/>
          <w:szCs w:val="22"/>
          <w:lang w:val="sk-SK"/>
        </w:rPr>
        <w:t>.</w:t>
      </w:r>
      <w:r w:rsidRPr="00CF22F0">
        <w:rPr>
          <w:rFonts w:ascii="Book Antiqua" w:hAnsi="Book Antiqua"/>
          <w:sz w:val="22"/>
          <w:szCs w:val="22"/>
          <w:lang w:val="sk-SK"/>
        </w:rPr>
        <w:t>“</w:t>
      </w:r>
      <w:r w:rsidRPr="00CF22F0" w:rsidR="00C50529">
        <w:rPr>
          <w:rFonts w:ascii="Book Antiqua" w:hAnsi="Book Antiqua"/>
          <w:sz w:val="22"/>
          <w:szCs w:val="22"/>
          <w:lang w:val="sk-SK"/>
        </w:rPr>
        <w:t>.</w:t>
      </w:r>
    </w:p>
    <w:p w:rsidR="00A8624D" w:rsidRPr="00CF22F0" w:rsidP="00C50529">
      <w:pPr>
        <w:pStyle w:val="BodyText"/>
        <w:bidi w:val="0"/>
        <w:rPr>
          <w:rFonts w:ascii="Book Antiqua" w:hAnsi="Book Antiqua"/>
          <w:sz w:val="22"/>
          <w:szCs w:val="22"/>
          <w:lang w:val="sk-SK"/>
        </w:rPr>
      </w:pPr>
    </w:p>
    <w:p w:rsidR="00535327" w:rsidRPr="00CF22F0" w:rsidP="00535327">
      <w:pPr>
        <w:pStyle w:val="BodyText"/>
        <w:numPr>
          <w:numId w:val="11"/>
        </w:numPr>
        <w:bidi w:val="0"/>
        <w:rPr>
          <w:rFonts w:ascii="Book Antiqua" w:hAnsi="Book Antiqua"/>
          <w:sz w:val="22"/>
          <w:szCs w:val="22"/>
          <w:lang w:val="sk-SK"/>
        </w:rPr>
      </w:pPr>
      <w:r w:rsidRPr="00CF22F0">
        <w:rPr>
          <w:rFonts w:ascii="Book Antiqua" w:hAnsi="Book Antiqua"/>
          <w:sz w:val="22"/>
          <w:szCs w:val="22"/>
          <w:lang w:val="sk-SK"/>
        </w:rPr>
        <w:t>§ 6 sa dopĺňa odsekmi 11 a 12, ktoré znejú:</w:t>
      </w:r>
    </w:p>
    <w:p w:rsidR="00535327" w:rsidRPr="00CF22F0" w:rsidP="00535327">
      <w:pPr>
        <w:pStyle w:val="BodyText"/>
        <w:bidi w:val="0"/>
        <w:ind w:left="720"/>
        <w:rPr>
          <w:rFonts w:ascii="Book Antiqua" w:hAnsi="Book Antiqua"/>
          <w:sz w:val="22"/>
          <w:szCs w:val="22"/>
          <w:lang w:val="sk-SK"/>
        </w:rPr>
      </w:pPr>
    </w:p>
    <w:p w:rsidR="00535327" w:rsidRPr="00CF22F0" w:rsidP="00535327">
      <w:pPr>
        <w:pStyle w:val="BodyText"/>
        <w:bidi w:val="0"/>
        <w:ind w:left="720"/>
        <w:rPr>
          <w:rFonts w:ascii="Book Antiqua" w:hAnsi="Book Antiqua"/>
          <w:sz w:val="22"/>
          <w:szCs w:val="22"/>
          <w:lang w:val="sk-SK"/>
        </w:rPr>
      </w:pPr>
      <w:r w:rsidRPr="00CF22F0">
        <w:rPr>
          <w:rFonts w:ascii="Book Antiqua" w:hAnsi="Book Antiqua"/>
          <w:sz w:val="22"/>
          <w:szCs w:val="22"/>
          <w:lang w:val="sk-SK"/>
        </w:rPr>
        <w:t>„(11) Spôsob tvorby nariadení, podrobnosti o postupe pri ich príprave, predkladaní a prerokúvaní a o ich forme upravia legislatívne pravidlá, ktoré ustanoví obec nariadením. Súčasťou legislatívnych pravidiel je doložka vplyvov návrhu nariadenia na rozpočet obce, majetok obce a financovanie obce, na zamestnanosť v obci, na informatizáciu obce a na životné prostredie, ako aj doložka zlučiteľnosti návrhu nariadenia s právom Európskej únie. Legislatívne pravidlá sú pre navrhovateľa záväzné.“.</w:t>
      </w:r>
    </w:p>
    <w:p w:rsidR="00535327" w:rsidRPr="00CF22F0" w:rsidP="00535327">
      <w:pPr>
        <w:pStyle w:val="BodyText"/>
        <w:bidi w:val="0"/>
        <w:ind w:left="720"/>
        <w:rPr>
          <w:rFonts w:ascii="Book Antiqua" w:hAnsi="Book Antiqua"/>
          <w:sz w:val="22"/>
          <w:szCs w:val="22"/>
          <w:lang w:val="sk-SK"/>
        </w:rPr>
      </w:pPr>
    </w:p>
    <w:p w:rsidR="00535327" w:rsidRPr="00CF22F0" w:rsidP="00535327">
      <w:pPr>
        <w:pStyle w:val="BodyText"/>
        <w:bidi w:val="0"/>
        <w:ind w:left="720"/>
        <w:rPr>
          <w:rFonts w:ascii="Book Antiqua" w:hAnsi="Book Antiqua"/>
          <w:sz w:val="22"/>
          <w:szCs w:val="22"/>
          <w:lang w:val="sk-SK"/>
        </w:rPr>
      </w:pPr>
      <w:r w:rsidRPr="00CF22F0">
        <w:rPr>
          <w:rFonts w:ascii="Book Antiqua" w:hAnsi="Book Antiqua"/>
          <w:sz w:val="22"/>
          <w:szCs w:val="22"/>
          <w:lang w:val="sk-SK"/>
        </w:rPr>
        <w:t>(12) Ministerstvo zriaďuje a vedie centrálny register nariadení (ďalej len „register“), ktorý je prístupný verejnosti; register je informačný systém verejnej správy</w:t>
      </w:r>
      <w:r w:rsidRPr="00CF22F0">
        <w:rPr>
          <w:rFonts w:ascii="Book Antiqua" w:hAnsi="Book Antiqua"/>
          <w:sz w:val="22"/>
          <w:szCs w:val="22"/>
          <w:vertAlign w:val="superscript"/>
          <w:lang w:val="sk-SK"/>
        </w:rPr>
        <w:t>8e)</w:t>
      </w:r>
      <w:r w:rsidRPr="00CF22F0">
        <w:rPr>
          <w:rFonts w:ascii="Book Antiqua" w:hAnsi="Book Antiqua"/>
          <w:sz w:val="22"/>
          <w:szCs w:val="22"/>
          <w:lang w:val="sk-SK"/>
        </w:rPr>
        <w:t>. Obec je povinná zas</w:t>
      </w:r>
      <w:r w:rsidRPr="00CF22F0" w:rsidR="00CF22F0">
        <w:rPr>
          <w:rFonts w:ascii="Book Antiqua" w:hAnsi="Book Antiqua"/>
          <w:sz w:val="22"/>
          <w:szCs w:val="22"/>
          <w:lang w:val="sk-SK"/>
        </w:rPr>
        <w:t xml:space="preserve">lať ministerstvu </w:t>
      </w:r>
      <w:r w:rsidRPr="00CF22F0">
        <w:rPr>
          <w:rFonts w:ascii="Book Antiqua" w:hAnsi="Book Antiqua"/>
          <w:sz w:val="22"/>
          <w:szCs w:val="22"/>
          <w:lang w:val="sk-SK"/>
        </w:rPr>
        <w:t>úplné znenie platného nariadenia, ktoré bolo vyhlásené spôsobom uvedeným v § 6 ods. 8 do 15 dní od takéhoto vyhlásenia, za účelom jeho zverejnenia v registri na informačné účely. Obec zodpovedá za súlad zaslaného znenia so znením, ktoré bolo vyhlásené podľa § 6 ods. 8. Ministerstvo je povinné zverejniť nariadenie v registri bezodkladne po jeho doručení obcou a zodpovedá za súlad zverejneného nariadenia s jeho zaslaným znením. Ak sa vyskytnú rozdiely medzi znením nariadenia, ktoré zaslala obec a tým, ktoré bolo zverejnené v registri, rozhodujúce je znenie, ktoré zaslala obec. Podrobnosti o zriadení a spôsobe vedenia centrálneho registra ustanoví všeobecne záväzný právny predpis, ktorý vydá ministerstvo.“.</w:t>
      </w:r>
    </w:p>
    <w:p w:rsidR="00535327" w:rsidRPr="00CF22F0" w:rsidP="00535327">
      <w:pPr>
        <w:pStyle w:val="BodyText"/>
        <w:bidi w:val="0"/>
        <w:ind w:left="720"/>
        <w:rPr>
          <w:rFonts w:ascii="Book Antiqua" w:hAnsi="Book Antiqua"/>
          <w:sz w:val="22"/>
          <w:szCs w:val="22"/>
          <w:lang w:val="sk-SK"/>
        </w:rPr>
      </w:pPr>
    </w:p>
    <w:p w:rsidR="00535327" w:rsidRPr="00CF22F0" w:rsidP="00535327">
      <w:pPr>
        <w:pStyle w:val="BodyText"/>
        <w:bidi w:val="0"/>
        <w:ind w:left="720"/>
        <w:rPr>
          <w:rFonts w:ascii="Book Antiqua" w:hAnsi="Book Antiqua"/>
          <w:sz w:val="22"/>
          <w:szCs w:val="22"/>
          <w:lang w:val="sk-SK"/>
        </w:rPr>
      </w:pPr>
      <w:r w:rsidRPr="00CF22F0">
        <w:rPr>
          <w:rFonts w:ascii="Book Antiqua" w:hAnsi="Book Antiqua"/>
          <w:sz w:val="22"/>
          <w:szCs w:val="22"/>
          <w:lang w:val="sk-SK"/>
        </w:rPr>
        <w:t>Poznámka pod čiarou k odkazu 8e znie:</w:t>
      </w:r>
    </w:p>
    <w:p w:rsidR="00535327" w:rsidRPr="00CF22F0" w:rsidP="00535327">
      <w:pPr>
        <w:pStyle w:val="BodyText"/>
        <w:bidi w:val="0"/>
        <w:ind w:left="720"/>
        <w:rPr>
          <w:rFonts w:ascii="Book Antiqua" w:hAnsi="Book Antiqua"/>
          <w:sz w:val="22"/>
          <w:szCs w:val="22"/>
          <w:lang w:val="sk-SK"/>
        </w:rPr>
      </w:pPr>
      <w:r w:rsidRPr="00CF22F0">
        <w:rPr>
          <w:rFonts w:ascii="Book Antiqua" w:hAnsi="Book Antiqua"/>
          <w:sz w:val="22"/>
          <w:szCs w:val="22"/>
          <w:lang w:val="sk-SK"/>
        </w:rPr>
        <w:t>„</w:t>
      </w:r>
      <w:r w:rsidRPr="00CF22F0">
        <w:rPr>
          <w:rFonts w:ascii="Book Antiqua" w:hAnsi="Book Antiqua"/>
          <w:sz w:val="22"/>
          <w:szCs w:val="22"/>
          <w:vertAlign w:val="superscript"/>
          <w:lang w:val="sk-SK"/>
        </w:rPr>
        <w:t>8e)</w:t>
      </w:r>
      <w:r w:rsidRPr="00CF22F0">
        <w:rPr>
          <w:rFonts w:ascii="Book Antiqua" w:hAnsi="Book Antiqua"/>
          <w:sz w:val="22"/>
          <w:szCs w:val="22"/>
          <w:lang w:val="sk-SK"/>
        </w:rPr>
        <w:t xml:space="preserve"> § 2 písm. b) zákona č. 275/2006 Z. z. o informačných systémoch verejnej správy a o zmene a doplnení niektorých zákonov</w:t>
      </w:r>
      <w:r w:rsidR="00673F4E">
        <w:rPr>
          <w:rFonts w:ascii="Book Antiqua" w:hAnsi="Book Antiqua"/>
          <w:sz w:val="22"/>
          <w:szCs w:val="22"/>
          <w:lang w:val="sk-SK"/>
        </w:rPr>
        <w:t xml:space="preserve"> v znení neskorších predpisov</w:t>
      </w:r>
      <w:r w:rsidRPr="00CF22F0">
        <w:rPr>
          <w:rFonts w:ascii="Book Antiqua" w:hAnsi="Book Antiqua"/>
          <w:sz w:val="22"/>
          <w:szCs w:val="22"/>
          <w:lang w:val="sk-SK"/>
        </w:rPr>
        <w:t>.“.</w:t>
      </w:r>
    </w:p>
    <w:p w:rsidR="00535327" w:rsidRPr="00CF22F0" w:rsidP="00535327">
      <w:pPr>
        <w:pStyle w:val="BodyText"/>
        <w:bidi w:val="0"/>
        <w:ind w:left="720"/>
        <w:rPr>
          <w:rFonts w:ascii="Book Antiqua" w:hAnsi="Book Antiqua"/>
          <w:sz w:val="22"/>
          <w:szCs w:val="22"/>
          <w:lang w:val="sk-SK"/>
        </w:rPr>
      </w:pPr>
    </w:p>
    <w:p w:rsidR="00535327" w:rsidRPr="00CF22F0" w:rsidP="000E276A">
      <w:pPr>
        <w:pStyle w:val="BodyText"/>
        <w:numPr>
          <w:numId w:val="11"/>
        </w:numPr>
        <w:bidi w:val="0"/>
        <w:rPr>
          <w:rFonts w:ascii="Book Antiqua" w:hAnsi="Book Antiqua"/>
          <w:sz w:val="22"/>
          <w:szCs w:val="22"/>
          <w:lang w:val="sk-SK"/>
        </w:rPr>
      </w:pPr>
      <w:r w:rsidRPr="00CF22F0" w:rsidR="000E276A">
        <w:rPr>
          <w:rFonts w:ascii="Book Antiqua" w:hAnsi="Book Antiqua"/>
          <w:sz w:val="22"/>
          <w:szCs w:val="22"/>
          <w:lang w:val="sk-SK"/>
        </w:rPr>
        <w:t>Za § 30d sa vkladá § 30e, ktorý znie:</w:t>
      </w:r>
    </w:p>
    <w:p w:rsidR="00535327" w:rsidRPr="00CF22F0" w:rsidP="00535327">
      <w:pPr>
        <w:pStyle w:val="BodyText"/>
        <w:bidi w:val="0"/>
        <w:ind w:left="720"/>
        <w:rPr>
          <w:rFonts w:ascii="Book Antiqua" w:hAnsi="Book Antiqua"/>
          <w:sz w:val="22"/>
          <w:szCs w:val="22"/>
          <w:lang w:val="sk-SK"/>
        </w:rPr>
      </w:pPr>
    </w:p>
    <w:p w:rsidR="00535327" w:rsidRPr="00CF22F0" w:rsidP="00535327">
      <w:pPr>
        <w:pStyle w:val="BodyText"/>
        <w:bidi w:val="0"/>
        <w:ind w:left="720"/>
        <w:jc w:val="center"/>
        <w:rPr>
          <w:rFonts w:ascii="Book Antiqua" w:hAnsi="Book Antiqua"/>
          <w:b/>
          <w:sz w:val="22"/>
          <w:szCs w:val="22"/>
          <w:lang w:val="sk-SK"/>
        </w:rPr>
      </w:pPr>
      <w:r w:rsidRPr="00CF22F0" w:rsidR="000E276A">
        <w:rPr>
          <w:rFonts w:ascii="Book Antiqua" w:hAnsi="Book Antiqua"/>
          <w:sz w:val="22"/>
          <w:szCs w:val="22"/>
          <w:lang w:val="sk-SK"/>
        </w:rPr>
        <w:t>„</w:t>
      </w:r>
      <w:r w:rsidRPr="00CF22F0" w:rsidR="000E276A">
        <w:rPr>
          <w:rFonts w:ascii="Book Antiqua" w:hAnsi="Book Antiqua"/>
          <w:b/>
          <w:sz w:val="22"/>
          <w:szCs w:val="22"/>
          <w:lang w:val="sk-SK"/>
        </w:rPr>
        <w:t>§ 30e</w:t>
      </w:r>
    </w:p>
    <w:p w:rsidR="00535327" w:rsidRPr="00CF22F0" w:rsidP="00535327">
      <w:pPr>
        <w:pStyle w:val="BodyText"/>
        <w:bidi w:val="0"/>
        <w:ind w:left="720"/>
        <w:jc w:val="center"/>
        <w:rPr>
          <w:rFonts w:ascii="Book Antiqua" w:hAnsi="Book Antiqua"/>
          <w:b/>
          <w:sz w:val="22"/>
          <w:szCs w:val="22"/>
          <w:lang w:val="sk-SK"/>
        </w:rPr>
      </w:pPr>
      <w:r w:rsidRPr="00CF22F0" w:rsidR="000E276A">
        <w:rPr>
          <w:rFonts w:ascii="Book Antiqua" w:hAnsi="Book Antiqua"/>
          <w:b/>
          <w:sz w:val="22"/>
          <w:szCs w:val="22"/>
          <w:lang w:val="sk-SK"/>
        </w:rPr>
        <w:t>Prechodné ustanovenia k úpravám účinným od 1. septembra 2013</w:t>
      </w:r>
    </w:p>
    <w:p w:rsidR="00535327" w:rsidRPr="00CF22F0" w:rsidP="00535327">
      <w:pPr>
        <w:pStyle w:val="BodyText"/>
        <w:bidi w:val="0"/>
        <w:ind w:left="720"/>
        <w:rPr>
          <w:rFonts w:ascii="Book Antiqua" w:hAnsi="Book Antiqua"/>
          <w:b/>
          <w:sz w:val="22"/>
          <w:szCs w:val="22"/>
          <w:lang w:val="sk-SK"/>
        </w:rPr>
      </w:pPr>
    </w:p>
    <w:p w:rsidR="00535327" w:rsidRPr="00CF22F0" w:rsidP="00535327">
      <w:pPr>
        <w:pStyle w:val="BodyText"/>
        <w:bidi w:val="0"/>
        <w:ind w:left="720"/>
        <w:rPr>
          <w:rFonts w:ascii="Book Antiqua" w:hAnsi="Book Antiqua"/>
          <w:b/>
          <w:sz w:val="22"/>
          <w:szCs w:val="22"/>
          <w:lang w:val="sk-SK"/>
        </w:rPr>
      </w:pPr>
      <w:r w:rsidRPr="00CF22F0" w:rsidR="000E276A">
        <w:rPr>
          <w:rFonts w:ascii="Book Antiqua" w:hAnsi="Book Antiqua"/>
          <w:sz w:val="22"/>
          <w:szCs w:val="22"/>
          <w:lang w:val="sk-SK"/>
        </w:rPr>
        <w:t>(1) Obec upraví rokovací poriadok obecného zastupiteľstva v súlade s § 6 ods. 7 a vydá nariadenie podľa § 6 ods. 11 do 31. decembra 2013.</w:t>
      </w:r>
    </w:p>
    <w:p w:rsidR="00535327" w:rsidRPr="00CF22F0" w:rsidP="00535327">
      <w:pPr>
        <w:pStyle w:val="BodyText"/>
        <w:bidi w:val="0"/>
        <w:ind w:left="720"/>
        <w:rPr>
          <w:rFonts w:ascii="Book Antiqua" w:hAnsi="Book Antiqua"/>
          <w:b/>
          <w:sz w:val="22"/>
          <w:szCs w:val="22"/>
          <w:lang w:val="sk-SK"/>
        </w:rPr>
      </w:pPr>
    </w:p>
    <w:p w:rsidR="000E276A" w:rsidRPr="00CF22F0" w:rsidP="00535327">
      <w:pPr>
        <w:pStyle w:val="BodyText"/>
        <w:bidi w:val="0"/>
        <w:ind w:left="720"/>
        <w:rPr>
          <w:rFonts w:ascii="Book Antiqua" w:hAnsi="Book Antiqua"/>
          <w:b/>
          <w:sz w:val="22"/>
          <w:szCs w:val="22"/>
          <w:lang w:val="sk-SK"/>
        </w:rPr>
      </w:pPr>
      <w:r w:rsidRPr="00CF22F0">
        <w:rPr>
          <w:rFonts w:ascii="Book Antiqua" w:hAnsi="Book Antiqua"/>
          <w:sz w:val="22"/>
          <w:szCs w:val="22"/>
          <w:lang w:val="sk-SK"/>
        </w:rPr>
        <w:t>(2) Ministerstvo vydá všeobecne záväzný právny predpis podľa § 6 ods. 10 a § 6 ods. 12</w:t>
      </w:r>
      <w:r w:rsidRPr="00CF22F0" w:rsidR="00535327">
        <w:rPr>
          <w:rFonts w:ascii="Book Antiqua" w:hAnsi="Book Antiqua"/>
          <w:sz w:val="22"/>
          <w:szCs w:val="22"/>
          <w:lang w:val="sk-SK"/>
        </w:rPr>
        <w:t xml:space="preserve"> do 31. októbra 2013.“.</w:t>
      </w:r>
    </w:p>
    <w:p w:rsidR="0047565C" w:rsidRPr="00CF22F0" w:rsidP="00535327">
      <w:pPr>
        <w:bidi w:val="0"/>
        <w:spacing w:before="120" w:line="280" w:lineRule="atLeast"/>
        <w:rPr>
          <w:rFonts w:ascii="Book Antiqua" w:hAnsi="Book Antiqua"/>
          <w:b/>
          <w:sz w:val="22"/>
        </w:rPr>
      </w:pPr>
    </w:p>
    <w:p w:rsidR="005B0F22" w:rsidRPr="00CF22F0" w:rsidP="005B0F22">
      <w:pPr>
        <w:bidi w:val="0"/>
        <w:spacing w:before="120" w:line="280" w:lineRule="atLeast"/>
        <w:jc w:val="center"/>
        <w:rPr>
          <w:rFonts w:ascii="Book Antiqua" w:hAnsi="Book Antiqua"/>
          <w:b/>
          <w:sz w:val="22"/>
        </w:rPr>
      </w:pPr>
      <w:r w:rsidRPr="00CF22F0" w:rsidR="00553059">
        <w:rPr>
          <w:rFonts w:ascii="Book Antiqua" w:hAnsi="Book Antiqua" w:hint="default"/>
          <w:b/>
          <w:sz w:val="22"/>
        </w:rPr>
        <w:t>Č</w:t>
      </w:r>
      <w:r w:rsidRPr="00CF22F0" w:rsidR="00553059">
        <w:rPr>
          <w:rFonts w:ascii="Book Antiqua" w:hAnsi="Book Antiqua" w:hint="default"/>
          <w:b/>
          <w:sz w:val="22"/>
        </w:rPr>
        <w:t>l. II</w:t>
      </w:r>
    </w:p>
    <w:p w:rsidR="00AA11E1" w:rsidRPr="00CF22F0" w:rsidP="005B0F22">
      <w:pPr>
        <w:bidi w:val="0"/>
        <w:spacing w:before="120" w:line="280" w:lineRule="atLeast"/>
        <w:jc w:val="center"/>
        <w:rPr>
          <w:rFonts w:ascii="Book Antiqua" w:hAnsi="Book Antiqua"/>
          <w:b/>
          <w:sz w:val="22"/>
        </w:rPr>
      </w:pPr>
    </w:p>
    <w:p w:rsidR="007C33FF" w:rsidRPr="00C350F7" w:rsidP="00DE5D98">
      <w:pPr>
        <w:bidi w:val="0"/>
        <w:spacing w:before="120" w:line="280" w:lineRule="atLeast"/>
        <w:ind w:firstLine="708"/>
        <w:rPr>
          <w:rFonts w:ascii="Book Antiqua" w:hAnsi="Book Antiqua"/>
          <w:sz w:val="22"/>
        </w:rPr>
      </w:pPr>
      <w:r w:rsidRPr="00CF22F0">
        <w:rPr>
          <w:rFonts w:ascii="Book Antiqua" w:hAnsi="Book Antiqua" w:hint="default"/>
          <w:sz w:val="22"/>
        </w:rPr>
        <w:t>Tento zá</w:t>
      </w:r>
      <w:r w:rsidRPr="00CF22F0">
        <w:rPr>
          <w:rFonts w:ascii="Book Antiqua" w:hAnsi="Book Antiqua" w:hint="default"/>
          <w:sz w:val="22"/>
        </w:rPr>
        <w:t>kon nadobú</w:t>
      </w:r>
      <w:r w:rsidRPr="00CF22F0">
        <w:rPr>
          <w:rFonts w:ascii="Book Antiqua" w:hAnsi="Book Antiqua" w:hint="default"/>
          <w:sz w:val="22"/>
        </w:rPr>
        <w:t>da úč</w:t>
      </w:r>
      <w:r w:rsidRPr="00CF22F0">
        <w:rPr>
          <w:rFonts w:ascii="Book Antiqua" w:hAnsi="Book Antiqua" w:hint="default"/>
          <w:sz w:val="22"/>
        </w:rPr>
        <w:t>innosť</w:t>
      </w:r>
      <w:r w:rsidRPr="00CF22F0">
        <w:rPr>
          <w:rFonts w:ascii="Book Antiqua" w:hAnsi="Book Antiqua" w:hint="default"/>
          <w:sz w:val="22"/>
        </w:rPr>
        <w:t xml:space="preserve"> </w:t>
      </w:r>
      <w:r w:rsidRPr="00CF22F0" w:rsidR="00FD5650">
        <w:rPr>
          <w:rFonts w:ascii="Book Antiqua" w:hAnsi="Book Antiqua"/>
          <w:sz w:val="22"/>
        </w:rPr>
        <w:t>1</w:t>
      </w:r>
      <w:r w:rsidRPr="00CF22F0">
        <w:rPr>
          <w:rFonts w:ascii="Book Antiqua" w:hAnsi="Book Antiqua"/>
          <w:sz w:val="22"/>
        </w:rPr>
        <w:t xml:space="preserve">. </w:t>
      </w:r>
      <w:r w:rsidRPr="00CF22F0" w:rsidR="00E7729E">
        <w:rPr>
          <w:rFonts w:ascii="Book Antiqua" w:hAnsi="Book Antiqua"/>
          <w:sz w:val="22"/>
        </w:rPr>
        <w:t>s</w:t>
      </w:r>
      <w:r w:rsidRPr="00CF22F0" w:rsidR="00E7729E">
        <w:rPr>
          <w:rFonts w:ascii="Book Antiqua" w:hAnsi="Book Antiqua"/>
          <w:sz w:val="22"/>
        </w:rPr>
        <w:t>eptembra</w:t>
      </w:r>
      <w:r w:rsidRPr="00CF22F0">
        <w:rPr>
          <w:rFonts w:ascii="Book Antiqua" w:hAnsi="Book Antiqua"/>
          <w:sz w:val="22"/>
        </w:rPr>
        <w:t xml:space="preserve"> 201</w:t>
      </w:r>
      <w:r w:rsidRPr="00CF22F0" w:rsidR="0048338B">
        <w:rPr>
          <w:rFonts w:ascii="Book Antiqua" w:hAnsi="Book Antiqua"/>
          <w:sz w:val="22"/>
        </w:rPr>
        <w:t>3</w:t>
      </w:r>
      <w:r w:rsidRPr="00CF22F0" w:rsidR="00535327">
        <w:rPr>
          <w:rFonts w:ascii="Book Antiqua" w:hAnsi="Book Antiqua" w:hint="default"/>
          <w:sz w:val="22"/>
        </w:rPr>
        <w:t xml:space="preserve"> okrem Č</w:t>
      </w:r>
      <w:r w:rsidRPr="00CF22F0" w:rsidR="00535327">
        <w:rPr>
          <w:rFonts w:ascii="Book Antiqua" w:hAnsi="Book Antiqua" w:hint="default"/>
          <w:sz w:val="22"/>
        </w:rPr>
        <w:t>l. I §</w:t>
      </w:r>
      <w:r w:rsidRPr="00CF22F0" w:rsidR="00535327">
        <w:rPr>
          <w:rFonts w:ascii="Book Antiqua" w:hAnsi="Book Antiqua" w:hint="default"/>
          <w:sz w:val="22"/>
        </w:rPr>
        <w:t xml:space="preserve"> 6 ods. 7 a </w:t>
      </w:r>
      <w:r w:rsidRPr="00CF22F0" w:rsidR="00535327">
        <w:rPr>
          <w:rFonts w:ascii="Book Antiqua" w:hAnsi="Book Antiqua" w:hint="default"/>
          <w:sz w:val="22"/>
        </w:rPr>
        <w:t>10 až</w:t>
      </w:r>
      <w:r w:rsidRPr="00CF22F0" w:rsidR="00535327">
        <w:rPr>
          <w:rFonts w:ascii="Book Antiqua" w:hAnsi="Book Antiqua" w:hint="default"/>
          <w:sz w:val="22"/>
        </w:rPr>
        <w:t xml:space="preserve"> 12, ktoré</w:t>
      </w:r>
      <w:r w:rsidRPr="00CF22F0" w:rsidR="00535327">
        <w:rPr>
          <w:rFonts w:ascii="Book Antiqua" w:hAnsi="Book Antiqua" w:hint="default"/>
          <w:sz w:val="22"/>
        </w:rPr>
        <w:t xml:space="preserve"> nadobú</w:t>
      </w:r>
      <w:r w:rsidRPr="00CF22F0" w:rsidR="00535327">
        <w:rPr>
          <w:rFonts w:ascii="Book Antiqua" w:hAnsi="Book Antiqua" w:hint="default"/>
          <w:sz w:val="22"/>
        </w:rPr>
        <w:t>dajú</w:t>
      </w:r>
      <w:r w:rsidRPr="00CF22F0" w:rsidR="00535327">
        <w:rPr>
          <w:rFonts w:ascii="Book Antiqua" w:hAnsi="Book Antiqua" w:hint="default"/>
          <w:sz w:val="22"/>
        </w:rPr>
        <w:t xml:space="preserve"> úč</w:t>
      </w:r>
      <w:r w:rsidRPr="00CF22F0" w:rsidR="00535327">
        <w:rPr>
          <w:rFonts w:ascii="Book Antiqua" w:hAnsi="Book Antiqua" w:hint="default"/>
          <w:sz w:val="22"/>
        </w:rPr>
        <w:t>innosť</w:t>
      </w:r>
      <w:r w:rsidRPr="00CF22F0" w:rsidR="00535327">
        <w:rPr>
          <w:rFonts w:ascii="Book Antiqua" w:hAnsi="Book Antiqua" w:hint="default"/>
          <w:sz w:val="22"/>
        </w:rPr>
        <w:t xml:space="preserve"> 1. januá</w:t>
      </w:r>
      <w:r w:rsidRPr="00CF22F0" w:rsidR="00535327">
        <w:rPr>
          <w:rFonts w:ascii="Book Antiqua" w:hAnsi="Book Antiqua" w:hint="default"/>
          <w:sz w:val="22"/>
        </w:rPr>
        <w:t>ra 2014.</w:t>
      </w:r>
    </w:p>
    <w:p w:rsidR="00875841" w:rsidRPr="00C350F7" w:rsidP="00DE5D98">
      <w:pPr>
        <w:bidi w:val="0"/>
        <w:spacing w:before="120" w:line="280" w:lineRule="atLeast"/>
        <w:rPr>
          <w:rFonts w:ascii="Book Antiqua" w:hAnsi="Book Antiqua"/>
          <w:sz w:val="22"/>
        </w:rPr>
      </w:pPr>
    </w:p>
    <w:p w:rsidR="00875841" w:rsidRPr="00C350F7" w:rsidP="00DE5D98">
      <w:pPr>
        <w:bidi w:val="0"/>
        <w:spacing w:before="120" w:line="280" w:lineRule="atLeast"/>
        <w:rPr>
          <w:rFonts w:ascii="Book Antiqua" w:hAnsi="Book Antiqua"/>
          <w:sz w:val="22"/>
        </w:rPr>
      </w:pPr>
    </w:p>
    <w:sectPr w:rsidSect="008F3B6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3965"/>
    <w:multiLevelType w:val="hybridMultilevel"/>
    <w:tmpl w:val="C3FA03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84774E8"/>
    <w:multiLevelType w:val="hybridMultilevel"/>
    <w:tmpl w:val="8E30625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D3870BA"/>
    <w:multiLevelType w:val="hybridMultilevel"/>
    <w:tmpl w:val="1E261484"/>
    <w:lvl w:ilvl="0">
      <w:start w:val="1"/>
      <w:numFmt w:val="decimal"/>
      <w:lvlText w:val="%1."/>
      <w:lvlJc w:val="left"/>
      <w:pPr>
        <w:ind w:left="720"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53444F9"/>
    <w:multiLevelType w:val="hybridMultilevel"/>
    <w:tmpl w:val="FE34D9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D8C609A"/>
    <w:multiLevelType w:val="hybridMultilevel"/>
    <w:tmpl w:val="64941D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38F18C7"/>
    <w:multiLevelType w:val="hybridMultilevel"/>
    <w:tmpl w:val="5860CE1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50E677D"/>
    <w:multiLevelType w:val="hybridMultilevel"/>
    <w:tmpl w:val="B01EF5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E326CDD"/>
    <w:multiLevelType w:val="hybridMultilevel"/>
    <w:tmpl w:val="289A207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33222C9"/>
    <w:multiLevelType w:val="hybridMultilevel"/>
    <w:tmpl w:val="C68C9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71125E1"/>
    <w:multiLevelType w:val="hybridMultilevel"/>
    <w:tmpl w:val="37144CB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7AAE2521"/>
    <w:multiLevelType w:val="hybridMultilevel"/>
    <w:tmpl w:val="A77CF12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7"/>
  </w:num>
  <w:num w:numId="2">
    <w:abstractNumId w:val="0"/>
  </w:num>
  <w:num w:numId="3">
    <w:abstractNumId w:val="6"/>
  </w:num>
  <w:num w:numId="4">
    <w:abstractNumId w:val="9"/>
  </w:num>
  <w:num w:numId="5">
    <w:abstractNumId w:val="8"/>
  </w:num>
  <w:num w:numId="6">
    <w:abstractNumId w:val="2"/>
  </w:num>
  <w:num w:numId="7">
    <w:abstractNumId w:val="1"/>
  </w:num>
  <w:num w:numId="8">
    <w:abstractNumId w:val="10"/>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75841"/>
    <w:rsid w:val="00007809"/>
    <w:rsid w:val="000141F9"/>
    <w:rsid w:val="000144F2"/>
    <w:rsid w:val="00036E24"/>
    <w:rsid w:val="00037EF5"/>
    <w:rsid w:val="00045117"/>
    <w:rsid w:val="0005392E"/>
    <w:rsid w:val="00060DF4"/>
    <w:rsid w:val="000742F1"/>
    <w:rsid w:val="00093B56"/>
    <w:rsid w:val="000959F7"/>
    <w:rsid w:val="000D446C"/>
    <w:rsid w:val="000D514A"/>
    <w:rsid w:val="000E276A"/>
    <w:rsid w:val="000E2875"/>
    <w:rsid w:val="000E5DAA"/>
    <w:rsid w:val="000F307B"/>
    <w:rsid w:val="00100733"/>
    <w:rsid w:val="00164E2F"/>
    <w:rsid w:val="00185D09"/>
    <w:rsid w:val="001A2CE8"/>
    <w:rsid w:val="001B0D02"/>
    <w:rsid w:val="001E0C61"/>
    <w:rsid w:val="001F0060"/>
    <w:rsid w:val="00201637"/>
    <w:rsid w:val="002042F7"/>
    <w:rsid w:val="00204E49"/>
    <w:rsid w:val="00223383"/>
    <w:rsid w:val="00241524"/>
    <w:rsid w:val="00254049"/>
    <w:rsid w:val="00256C88"/>
    <w:rsid w:val="002B4E7D"/>
    <w:rsid w:val="002B5C6A"/>
    <w:rsid w:val="002C4732"/>
    <w:rsid w:val="002D7AFB"/>
    <w:rsid w:val="00301621"/>
    <w:rsid w:val="00314598"/>
    <w:rsid w:val="00333384"/>
    <w:rsid w:val="00347D78"/>
    <w:rsid w:val="0036309A"/>
    <w:rsid w:val="003802CA"/>
    <w:rsid w:val="00384F62"/>
    <w:rsid w:val="003A66BA"/>
    <w:rsid w:val="003C7157"/>
    <w:rsid w:val="003F12C1"/>
    <w:rsid w:val="003F53A1"/>
    <w:rsid w:val="0040551C"/>
    <w:rsid w:val="00405C8A"/>
    <w:rsid w:val="00407F88"/>
    <w:rsid w:val="00424851"/>
    <w:rsid w:val="00432666"/>
    <w:rsid w:val="00441EC0"/>
    <w:rsid w:val="00453EBB"/>
    <w:rsid w:val="0047565C"/>
    <w:rsid w:val="0048338B"/>
    <w:rsid w:val="0048741F"/>
    <w:rsid w:val="004A4A2D"/>
    <w:rsid w:val="004B2A6A"/>
    <w:rsid w:val="004B4F3B"/>
    <w:rsid w:val="004E2A0F"/>
    <w:rsid w:val="004F482A"/>
    <w:rsid w:val="004F6B91"/>
    <w:rsid w:val="005117ED"/>
    <w:rsid w:val="005333D3"/>
    <w:rsid w:val="00535327"/>
    <w:rsid w:val="005479E1"/>
    <w:rsid w:val="00553059"/>
    <w:rsid w:val="00557238"/>
    <w:rsid w:val="00575E42"/>
    <w:rsid w:val="005B0F22"/>
    <w:rsid w:val="005B2D76"/>
    <w:rsid w:val="005B7254"/>
    <w:rsid w:val="005C3218"/>
    <w:rsid w:val="005D573B"/>
    <w:rsid w:val="006120E7"/>
    <w:rsid w:val="006327E8"/>
    <w:rsid w:val="006328E1"/>
    <w:rsid w:val="0066159C"/>
    <w:rsid w:val="00673F4E"/>
    <w:rsid w:val="00674A43"/>
    <w:rsid w:val="00677550"/>
    <w:rsid w:val="00693A91"/>
    <w:rsid w:val="006B0964"/>
    <w:rsid w:val="006B750C"/>
    <w:rsid w:val="006C095B"/>
    <w:rsid w:val="00737CD3"/>
    <w:rsid w:val="007528D4"/>
    <w:rsid w:val="00762F6F"/>
    <w:rsid w:val="0077085D"/>
    <w:rsid w:val="00775492"/>
    <w:rsid w:val="007B625D"/>
    <w:rsid w:val="007C33FF"/>
    <w:rsid w:val="007C5EFC"/>
    <w:rsid w:val="007D1FAD"/>
    <w:rsid w:val="00867BCD"/>
    <w:rsid w:val="00875841"/>
    <w:rsid w:val="00885273"/>
    <w:rsid w:val="008B5BF2"/>
    <w:rsid w:val="008C2328"/>
    <w:rsid w:val="008C7F52"/>
    <w:rsid w:val="008F3B68"/>
    <w:rsid w:val="008F45AC"/>
    <w:rsid w:val="0091538C"/>
    <w:rsid w:val="00940B93"/>
    <w:rsid w:val="009427EF"/>
    <w:rsid w:val="009775AE"/>
    <w:rsid w:val="00982EF0"/>
    <w:rsid w:val="009A7273"/>
    <w:rsid w:val="009F053A"/>
    <w:rsid w:val="00A056F2"/>
    <w:rsid w:val="00A2467B"/>
    <w:rsid w:val="00A32C81"/>
    <w:rsid w:val="00A375CC"/>
    <w:rsid w:val="00A4575B"/>
    <w:rsid w:val="00A53849"/>
    <w:rsid w:val="00A8624D"/>
    <w:rsid w:val="00A93508"/>
    <w:rsid w:val="00AA11E1"/>
    <w:rsid w:val="00AB2E7C"/>
    <w:rsid w:val="00AC1A3C"/>
    <w:rsid w:val="00B100C4"/>
    <w:rsid w:val="00B2347B"/>
    <w:rsid w:val="00B52DBF"/>
    <w:rsid w:val="00B609A8"/>
    <w:rsid w:val="00B9181E"/>
    <w:rsid w:val="00B93590"/>
    <w:rsid w:val="00BC70E0"/>
    <w:rsid w:val="00BC75C2"/>
    <w:rsid w:val="00BD55DA"/>
    <w:rsid w:val="00BD6990"/>
    <w:rsid w:val="00BF23F6"/>
    <w:rsid w:val="00BF6527"/>
    <w:rsid w:val="00C12103"/>
    <w:rsid w:val="00C350F7"/>
    <w:rsid w:val="00C4591A"/>
    <w:rsid w:val="00C50529"/>
    <w:rsid w:val="00C9264A"/>
    <w:rsid w:val="00CB216F"/>
    <w:rsid w:val="00CB43D2"/>
    <w:rsid w:val="00CC0054"/>
    <w:rsid w:val="00CD7188"/>
    <w:rsid w:val="00CF22F0"/>
    <w:rsid w:val="00D03F06"/>
    <w:rsid w:val="00D12E55"/>
    <w:rsid w:val="00D12F22"/>
    <w:rsid w:val="00D25062"/>
    <w:rsid w:val="00D34375"/>
    <w:rsid w:val="00D475B2"/>
    <w:rsid w:val="00D73E0F"/>
    <w:rsid w:val="00D86255"/>
    <w:rsid w:val="00D9173B"/>
    <w:rsid w:val="00DA0994"/>
    <w:rsid w:val="00DA3BDE"/>
    <w:rsid w:val="00DE5D98"/>
    <w:rsid w:val="00DF7DC8"/>
    <w:rsid w:val="00E032F1"/>
    <w:rsid w:val="00E112F1"/>
    <w:rsid w:val="00E11445"/>
    <w:rsid w:val="00E3439D"/>
    <w:rsid w:val="00E36A03"/>
    <w:rsid w:val="00E53517"/>
    <w:rsid w:val="00E544E4"/>
    <w:rsid w:val="00E54A2D"/>
    <w:rsid w:val="00E61206"/>
    <w:rsid w:val="00E7729E"/>
    <w:rsid w:val="00E92AF1"/>
    <w:rsid w:val="00E93E49"/>
    <w:rsid w:val="00EB5435"/>
    <w:rsid w:val="00EC5B6C"/>
    <w:rsid w:val="00EE027C"/>
    <w:rsid w:val="00EE03D5"/>
    <w:rsid w:val="00F1211D"/>
    <w:rsid w:val="00F4208D"/>
    <w:rsid w:val="00F557AD"/>
    <w:rsid w:val="00F75B39"/>
    <w:rsid w:val="00F80E0F"/>
    <w:rsid w:val="00FD4D23"/>
    <w:rsid w:val="00FD565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KSS normal"/>
    <w:qFormat/>
    <w:rsid w:val="00875841"/>
    <w:pPr>
      <w:framePr w:wrap="auto"/>
      <w:widowControl/>
      <w:autoSpaceDE/>
      <w:autoSpaceDN/>
      <w:adjustRightInd/>
      <w:spacing w:line="240" w:lineRule="atLeast"/>
      <w:ind w:left="0" w:right="0"/>
      <w:jc w:val="both"/>
      <w:textAlignment w:val="auto"/>
    </w:pPr>
    <w:rPr>
      <w:rFonts w:ascii="Verdana" w:eastAsia="Calibri" w:hAnsi="Verdana" w:cs="Times New Roman"/>
      <w:sz w:val="20"/>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TitleChar"/>
    <w:uiPriority w:val="99"/>
    <w:qFormat/>
    <w:rsid w:val="00875841"/>
    <w:pPr>
      <w:spacing w:before="120" w:line="240" w:lineRule="auto"/>
      <w:jc w:val="center"/>
    </w:pPr>
    <w:rPr>
      <w:rFonts w:ascii="Times New Roman" w:eastAsia="Times New Roman" w:hAnsi="Times New Roman"/>
      <w:sz w:val="28"/>
      <w:szCs w:val="28"/>
      <w:lang w:eastAsia="sk-SK"/>
    </w:rPr>
  </w:style>
  <w:style w:type="character" w:customStyle="1" w:styleId="TitleChar">
    <w:name w:val="Title Char"/>
    <w:link w:val="Title"/>
    <w:uiPriority w:val="99"/>
    <w:locked/>
    <w:rsid w:val="00875841"/>
    <w:rPr>
      <w:rFonts w:ascii="Times New Roman" w:hAnsi="Times New Roman" w:cs="Times New Roman"/>
      <w:color w:val="auto"/>
      <w:sz w:val="28"/>
      <w:lang w:val="x-none" w:eastAsia="sk-SK"/>
    </w:rPr>
  </w:style>
  <w:style w:type="character" w:styleId="PlaceholderText">
    <w:name w:val="Placeholder Text"/>
    <w:uiPriority w:val="99"/>
    <w:semiHidden/>
    <w:rsid w:val="007C33FF"/>
    <w:rPr>
      <w:rFonts w:ascii="Times New Roman" w:hAnsi="Times New Roman" w:cs="Times New Roman"/>
      <w:color w:val="808080"/>
    </w:rPr>
  </w:style>
  <w:style w:type="paragraph" w:styleId="ListParagraph">
    <w:name w:val="List Paragraph"/>
    <w:basedOn w:val="Normal"/>
    <w:uiPriority w:val="34"/>
    <w:qFormat/>
    <w:rsid w:val="009775AE"/>
    <w:pPr>
      <w:ind w:left="708"/>
      <w:jc w:val="both"/>
    </w:pPr>
  </w:style>
  <w:style w:type="paragraph" w:styleId="BodyText">
    <w:name w:val="Body Text"/>
    <w:basedOn w:val="Normal"/>
    <w:link w:val="BodyTextChar"/>
    <w:uiPriority w:val="99"/>
    <w:rsid w:val="00693A91"/>
    <w:pPr>
      <w:spacing w:line="240" w:lineRule="auto"/>
      <w:jc w:val="both"/>
    </w:pPr>
    <w:rPr>
      <w:rFonts w:ascii="Times New Roman" w:eastAsia="Times New Roman" w:hAnsi="Times New Roman"/>
      <w:sz w:val="24"/>
      <w:szCs w:val="20"/>
    </w:rPr>
  </w:style>
  <w:style w:type="character" w:customStyle="1" w:styleId="BodyTextChar">
    <w:name w:val="Body Text Char"/>
    <w:link w:val="BodyText"/>
    <w:uiPriority w:val="99"/>
    <w:locked/>
    <w:rsid w:val="00693A91"/>
    <w:rPr>
      <w:rFonts w:ascii="Times New Roman" w:hAnsi="Times New Roman" w:cs="Times New Roman"/>
      <w:sz w:val="24"/>
      <w:lang w:val="x-none" w:eastAsia="en-US"/>
    </w:rPr>
  </w:style>
  <w:style w:type="character" w:styleId="CommentReference">
    <w:name w:val="annotation reference"/>
    <w:uiPriority w:val="99"/>
    <w:semiHidden/>
    <w:unhideWhenUsed/>
    <w:rsid w:val="00B93590"/>
    <w:rPr>
      <w:sz w:val="16"/>
    </w:rPr>
  </w:style>
  <w:style w:type="paragraph" w:styleId="CommentText">
    <w:name w:val="annotation text"/>
    <w:basedOn w:val="Normal"/>
    <w:link w:val="CommentTextChar"/>
    <w:uiPriority w:val="99"/>
    <w:semiHidden/>
    <w:unhideWhenUsed/>
    <w:rsid w:val="00B93590"/>
    <w:pPr>
      <w:jc w:val="both"/>
    </w:pPr>
    <w:rPr>
      <w:szCs w:val="20"/>
    </w:rPr>
  </w:style>
  <w:style w:type="character" w:customStyle="1" w:styleId="CommentTextChar">
    <w:name w:val="Comment Text Char"/>
    <w:link w:val="CommentText"/>
    <w:uiPriority w:val="99"/>
    <w:semiHidden/>
    <w:locked/>
    <w:rsid w:val="00B93590"/>
    <w:rPr>
      <w:rFonts w:ascii="Verdana" w:hAnsi="Verdana" w:cs="Verdana"/>
      <w:lang w:val="x-none" w:eastAsia="en-US"/>
    </w:rPr>
  </w:style>
  <w:style w:type="paragraph" w:styleId="CommentSubject">
    <w:name w:val="annotation subject"/>
    <w:basedOn w:val="CommentText"/>
    <w:next w:val="CommentText"/>
    <w:link w:val="CommentSubjectChar"/>
    <w:uiPriority w:val="99"/>
    <w:semiHidden/>
    <w:unhideWhenUsed/>
    <w:rsid w:val="00B93590"/>
    <w:pPr>
      <w:jc w:val="both"/>
    </w:pPr>
    <w:rPr>
      <w:b/>
      <w:bCs/>
    </w:rPr>
  </w:style>
  <w:style w:type="character" w:customStyle="1" w:styleId="CommentSubjectChar">
    <w:name w:val="Comment Subject Char"/>
    <w:link w:val="CommentSubject"/>
    <w:uiPriority w:val="99"/>
    <w:semiHidden/>
    <w:locked/>
    <w:rsid w:val="00B93590"/>
    <w:rPr>
      <w:rFonts w:ascii="Verdana" w:hAnsi="Verdana" w:cs="Verdana"/>
      <w:b/>
      <w:lang w:val="x-none" w:eastAsia="en-US"/>
    </w:rPr>
  </w:style>
  <w:style w:type="paragraph" w:styleId="BalloonText">
    <w:name w:val="Balloon Text"/>
    <w:basedOn w:val="Normal"/>
    <w:link w:val="BalloonTextChar"/>
    <w:uiPriority w:val="99"/>
    <w:semiHidden/>
    <w:unhideWhenUsed/>
    <w:rsid w:val="00B93590"/>
    <w:pPr>
      <w:spacing w:line="240" w:lineRule="auto"/>
      <w:jc w:val="both"/>
    </w:pPr>
    <w:rPr>
      <w:rFonts w:ascii="Tahoma" w:hAnsi="Tahoma" w:cs="Tahoma"/>
      <w:sz w:val="16"/>
      <w:szCs w:val="16"/>
    </w:rPr>
  </w:style>
  <w:style w:type="character" w:customStyle="1" w:styleId="BalloonTextChar">
    <w:name w:val="Balloon Text Char"/>
    <w:link w:val="BalloonText"/>
    <w:uiPriority w:val="99"/>
    <w:semiHidden/>
    <w:locked/>
    <w:rsid w:val="00B93590"/>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778</Words>
  <Characters>4436</Characters>
  <Application>Microsoft Office Word</Application>
  <DocSecurity>0</DocSecurity>
  <Lines>0</Lines>
  <Paragraphs>0</Paragraphs>
  <ScaleCrop>false</ScaleCrop>
  <Company>Kancelaria NR SR</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2013-02-14T10:46:00Z</cp:lastPrinted>
  <dcterms:created xsi:type="dcterms:W3CDTF">2013-04-26T16:02:00Z</dcterms:created>
  <dcterms:modified xsi:type="dcterms:W3CDTF">2013-04-26T16:02:00Z</dcterms:modified>
</cp:coreProperties>
</file>