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6A9C" w:rsidRPr="005C4B58">
      <w:pPr>
        <w:suppressAutoHyphens/>
        <w:bidi w:val="0"/>
        <w:jc w:val="center"/>
        <w:outlineLvl w:val="0"/>
        <w:rPr>
          <w:rFonts w:ascii="Times New Roman" w:eastAsia="Arial Unicode MS" w:hAnsi="Times New Roman" w:hint="default"/>
          <w:b/>
          <w:color w:val="000000"/>
          <w:sz w:val="32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sz w:val="32"/>
          <w:u w:color="000000"/>
          <w:lang w:val="sk-SK"/>
        </w:rPr>
        <w:t>DÔ</w:t>
      </w:r>
      <w:r w:rsidRPr="005C4B58">
        <w:rPr>
          <w:rFonts w:ascii="Times New Roman" w:eastAsia="Arial Unicode MS" w:hAnsi="Times New Roman" w:hint="default"/>
          <w:b/>
          <w:color w:val="000000"/>
          <w:sz w:val="32"/>
          <w:u w:color="000000"/>
          <w:lang w:val="sk-SK"/>
        </w:rPr>
        <w:t>VODOVÁ</w:t>
      </w:r>
      <w:r w:rsidRPr="005C4B58">
        <w:rPr>
          <w:rFonts w:ascii="Times New Roman" w:eastAsia="Arial Unicode MS" w:hAnsi="Times New Roman" w:hint="default"/>
          <w:b/>
          <w:color w:val="000000"/>
          <w:sz w:val="32"/>
          <w:u w:color="000000"/>
          <w:lang w:val="sk-SK"/>
        </w:rPr>
        <w:t xml:space="preserve"> SPRÁ</w:t>
      </w:r>
      <w:r w:rsidRPr="005C4B58">
        <w:rPr>
          <w:rFonts w:ascii="Times New Roman" w:eastAsia="Arial Unicode MS" w:hAnsi="Times New Roman" w:hint="default"/>
          <w:b/>
          <w:color w:val="000000"/>
          <w:sz w:val="32"/>
          <w:u w:color="000000"/>
          <w:lang w:val="sk-SK"/>
        </w:rPr>
        <w:t>VA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sz w:val="28"/>
          <w:u w:color="000000"/>
          <w:lang w:val="sk-SK"/>
        </w:rPr>
        <w:t xml:space="preserve">A. </w:t>
        <w:tab/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>Vš</w:t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>eobecná</w:t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 xml:space="preserve"> č</w:t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>asť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ab/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kona,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sa mení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dopĺň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. 245/2008 Z. z.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chove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kon) a o zmene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doplnení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konov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znení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neskorší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predpisov a o zmene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doplnení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niektorý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konov predklad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poslanci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rodnej rady Slovenskej republiky Lucia Nicholsonová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Martin Poliač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ik.  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ab/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Predmetný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konom navrhujeme upraviť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 od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tyroch rokov veku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a,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nulté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rozší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financovanie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tak, aby Ministerstvo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kolstva, vedy,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skumu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portu SR poskytovalo finanč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na dva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chovy, namiesto 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jedné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ka.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vrhu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kona 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navrhujeme stanoviť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na rok 2016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vodu nastaven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 financovania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 väčší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priestor samosprá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 vytvoriť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pre zavedenie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ustanovení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kov 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rok 2018, kedy by mali prvé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 absolvovať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dvojroč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nulté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ky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ebudú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viac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mto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vrhom rieš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ime viacero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problé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mov,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identifikovať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nasledovne: </w:t>
      </w:r>
    </w:p>
    <w:p w:rsidR="00E66A9C" w:rsidRPr="005C4B58">
      <w:pPr>
        <w:numPr>
          <w:numId w:val="3"/>
        </w:numPr>
        <w:tabs>
          <w:tab w:val="clear" w:pos="348"/>
          <w:tab w:val="num" w:pos="708"/>
        </w:tabs>
        <w:suppressAutoHyphens/>
        <w:bidi w:val="0"/>
        <w:ind w:left="720" w:hanging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Klesajú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 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zariadenia v protiklade so 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iaducim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trendom , ako prebieha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toch Euró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pskej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nie aj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prioritami Euró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pskej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nie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chove.</w:t>
      </w:r>
    </w:p>
    <w:p w:rsidR="00E66A9C" w:rsidRPr="005C4B58">
      <w:pPr>
        <w:numPr>
          <w:numId w:val="4"/>
        </w:numPr>
        <w:tabs>
          <w:tab w:val="clear" w:pos="348"/>
          <w:tab w:val="num" w:pos="708"/>
        </w:tabs>
        <w:suppressAutoHyphens/>
        <w:bidi w:val="0"/>
        <w:ind w:left="720" w:hanging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Podpora mladý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rodí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chcú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pracovať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nemajú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kam umiestniť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svoje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koly. </w:t>
      </w:r>
    </w:p>
    <w:p w:rsidR="00E66A9C" w:rsidRPr="005C4B58">
      <w:pPr>
        <w:numPr>
          <w:numId w:val="5"/>
        </w:numPr>
        <w:tabs>
          <w:tab w:val="clear" w:pos="348"/>
          <w:tab w:val="num" w:pos="708"/>
        </w:tabs>
        <w:suppressAutoHyphens/>
        <w:bidi w:val="0"/>
        <w:ind w:left="720" w:hanging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zku pripravenosť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chovu, na plnenie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povinností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 je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asnosti rieš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predovš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odkladaní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zač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iatku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alebo vytvá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kov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ch. </w:t>
      </w:r>
    </w:p>
    <w:p w:rsidR="00E66A9C" w:rsidRPr="005C4B58">
      <w:pPr>
        <w:numPr>
          <w:numId w:val="6"/>
        </w:numPr>
        <w:tabs>
          <w:tab w:val="clear" w:pos="348"/>
          <w:tab w:val="num" w:pos="708"/>
        </w:tabs>
        <w:suppressAutoHyphens/>
        <w:bidi w:val="0"/>
        <w:ind w:left="720" w:hanging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Zlyhá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ochrannej funkcie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tu pri ochrane oprá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ujmov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medzi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tvrtý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a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iestym rokom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ivota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a.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Euró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pskej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nii je trendom podporovať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 veku 4 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7 rokov na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kolskom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.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roku 2008 bola participá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cia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rnom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 veku medzi 4 rokom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iatkom plnenia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krajiná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EÚ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prieme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92,3%, prič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om v Slovenskej republiky to bolo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 xml:space="preserve">len 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79,1%,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Taliansku 98,8%, vo Veľ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kej Britá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nii 97,3%,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eskej republike 90,9%, v Holandsku a Belgicku 99,5%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 Francú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zsku 100%. Vo väčš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ine krají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 sí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 nie je povinná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chova, naprí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 vo Fra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ncú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zsku a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j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napriek tomu je tam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rnom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najvyšš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najnovší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informá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radu informá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prognó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kolstva je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rnom vzdel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vaní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roku 2012 vo veku 4 rokov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len 73%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 veku 5 rokov 80%. Najhorš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tom komunity ohrozená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lnym 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vylúč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 Svetovej banky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tevovalo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roku 2011 materskú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kolu len 28% ró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mskych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 veku od troch to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iestich rokov. Také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 deti je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zvlášť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pripraviť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a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ch, pretož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zväčš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neovlá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slovenský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jazyk, nemajú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zruč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a bý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neuromotoricky nezrelé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, 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č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asto krá</w:t>
      </w:r>
      <w:r w:rsidRPr="005C4B58"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u nich rozví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jajú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pecifické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poruchy uč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enia, poruchy pozornosti a poruchy 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vania.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Také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 deti tak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asto konč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ych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ch, prič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om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ró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mskych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sa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roku 2010 vyš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plhala 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60%,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 predstavuje okolo 15 tisí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Tento problé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sa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ak netý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ka len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ohrozený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komuní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t.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asto krá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 aj deti nepatriace do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ohrozený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komun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t, aj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mestá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vyrastajú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lo podnetnom prostredí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im neposkytuje potrebné</w:t>
      </w:r>
      <w:r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pulzy pre ich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estranný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vin. Taký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mto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kladom môž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 byť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rodiny so slabý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jmom, nefu</w:t>
      </w:r>
      <w:r w:rsidR="005C4B58">
        <w:rPr>
          <w:rFonts w:ascii="Times New Roman" w:eastAsia="Arial Unicode MS" w:hAnsi="Times New Roman"/>
          <w:color w:val="000000"/>
          <w:u w:color="000000"/>
          <w:lang w:val="sk-SK"/>
        </w:rPr>
        <w:t>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rodiny, naprí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vodu rô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znych patologický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javov ako naprí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visl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vykový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tkach, hazarde a podobne. Mnohé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klady to dokazujú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medzi iný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 aj nedá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 medializovaný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 utý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ho, niekoľ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 rokov mŕ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tveho dievč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atka v Bratislave alebo chlapca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kraja,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svojich 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smych rokov nenavš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tevoval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adnu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kolu.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Pritom viaceré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 aj 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senosti hovoria,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po absolvovaní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menej podnetné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prostredia lepš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 pripravené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absolvovanie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chovy, rozví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jajú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harmonickejš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 a väčš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ina z nich dosahuje stredoš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zdelanie. Dlhodobo sa ukazuje,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niektoré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by inak boli zaradené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l, po absolvovaní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schopné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zvlá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dnuť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bež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nej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kole.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Zavedení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by sme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rieš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li problé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orgá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ny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tnej 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vy niekedy nevedia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ochranu oprá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ujmov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ich zdravia  a zdravé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vinu od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asu, kedy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prestane poberať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momente dovŕš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enia tretieho roku veku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asu, kedy je 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dzku. Takto bude kaž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prihlá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po dosiahnutí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tvrté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roku veku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a. Vytvoria sa tak podmienky  na zlepš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enie ochrany oprá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ujmov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tvorroč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det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í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na Sloven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s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ku.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asnosti je nedostatok 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l, hlavne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mestá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ch. Povinná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chova vytvá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 podmienky, aby samosprá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ila predš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pre vš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etky deti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sa vytvorí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otvá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aj t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am, kde by doteraz nevznikli.  Vznik nový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verejný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aj neverejný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 a zvyš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ovanie 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tu tried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pre odstrá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nenie 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asti prekáž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ok pri napĺň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túž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by mať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deti. Vytvorí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tak kvalitné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zemie pre starostlivosť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 deti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podporí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pracovná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aktivita mladý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rodí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n.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zrejmé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so vznikom 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 vzniknú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pracovné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miesta pre uč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iteľ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ov, aj so stredoš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pedagogický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vzdelaní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m.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 obsahuje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prihlá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miesta 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trvalé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bydliska 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alebo do inej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beru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a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 dovŕš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tvrté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roku veku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rovnako ako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plnenia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dzky.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zdravotný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stav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nedovoľ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uje sa zúč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astniť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alebo ak je 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vyjadrenia zariadenia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poradenstva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prevencie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estranný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rozvoj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aj mimo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koly, môž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absolvovať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individuá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lnu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chovu.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Novelou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kona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navrhujeme zaviesť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povinnosť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Ministerstvo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kolstva, vedy,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skumu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portu SR poskytovať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finanč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na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hradu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kladov na vz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delá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v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materský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 nie len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päť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, ako je to upravené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súč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asnosti, al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e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aj na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tvorroč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deti.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 xml:space="preserve">Obce tak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budú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presný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prehľ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tom, koľ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je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umiestniť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,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 xml:space="preserve">a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budú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tak lepš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 vedieť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nakladať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 prostriedkami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podielový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daní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tento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el a 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prostriedkami zo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tneho rozpoč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tu.    </w:t>
      </w: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36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nebude riadne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chovu,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mu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stupcovi nebude vyplá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caná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vka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hmotnej 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dzi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pokiaľ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ide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a,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rodiny rozhodne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osobitnom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jemcovi rovnako ako v pr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neplní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 alebo ak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nezapíš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koly. Prič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om za riadne plnenie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sa považ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uje to, ak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strá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vi 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minimá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lne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80 hodí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 mesač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(okrem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padov, kedy mu t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 nedovoľ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uje zdravotný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stav alebo iné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váž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 okolnosti).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alebo jeho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stupca bude </w:t>
      </w:r>
      <w:r w:rsid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individuá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lnu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chovu, ak zdravotný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stav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mu nedovolí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kolu alebo ak je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primeraný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es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tranný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rozvoj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inak. Prič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om k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 bude musieť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vu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eobecné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leká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 alebo vyjadrenie zariadenia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poradenstva a prevencie.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prí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pade ne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bude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povolenie,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ak bude musieť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 predlož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vu, ktorá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preukazuje skutoč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nosti uvedené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vyšš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ie.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ab/>
      </w:r>
    </w:p>
    <w:p w:rsidR="00E66A9C" w:rsidRPr="005C4B58">
      <w:pPr>
        <w:suppressAutoHyphens/>
        <w:bidi w:val="0"/>
        <w:ind w:firstLine="426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 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negatí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vny vplyv na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tny rozpoč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et, rozpoč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ty obcí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vyšší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zemný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celkov, 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pozití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vny vplyv na zamestnanosť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(viď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ka vybraný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vplyvov)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negatí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vny vplyv na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ivot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prostredie, podnikateľ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prostredie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informatizá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ciu spoloč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nosti.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ind w:firstLine="426"/>
        <w:jc w:val="both"/>
        <w:outlineLvl w:val="0"/>
        <w:rPr>
          <w:rFonts w:ascii="Times New Roman" w:eastAsia="Arial Unicode MS" w:hAnsi="Times New Roman"/>
          <w:b/>
          <w:color w:val="000000"/>
          <w:sz w:val="28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 je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lade s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stavou Slovenskej republiky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, ú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stavný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mi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konmi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a s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medziná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rodný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 zmluvami,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 je Slovenská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republika viazaná.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pageBreakBefore/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sz w:val="28"/>
          <w:u w:color="000000"/>
          <w:lang w:val="sk-SK"/>
        </w:rPr>
        <w:t xml:space="preserve">B. </w:t>
        <w:tab/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>Osobitná</w:t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 xml:space="preserve"> č</w:t>
      </w:r>
      <w:r w:rsidRPr="005C4B58">
        <w:rPr>
          <w:rFonts w:ascii="Times New Roman" w:eastAsia="Arial Unicode MS" w:hAnsi="Times New Roman" w:hint="default"/>
          <w:b/>
          <w:color w:val="000000"/>
          <w:sz w:val="28"/>
          <w:u w:color="000000"/>
          <w:lang w:val="sk-SK"/>
        </w:rPr>
        <w:t>asť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sz w:val="28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I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K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bodu 1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definí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cia 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tak, aby sa predĺž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ilo obdobie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 xml:space="preserve"> jej plnenia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na dva roky,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mci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bude realizovaná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dzka ako ucelené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rne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vanie.  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2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 sa nulté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boli urč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zo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znevý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hodnené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prostredia. Vzhľ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vnu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pravu navrhovanú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ustanoveniach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19a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19b, tieto deti budú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inne navš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koly a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absolvujú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tak dva roky pr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edprimá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rne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ho vzdelá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vania, ktorý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cieľ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om je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 xml:space="preserve">ich riadne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pripraviť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dzku. Po absolvovaní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je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eš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 odlož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iatok plnenia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dzky, ak nie je spô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sobilé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ju zač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plniť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čí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sa predĺž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 jeho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na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 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tri roky.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tohto 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vodu sa stanú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nulté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nepotrebné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preto je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ich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prostriedky presunúť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financovanie 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rneho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vania.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3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kov.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 bodu 4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kov.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 bodu 5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kov.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6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K §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19a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Zavá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dza sa povinná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pre deti,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dosiahnu vek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tyroch rokov. Rovnako ako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 plnenia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budú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 musieť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svoje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nahlá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tzv. spá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dovej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urč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enej obcou alebo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podľ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ru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stupcu. Už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asnosti približ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 4%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tevuje cirkevnú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kromnú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beru pre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 zostane zachované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 zavedenia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chovy. Vzhľ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na to,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neprebieha 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adne vyuč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ovanie ako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kole, bolo nevyhnutné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zadefinovať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tak,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musí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aspoň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80 hodí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 mesač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ne. 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vodom pre taký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 je skutoč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pre riadnu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postač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uje, ak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strá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aspoň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 hodiny denne. Pre lepš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iu organizá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ciu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chovy sa stanovuje,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 bude povinný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zapí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nej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od 15. januá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 do 15. februá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sledne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ozná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 obci,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ktorej 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trvalý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pobyt, do ktorej materske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j 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koly bolo zapí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sané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. Okrem toh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 ustanovenie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19a ď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alej upravuje plnenie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pre situá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cie, kedy je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umiestnené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detskom domove alebo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inom zariadení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rozhodnutia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du. 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K §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19b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19b sa zavá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dza individuá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lna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chova, ktorá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plne nahradzuje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dzku. Navrhuje sa, aby bola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 umož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lade pí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somnej ž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iadosti od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konné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ho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stupcu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ak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vzhľ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adom 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svoj zdravotný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stav nemôž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kolu, alebo je jeho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estranný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primeraný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rozvoj vo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oblastiach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inak. Prič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om je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nahradiť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osobou starostlivosť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ou, starostlivosť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ou prostrední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ctvom prí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buz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ch, zná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mych, opatrovateľ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ky alebo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zahraničí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.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tomto ohľ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ade nekladie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iadne obmedzenia, je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ak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posudok zariadenia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poradenstva a prevencie. Ak je prostredie,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ktorom je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vychová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lo podnetné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neposkytuje do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statoč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priestor pre rozvoj jeho osobnostný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vlastností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zruč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talentov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nepripravuje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na riadnu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dzku, je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mu poskytnúť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a 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takom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 nenastú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penie na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chovu bude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iaditeľ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oznamovať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obci a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sluš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mu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radu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 rodiny.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7</w:t>
      </w:r>
      <w:r w:rsidR="004820DD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až</w:t>
      </w:r>
      <w:r w:rsidR="004820DD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 10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kov.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 bodu 11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Upravuje spô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sob prijí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mania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dzku, prijí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man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mladší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ako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tyri roky do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podobne ako je upravené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prijí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manie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iakov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dzku.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12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Stanovuje sa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prednostne prijí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 od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tyroch rokov veku na predprimá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rne vzdelá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vanie .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13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pisom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chovu.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 bodu 14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visiaca so zruš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kov.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II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 xml:space="preserve">K bodu 1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Stanovuje sa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obce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pre riadne plnenie povinnej p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ch,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je zriaď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ovateľ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om.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2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Upravuje sa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vomoc obce vykoná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tnu 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vu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prvom stupni vo veciach zanedbá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vania starostlivosti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dzku, keďž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obec bude mať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 to 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etky potre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informá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cie a v tejto veci spolupracuje s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radmi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rodiny už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asnosti pri kontrole plnenia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dzky.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Stanovuje sa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vomoc a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obce viesť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evidenciu detí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vo veku plnenia povinnej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a evidenciu toho,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materský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ju plnia.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 xml:space="preserve">K bodu 4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Upravuje sa nadpis ustanovenia tak, aby označ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oval doplnený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obsah ustanovenia.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5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Zavá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dza sa rovnaký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sob stanovenia spá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dovej 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ako pri stanov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dovej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koly.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6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Rozš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iruje sa skutková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podstata priestupku tak, aby bolo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vnom konaní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udeliť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pokutu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 si nesplní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svoju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neprihlá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dzku.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II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I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K bodu 1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Ministerstva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kolstva, vedy,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skumu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portu SR poskytovať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ciu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 dvoch rokov pred dovŕš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iestich rokov veku, namiesto súč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jedné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ho roka.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2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prava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vi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siaca s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predĺž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obdobia, poč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as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bude poskytovaná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cia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materskej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kole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Ministerstva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kolstva, vedy,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skumu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portu SR. 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IV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1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Upravuje sa definí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cia predmetu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vnej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pravy tak, aby obsahovala zmeny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podmienkach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oku na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na starostlivosť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2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podmienky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roku na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na starostlivosť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tak, aby ho okrem pracujú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alebo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tudujú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stupcov s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mi do troch rokov veku mohli zí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ia,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deti p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lnia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dzku, ak splnia ostatné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predpoklady. Ponechá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 sa aj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skať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spevok do výš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stanovenej v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5 ods. 1 pí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sm. a)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kona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o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spevku na starostlivosť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a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na reá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vynalož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klady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bude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tevo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materskú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do výš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 stanovenej v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5 ods. 1 pí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sm. b)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tohto zá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kona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, ak sa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bude starať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osobne rodič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>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nadvä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znosti na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pravu ustanovenia §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4 ods. 1, kde sú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 stanovené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alternatí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vne, bolo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upraviť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ostatné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podmienky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tak aby ich bolo potrebné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splniť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kumulatí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vne ako doteraz. 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V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Upravuje sa jednak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obce nahlá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radu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rodiny skutoč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konný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stupca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nezapí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sal na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roveň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aj povinnosť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ma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terskej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koly poskytovať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informá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cie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neplnení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povinnej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dzky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om 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radu 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ce, sociá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lnych vecí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rodiny.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pade, 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 si oprá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vnená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osoba neplní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riadne svoje povinnosti, je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rozhodnúť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osobitnom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jemcovi 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davku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 tak,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ako je to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prí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pade neplnenia si povinnej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kolskej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dzky. 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VI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K bodu 1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podmienky, na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klade ktorý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orgá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 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tnej sprá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vy </w:t>
      </w:r>
      <w:r w:rsidR="004820DD">
        <w:rPr>
          <w:rFonts w:ascii="Times New Roman" w:eastAsia="Arial Unicode MS" w:hAnsi="Times New Roman"/>
          <w:color w:val="000000"/>
          <w:u w:color="000000"/>
          <w:lang w:val="sk-SK"/>
        </w:rPr>
        <w:t>rozhodne o 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odň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atí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alebo nepriznaní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vky</w:t>
      </w: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hmotnej 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dzi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riadne neplní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dzku.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 w:hint="default"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2</w:t>
      </w:r>
    </w:p>
    <w:p w:rsidR="00E66A9C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Upravujú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podmienky poskytovania dá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vky v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hmotnej 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dzi na dieť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a,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navš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tevuje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dochá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dzku. </w:t>
      </w:r>
    </w:p>
    <w:p w:rsidR="004820DD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</w:p>
    <w:p w:rsidR="004820DD" w:rsidRPr="004820DD">
      <w:pPr>
        <w:suppressAutoHyphens/>
        <w:bidi w:val="0"/>
        <w:jc w:val="both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  <w:r w:rsidRPr="004820DD">
        <w:rPr>
          <w:rFonts w:ascii="Times New Roman" w:eastAsia="Arial Unicode MS" w:hAnsi="Times New Roman"/>
          <w:b/>
          <w:color w:val="000000"/>
          <w:u w:color="000000"/>
          <w:lang w:val="sk-SK"/>
        </w:rPr>
        <w:t>K bodu 3</w:t>
      </w:r>
    </w:p>
    <w:p w:rsidR="004820DD" w:rsidRPr="005C4B58">
      <w:pPr>
        <w:suppressAutoHyphens/>
        <w:bidi w:val="0"/>
        <w:jc w:val="both"/>
        <w:outlineLvl w:val="0"/>
        <w:rPr>
          <w:rFonts w:ascii="Times New Roman" w:eastAsia="Arial Unicode MS" w:hAnsi="Times New Roman"/>
          <w:color w:val="000000"/>
          <w:u w:color="000000"/>
          <w:lang w:val="sk-SK"/>
        </w:rPr>
      </w:pPr>
      <w:r>
        <w:rPr>
          <w:rFonts w:ascii="Times New Roman" w:eastAsia="Arial Unicode MS" w:hAnsi="Times New Roman" w:hint="default"/>
          <w:color w:val="000000"/>
          <w:u w:color="000000"/>
          <w:lang w:val="sk-SK"/>
        </w:rPr>
        <w:t>Legislatí</w:t>
      </w:r>
      <w:r>
        <w:rPr>
          <w:rFonts w:ascii="Times New Roman" w:eastAsia="Arial Unicode MS" w:hAnsi="Times New Roman" w:hint="default"/>
          <w:color w:val="000000"/>
          <w:u w:color="000000"/>
          <w:lang w:val="sk-SK"/>
        </w:rPr>
        <w:t>vno-technická</w:t>
      </w:r>
      <w:r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</w:t>
      </w:r>
      <w:r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prava. </w:t>
      </w: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/>
          <w:b/>
          <w:color w:val="000000"/>
          <w:u w:color="000000"/>
          <w:lang w:val="sk-SK"/>
        </w:rPr>
      </w:pPr>
    </w:p>
    <w:p w:rsidR="00E66A9C" w:rsidRPr="005C4B58">
      <w:pPr>
        <w:suppressAutoHyphens/>
        <w:bidi w:val="0"/>
        <w:outlineLvl w:val="0"/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</w:pPr>
      <w:r w:rsidRPr="005C4B58">
        <w:rPr>
          <w:rFonts w:ascii="Times New Roman" w:eastAsia="Arial Unicode MS" w:hAnsi="Times New Roman"/>
          <w:b/>
          <w:color w:val="000000"/>
          <w:u w:color="000000"/>
          <w:lang w:val="sk-SK"/>
        </w:rPr>
        <w:t>K 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Č</w:t>
      </w:r>
      <w:r w:rsidRPr="005C4B58">
        <w:rPr>
          <w:rFonts w:ascii="Times New Roman" w:eastAsia="Arial Unicode MS" w:hAnsi="Times New Roman" w:hint="default"/>
          <w:b/>
          <w:color w:val="000000"/>
          <w:u w:color="000000"/>
          <w:lang w:val="sk-SK"/>
        </w:rPr>
        <w:t>l. VII</w:t>
      </w:r>
    </w:p>
    <w:p w:rsidR="00E66A9C" w:rsidRPr="005C4B58">
      <w:pPr>
        <w:suppressAutoHyphens/>
        <w:bidi w:val="0"/>
        <w:jc w:val="both"/>
        <w:outlineLvl w:val="0"/>
        <w:rPr>
          <w:rFonts w:ascii="Times New Roman" w:hAnsi="Times New Roman"/>
          <w:noProof/>
          <w:sz w:val="20"/>
          <w:lang w:val="sk-SK"/>
        </w:rPr>
      </w:pPr>
      <w:r w:rsidRPr="005C4B58">
        <w:rPr>
          <w:rFonts w:ascii="Times New Roman" w:eastAsia="Arial Unicode MS" w:hAnsi="Times New Roman"/>
          <w:color w:val="000000"/>
          <w:u w:color="000000"/>
          <w:lang w:val="sk-SK"/>
        </w:rPr>
        <w:t xml:space="preserve">Navrhuje 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sa stanoviť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od 1. januá</w:t>
      </w:r>
      <w:r w:rsidR="004820DD">
        <w:rPr>
          <w:rFonts w:ascii="Times New Roman" w:eastAsia="Arial Unicode MS" w:hAnsi="Times New Roman" w:hint="default"/>
          <w:color w:val="000000"/>
          <w:u w:color="000000"/>
          <w:lang w:val="sk-SK"/>
        </w:rPr>
        <w:t>ra 2016</w:t>
      </w:r>
      <w:r w:rsidR="00485C9F">
        <w:rPr>
          <w:rFonts w:ascii="Times New Roman" w:eastAsia="Arial Unicode MS" w:hAnsi="Times New Roman" w:hint="default"/>
          <w:color w:val="000000"/>
          <w:u w:color="000000"/>
          <w:lang w:val="sk-SK"/>
        </w:rPr>
        <w:t>, okrem prá</w:t>
      </w:r>
      <w:r w:rsidR="00485C9F">
        <w:rPr>
          <w:rFonts w:ascii="Times New Roman" w:eastAsia="Arial Unicode MS" w:hAnsi="Times New Roman" w:hint="default"/>
          <w:color w:val="000000"/>
          <w:u w:color="000000"/>
          <w:lang w:val="sk-SK"/>
        </w:rPr>
        <w:t>vnej ú</w:t>
      </w:r>
      <w:r w:rsidR="00485C9F">
        <w:rPr>
          <w:rFonts w:ascii="Times New Roman" w:eastAsia="Arial Unicode MS" w:hAnsi="Times New Roman" w:hint="default"/>
          <w:color w:val="000000"/>
          <w:u w:color="000000"/>
          <w:lang w:val="sk-SK"/>
        </w:rPr>
        <w:t>prav</w:t>
      </w:r>
      <w:r w:rsidR="00485C9F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y. 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vodom pre odlož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enie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innosti je potreba zabezpeč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finanč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, priestorové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a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personá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lne podmienky pre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chovu. Ustanovenia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vrhu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kona, ktoré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nadobú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úč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innosť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o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dva roky neskô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r ako zvyš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ok ná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vrhu zá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kona</w:t>
      </w:r>
      <w:r w:rsidR="00485C9F">
        <w:rPr>
          <w:rFonts w:ascii="Times New Roman" w:eastAsia="Arial Unicode MS" w:hAnsi="Times New Roman"/>
          <w:color w:val="000000"/>
          <w:u w:color="000000"/>
          <w:lang w:val="sk-SK"/>
        </w:rPr>
        <w:t>,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sa 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kajú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nultý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ov. Z 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dô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vodu prechodné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ho obdobia, ký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m prvé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deti absolvujú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povinnú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predš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kolskú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vý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chovu, navrhujeme 2 roky ponechať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mož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nosť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zriadiť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nulté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roč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ní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>ky, po tomto období</w:t>
      </w:r>
      <w:r w:rsidRPr="005C4B58">
        <w:rPr>
          <w:rFonts w:ascii="Times New Roman" w:eastAsia="Arial Unicode MS" w:hAnsi="Times New Roman" w:hint="default"/>
          <w:color w:val="000000"/>
          <w:u w:color="000000"/>
          <w:lang w:val="sk-SK"/>
        </w:rPr>
        <w:t xml:space="preserve"> stratia svoje opodstatnenie. </w:t>
      </w:r>
    </w:p>
    <w:sectPr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start w:val="3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4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5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6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oNotTrackMoves/>
  <w:defaultTabStop w:val="720"/>
  <w:drawingGridHorizontalSpacing w:val="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315748"/>
    <w:rsid w:val="000A561F"/>
    <w:rsid w:val="00315748"/>
    <w:rsid w:val="004820DD"/>
    <w:rsid w:val="00485C9F"/>
    <w:rsid w:val="005C4B58"/>
    <w:rsid w:val="009F0D0E"/>
    <w:rsid w:val="00E66A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0">
    <w:name w:val="List 0"/>
    <w:basedOn w:val="ImportWordListStyleDefinition1858688818"/>
    <w:semiHidden/>
    <w:pPr>
      <w:numPr>
        <w:numId w:val="1"/>
      </w:numPr>
      <w:tabs>
        <w:tab w:val="num" w:pos="348"/>
        <w:tab w:val="clear" w:pos="360"/>
      </w:tabs>
      <w:ind w:left="348"/>
      <w:jc w:val="left"/>
    </w:pPr>
  </w:style>
  <w:style w:type="paragraph" w:customStyle="1" w:styleId="ImportWordListStyleDefinition1858688818">
    <w:name w:val="Import Word List Style Definition 1858688818"/>
    <w:pPr>
      <w:framePr w:wrap="auto"/>
      <w:widowControl/>
      <w:numPr>
        <w:numId w:val="2"/>
      </w:numPr>
      <w:tabs>
        <w:tab w:val="num" w:pos="360"/>
      </w:tabs>
      <w:autoSpaceDE/>
      <w:autoSpaceDN/>
      <w:adjustRightInd/>
      <w:ind w:left="360" w:right="0" w:firstLine="36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locked/>
    <w:rsid w:val="005C4B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5C4B58"/>
    <w:rPr>
      <w:rFonts w:ascii="Tahoma" w:hAnsi="Tahoma" w:cs="Tahoma"/>
      <w:sz w:val="16"/>
      <w:szCs w:val="16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2435</Words>
  <Characters>13884</Characters>
  <Application>Microsoft Office Word</Application>
  <DocSecurity>0</DocSecurity>
  <Lines>0</Lines>
  <Paragraphs>0</Paragraphs>
  <ScaleCrop>false</ScaleCrop>
  <Company>Kancelaria NR SR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2013-04-25T10:37:00Z</cp:lastPrinted>
  <dcterms:created xsi:type="dcterms:W3CDTF">2013-04-26T14:45:00Z</dcterms:created>
  <dcterms:modified xsi:type="dcterms:W3CDTF">2013-04-26T14:45:00Z</dcterms:modified>
</cp:coreProperties>
</file>