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widowControl w:val="0"/>
        <w:autoSpaceDE w:val="0"/>
        <w:autoSpaceDN w:val="0"/>
        <w:adjustRightInd w:val="0"/>
        <w:ind w:right="-114"/>
        <w:jc w:val="center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/>
          <w:color w:val="auto"/>
        </w:rPr>
        <w:t>DOLOŽKA VYBRANÝCH VPLYVOV</w:t>
      </w:r>
    </w:p>
    <w:p>
      <w:pPr>
        <w:widowControl w:val="0"/>
        <w:autoSpaceDE w:val="0"/>
        <w:autoSpaceDN w:val="0"/>
        <w:adjustRightInd w:val="0"/>
        <w:ind w:right="-114"/>
        <w:jc w:val="center"/>
        <w:rPr>
          <w:rFonts w:ascii="TimesNewRomanPSMT" w:hAnsi="TimesNewRomanPSMT" w:cs="TimesNewRomanPSMT"/>
          <w:b w:val="0"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rPr>
          <w:rFonts w:ascii="TimesNewRomanPSMT" w:hAnsi="TimesNewRomanPSMT" w:cs="TimesNewRomanPSMT"/>
          <w:b/>
          <w:color w:val="auto"/>
        </w:rPr>
      </w:pPr>
      <w:r>
        <w:rPr>
          <w:rFonts w:ascii="TimesNewRomanPSMT" w:hAnsi="TimesNewRomanPSMT" w:cs="TimesNewRomanPSMT"/>
          <w:b/>
          <w:color w:val="auto"/>
        </w:rPr>
        <w:t xml:space="preserve">A.1. Názov materiálu: 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 w:val="0"/>
          <w:color w:val="auto"/>
          <w:sz w:val="22"/>
        </w:rPr>
        <w:t xml:space="preserve">Návrh zákona </w:t>
      </w:r>
      <w:r>
        <w:rPr>
          <w:rFonts w:ascii="TimesNewRomanPSMT" w:hAnsi="TimesNewRomanPSMT" w:cs="TimesNewRomanPSMT"/>
          <w:b w:val="0"/>
          <w:color w:val="auto"/>
        </w:rPr>
        <w:t>ktorým sa dop</w:t>
      </w:r>
      <w:r>
        <w:rPr>
          <w:rFonts w:ascii="TimesNewRomanPSMT" w:hAnsi="TimesNewRomanPSMT" w:cs="TimesNewRomanPSMT"/>
          <w:b w:val="0"/>
          <w:color w:val="auto"/>
        </w:rPr>
        <w:t>ĺňa zákon č. 223/2001 Z. z. o odpadoch a o zmene a doplnení niektorých zákonov v znení neskorších predpisov a ktorým sa dopĺňa zákon č. 8/2009 Z. z. o cestnej premávke a o zmene a doplnení niektorých zákonov v znení neskorších predpisov.</w:t>
      </w:r>
    </w:p>
    <w:p>
      <w:pPr>
        <w:widowControl w:val="0"/>
        <w:autoSpaceDE w:val="0"/>
        <w:autoSpaceDN w:val="0"/>
        <w:adjustRightInd w:val="0"/>
        <w:ind w:right="-6" w:firstLine="708"/>
        <w:jc w:val="both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 w:val="0"/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 w:val="0"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/>
          <w:color w:val="auto"/>
        </w:rPr>
        <w:t>A.2. Vplyvy:</w:t>
      </w:r>
    </w:p>
    <w:p>
      <w:pPr>
        <w:widowControl w:val="0"/>
        <w:autoSpaceDE w:val="0"/>
        <w:autoSpaceDN w:val="0"/>
        <w:adjustRightInd w:val="0"/>
        <w:ind w:right="-6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 w:val="0"/>
          <w:color w:val="auto"/>
        </w:rPr>
        <w:t> </w:t>
      </w:r>
    </w:p>
    <w:tbl>
      <w:tblPr>
        <w:tblW w:w="756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0" w:type="dxa"/>
          <w:bottom w:w="0" w:type="dxa"/>
        </w:tblCellMar>
      </w:tblPr>
      <w:tblGrid>
        <w:gridCol w:w="2268"/>
        <w:gridCol w:w="2160"/>
        <w:gridCol w:w="2160"/>
        <w:gridCol w:w="2160"/>
      </w:tblGrid>
      <w:tr>
        <w:tblPrEx>
          <w:tblW w:w="7564" w:type="dxa"/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 w:val="0"/>
                <w:color w:val="auto"/>
              </w:rPr>
            </w:pPr>
            <w:r>
              <w:rPr>
                <w:rFonts w:ascii="TimesNewRomanPSMT" w:hAnsi="TimesNewRomanPSMT" w:cs="TimesNewRomanPSMT"/>
                <w:b w:val="0"/>
                <w:color w:val="auto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color w:val="auto"/>
              </w:rPr>
              <w:t>Pozitívne</w:t>
            </w:r>
            <w:r>
              <w:rPr>
                <w:rFonts w:ascii="TimesNewRomanPSMT" w:hAnsi="TimesNewRomanPSMT" w:cs="TimesNewRomanPSMT"/>
                <w:b w:val="0"/>
                <w:color w:val="auto"/>
                <w:sz w:val="16"/>
                <w:vertAlign w:val="superscript"/>
              </w:rPr>
              <w:t>*</w:t>
            </w:r>
            <w:r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  <w:t>Žiadne</w:t>
            </w:r>
            <w:r>
              <w:rPr>
                <w:rFonts w:ascii="TimesNewRomanPSMT" w:hAnsi="TimesNewRomanPSMT" w:cs="TimesNewRomanPSMT"/>
                <w:b w:val="0"/>
                <w:color w:val="auto"/>
                <w:sz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  <w:t>Negatívne</w:t>
            </w:r>
            <w:r>
              <w:rPr>
                <w:rFonts w:ascii="TimesNewRomanPSMT" w:hAnsi="TimesNewRomanPSMT" w:cs="TimesNewRomanPSMT"/>
                <w:b w:val="0"/>
                <w:color w:val="auto"/>
                <w:sz w:val="16"/>
                <w:vertAlign w:val="superscript"/>
              </w:rPr>
              <w:t>*</w:t>
            </w:r>
          </w:p>
        </w:tc>
      </w:tr>
      <w:tr>
        <w:tblPrEx>
          <w:tblW w:w="7564" w:type="dxa"/>
          <w:tblLayout w:type="fixed"/>
          <w:tblCellMar>
            <w:top w:w="0" w:type="dxa"/>
            <w:bottom w:w="0" w:type="dxa"/>
          </w:tblCellMar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color w:val="auto"/>
                <w:sz w:val="22"/>
                <w:vertAlign w:val="baseline"/>
              </w:rPr>
              <w:t>1. Vplyvy na rozpo</w:t>
            </w:r>
            <w:r>
              <w:rPr>
                <w:rFonts w:ascii="TimesNewRomanPSMT" w:hAnsi="TimesNewRomanPSMT" w:cs="TimesNewRomanPSMT"/>
                <w:b w:val="0"/>
                <w:color w:val="auto"/>
                <w:sz w:val="22"/>
                <w:vertAlign w:val="baseline"/>
              </w:rPr>
              <w:t>čet verejnej správy</w:t>
            </w:r>
          </w:p>
          <w:p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/>
                <w:color w:val="auto"/>
                <w:sz w:val="22"/>
                <w:vertAlign w:val="baseline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 </w:t>
            </w:r>
          </w:p>
        </w:tc>
      </w:tr>
      <w:tr>
        <w:tblPrEx>
          <w:tblW w:w="7564" w:type="dxa"/>
          <w:tblLayout w:type="fixed"/>
          <w:tblCellMar>
            <w:top w:w="0" w:type="dxa"/>
            <w:bottom w:w="0" w:type="dxa"/>
          </w:tblCellMar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sz w:val="22"/>
                <w:vertAlign w:val="baseline"/>
              </w:rPr>
              <w:t>2. Vplyvy na podnikate</w:t>
            </w:r>
            <w:r>
              <w:rPr>
                <w:rFonts w:ascii="TimesNewRomanPSMT" w:hAnsi="TimesNewRomanPSMT" w:cs="TimesNewRomanPSMT"/>
                <w:b w:val="0"/>
                <w:i w:val="0"/>
                <w:color w:val="auto"/>
                <w:sz w:val="22"/>
                <w:vertAlign w:val="baseline"/>
              </w:rPr>
              <w:t>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 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 </w:t>
            </w:r>
          </w:p>
        </w:tc>
      </w:tr>
      <w:tr>
        <w:tblPrEx>
          <w:tblW w:w="7564" w:type="dxa"/>
          <w:tblLayout w:type="fixed"/>
          <w:tblCellMar>
            <w:top w:w="0" w:type="dxa"/>
            <w:bottom w:w="0" w:type="dxa"/>
          </w:tblCellMar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sz w:val="22"/>
                <w:vertAlign w:val="baseline"/>
              </w:rPr>
              <w:t>3, Sociálne vplyvy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 xml:space="preserve"> 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 </w:t>
            </w:r>
          </w:p>
        </w:tc>
      </w:tr>
      <w:tr>
        <w:tblPrEx>
          <w:tblW w:w="7564" w:type="dxa"/>
          <w:tblLayout w:type="fixed"/>
          <w:tblCellMar>
            <w:top w:w="0" w:type="dxa"/>
            <w:bottom w:w="0" w:type="dxa"/>
          </w:tblCellMar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sz w:val="22"/>
                <w:vertAlign w:val="baseline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 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 </w:t>
            </w:r>
          </w:p>
        </w:tc>
      </w:tr>
      <w:tr>
        <w:tblPrEx>
          <w:tblW w:w="7564" w:type="dxa"/>
          <w:tblLayout w:type="fixed"/>
          <w:tblCellMar>
            <w:top w:w="0" w:type="dxa"/>
            <w:bottom w:w="0" w:type="dxa"/>
          </w:tblCellMar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sz w:val="22"/>
                <w:vertAlign w:val="baseline"/>
              </w:rPr>
              <w:t>5. Vplyvy na informatizáciu spolo</w:t>
            </w:r>
            <w:r>
              <w:rPr>
                <w:rFonts w:ascii="TimesNewRomanPSMT" w:hAnsi="TimesNewRomanPSMT" w:cs="TimesNewRomanPSMT"/>
                <w:b w:val="0"/>
                <w:i w:val="0"/>
                <w:color w:val="auto"/>
                <w:sz w:val="22"/>
                <w:vertAlign w:val="baseline"/>
              </w:rPr>
              <w:t>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 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 </w:t>
            </w:r>
          </w:p>
        </w:tc>
      </w:tr>
    </w:tbl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i w:val="0"/>
          <w:color w:val="auto"/>
          <w:sz w:val="16"/>
          <w:vertAlign w:val="baseline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sz w:val="16"/>
          <w:vertAlign w:val="baseline"/>
        </w:rPr>
      </w:pPr>
      <w:r>
        <w:rPr>
          <w:rFonts w:ascii="TimesNewRomanPSMT" w:hAnsi="TimesNewRomanPSMT" w:cs="TimesNewRomanPSMT"/>
          <w:b/>
          <w:i w:val="0"/>
          <w:color w:val="auto"/>
          <w:sz w:val="16"/>
          <w:vertAlign w:val="baseline"/>
        </w:rPr>
        <w:t>*</w:t>
      </w:r>
      <w:r>
        <w:rPr>
          <w:rFonts w:ascii="TimesNewRomanPSMT" w:hAnsi="TimesNewRomanPSMT" w:cs="TimesNewRomanPSMT"/>
          <w:b w:val="0"/>
          <w:i w:val="0"/>
          <w:color w:val="auto"/>
          <w:sz w:val="16"/>
          <w:vertAlign w:val="baseline"/>
        </w:rPr>
        <w:t xml:space="preserve"> Predkladate</w:t>
      </w:r>
      <w:r>
        <w:rPr>
          <w:rFonts w:ascii="TimesNewRomanPSMT" w:hAnsi="TimesNewRomanPSMT" w:cs="TimesNewRomanPSMT"/>
          <w:b w:val="0"/>
          <w:i w:val="0"/>
          <w:color w:val="auto"/>
          <w:sz w:val="16"/>
          <w:vertAlign w:val="baseline"/>
        </w:rPr>
        <w:t>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sz w:val="16"/>
          <w:vertAlign w:val="baseline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</w:p>
    <w:p>
      <w:pPr>
        <w:widowControl w:val="0"/>
        <w:autoSpaceDE w:val="0"/>
        <w:autoSpaceDN w:val="0"/>
        <w:adjustRightInd w:val="0"/>
        <w:ind w:right="-12"/>
        <w:jc w:val="both"/>
        <w:rPr>
          <w:rFonts w:ascii="TimesNewRomanPSMT" w:hAnsi="TimesNewRomanPSMT" w:cs="TimesNewRomanPSMT"/>
          <w:b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/>
          <w:i w:val="0"/>
          <w:color w:val="auto"/>
          <w:vertAlign w:val="baseline"/>
        </w:rPr>
        <w:t xml:space="preserve">1. </w:t>
      </w:r>
      <w:r>
        <w:rPr>
          <w:rFonts w:ascii="TimesNewRomanPSMT" w:hAnsi="TimesNewRomanPSMT" w:cs="TimesNewRomanPSMT"/>
          <w:b/>
          <w:i w:val="0"/>
          <w:color w:val="auto"/>
          <w:sz w:val="22"/>
          <w:vertAlign w:val="baseline"/>
        </w:rPr>
        <w:t>Vplyvy na rozpo</w:t>
      </w:r>
      <w:r>
        <w:rPr>
          <w:rFonts w:ascii="TimesNewRomanPSMT" w:hAnsi="TimesNewRomanPSMT" w:cs="TimesNewRomanPSMT"/>
          <w:b/>
          <w:i w:val="0"/>
          <w:color w:val="auto"/>
          <w:sz w:val="22"/>
          <w:vertAlign w:val="baseline"/>
        </w:rPr>
        <w:t>čet verejnej správy</w:t>
      </w:r>
    </w:p>
    <w:p>
      <w:pPr>
        <w:widowControl w:val="0"/>
        <w:autoSpaceDE w:val="0"/>
        <w:autoSpaceDN w:val="0"/>
        <w:adjustRightInd w:val="0"/>
        <w:ind w:right="-6" w:firstLine="720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Predložený návrh zákona nebude ma</w:t>
      </w: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ť dopad na štátny rozpočet a nemá vplyv na rozpočty obcí, rozpočty vyšších územných celkov a hospodárenie verejnoprávnych inštitúcií.</w:t>
      </w:r>
    </w:p>
    <w:p>
      <w:pPr>
        <w:widowControl w:val="0"/>
        <w:autoSpaceDE w:val="0"/>
        <w:autoSpaceDN w:val="0"/>
        <w:adjustRightInd w:val="0"/>
        <w:ind w:right="-6" w:firstLine="720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ind w:right="-12"/>
        <w:jc w:val="both"/>
        <w:rPr>
          <w:rFonts w:ascii="TimesNewRomanPSMT" w:hAnsi="TimesNewRomanPSMT" w:cs="TimesNewRomanPSMT"/>
          <w:b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/>
          <w:i w:val="0"/>
          <w:color w:val="auto"/>
          <w:vertAlign w:val="baseline"/>
        </w:rPr>
        <w:t xml:space="preserve">2. </w:t>
      </w:r>
      <w:r>
        <w:rPr>
          <w:rFonts w:ascii="TimesNewRomanPSMT" w:hAnsi="TimesNewRomanPSMT" w:cs="TimesNewRomanPSMT"/>
          <w:b/>
          <w:i w:val="0"/>
          <w:color w:val="auto"/>
          <w:sz w:val="22"/>
          <w:vertAlign w:val="baseline"/>
        </w:rPr>
        <w:t>Vplyvy na podnikate</w:t>
      </w:r>
      <w:r>
        <w:rPr>
          <w:rFonts w:ascii="TimesNewRomanPSMT" w:hAnsi="TimesNewRomanPSMT" w:cs="TimesNewRomanPSMT"/>
          <w:b/>
          <w:i w:val="0"/>
          <w:color w:val="auto"/>
          <w:sz w:val="22"/>
          <w:vertAlign w:val="baseline"/>
        </w:rPr>
        <w:t>ľské prostredie</w:t>
      </w:r>
    </w:p>
    <w:p>
      <w:pPr>
        <w:widowControl w:val="0"/>
        <w:autoSpaceDE w:val="0"/>
        <w:autoSpaceDN w:val="0"/>
        <w:adjustRightInd w:val="0"/>
        <w:ind w:right="-6" w:firstLine="851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Návrh zákona je v súlade s legislatívou formujúcou podnikate</w:t>
      </w: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 xml:space="preserve">ľské prostredie a nemá vplyv na administratívne štruktúry a administratívne opatrenia v tejto oblasti. </w:t>
      </w:r>
    </w:p>
    <w:p>
      <w:pPr>
        <w:widowControl w:val="0"/>
        <w:autoSpaceDE w:val="0"/>
        <w:autoSpaceDN w:val="0"/>
        <w:adjustRightInd w:val="0"/>
        <w:ind w:right="-12"/>
        <w:jc w:val="both"/>
        <w:rPr>
          <w:rFonts w:ascii="TimesNewRomanPSMT" w:hAnsi="TimesNewRomanPSMT" w:cs="TimesNewRomanPSMT"/>
          <w:b/>
          <w:i w:val="0"/>
          <w:color w:val="auto"/>
          <w:vertAlign w:val="baseline"/>
        </w:rPr>
      </w:pPr>
    </w:p>
    <w:p>
      <w:pPr>
        <w:widowControl w:val="0"/>
        <w:tabs>
          <w:tab w:val="left" w:pos="360"/>
        </w:tabs>
        <w:autoSpaceDE w:val="0"/>
        <w:autoSpaceDN w:val="0"/>
        <w:adjustRightInd w:val="0"/>
        <w:ind w:right="-12"/>
        <w:jc w:val="both"/>
        <w:rPr>
          <w:rFonts w:ascii="TimesNewRomanPSMT" w:hAnsi="TimesNewRomanPSMT" w:cs="TimesNewRomanPSMT"/>
          <w:b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/>
          <w:i w:val="0"/>
          <w:color w:val="auto"/>
          <w:vertAlign w:val="baseline"/>
        </w:rPr>
        <w:t>3. Sociálne vplyvy</w:t>
      </w:r>
    </w:p>
    <w:p>
      <w:pPr>
        <w:widowControl w:val="0"/>
        <w:autoSpaceDE w:val="0"/>
        <w:autoSpaceDN w:val="0"/>
        <w:adjustRightInd w:val="0"/>
        <w:ind w:right="-12" w:firstLine="851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Návrh zákona bude ma</w:t>
      </w: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ť priaznivé sociálne vplyvy.</w:t>
      </w:r>
    </w:p>
    <w:p>
      <w:pPr>
        <w:widowControl w:val="0"/>
        <w:autoSpaceDE w:val="0"/>
        <w:autoSpaceDN w:val="0"/>
        <w:adjustRightInd w:val="0"/>
        <w:ind w:right="-12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</w:p>
    <w:p>
      <w:pPr>
        <w:widowControl w:val="0"/>
        <w:tabs>
          <w:tab w:val="left" w:pos="360"/>
        </w:tabs>
        <w:autoSpaceDE w:val="0"/>
        <w:autoSpaceDN w:val="0"/>
        <w:adjustRightInd w:val="0"/>
        <w:ind w:right="-12"/>
        <w:jc w:val="both"/>
        <w:rPr>
          <w:rFonts w:ascii="TimesNewRomanPSMT" w:hAnsi="TimesNewRomanPSMT" w:cs="TimesNewRomanPSMT"/>
          <w:b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/>
          <w:i w:val="0"/>
          <w:color w:val="auto"/>
          <w:sz w:val="22"/>
          <w:vertAlign w:val="baseline"/>
        </w:rPr>
        <w:t>4. Vplyvy na životné prostredie</w:t>
      </w:r>
    </w:p>
    <w:p>
      <w:pPr>
        <w:widowControl w:val="0"/>
        <w:autoSpaceDE w:val="0"/>
        <w:autoSpaceDN w:val="0"/>
        <w:adjustRightInd w:val="0"/>
        <w:ind w:right="-6" w:firstLine="851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Návrh zákona nemá dopad na životné prostredie.</w:t>
      </w:r>
    </w:p>
    <w:p>
      <w:pPr>
        <w:widowControl w:val="0"/>
        <w:autoSpaceDE w:val="0"/>
        <w:autoSpaceDN w:val="0"/>
        <w:adjustRightInd w:val="0"/>
        <w:ind w:right="-12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i w:val="0"/>
          <w:color w:val="auto"/>
          <w:sz w:val="22"/>
          <w:vertAlign w:val="baseline"/>
        </w:rPr>
      </w:pPr>
      <w:r>
        <w:rPr>
          <w:rFonts w:ascii="TimesNewRomanPSMT" w:hAnsi="TimesNewRomanPSMT" w:cs="TimesNewRomanPSMT"/>
          <w:b/>
          <w:i w:val="0"/>
          <w:color w:val="auto"/>
          <w:sz w:val="22"/>
          <w:vertAlign w:val="baseline"/>
        </w:rPr>
        <w:t>5. Vplyvy na informatizáciu spolo</w:t>
      </w:r>
      <w:r>
        <w:rPr>
          <w:rFonts w:ascii="TimesNewRomanPSMT" w:hAnsi="TimesNewRomanPSMT" w:cs="TimesNewRomanPSMT"/>
          <w:b/>
          <w:i w:val="0"/>
          <w:color w:val="auto"/>
          <w:sz w:val="22"/>
          <w:vertAlign w:val="baseline"/>
        </w:rPr>
        <w:t>čnosti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sz w:val="22"/>
          <w:vertAlign w:val="baseline"/>
        </w:rPr>
      </w:pPr>
      <w:r>
        <w:rPr>
          <w:rFonts w:ascii="TimesNewRomanPSMT" w:hAnsi="TimesNewRomanPSMT" w:cs="TimesNewRomanPSMT"/>
          <w:b/>
          <w:i w:val="0"/>
          <w:color w:val="auto"/>
          <w:sz w:val="22"/>
          <w:vertAlign w:val="baseline"/>
        </w:rPr>
        <w:tab/>
        <w:t xml:space="preserve">   </w:t>
      </w:r>
      <w:r>
        <w:rPr>
          <w:rFonts w:ascii="TimesNewRomanPSMT" w:hAnsi="TimesNewRomanPSMT" w:cs="TimesNewRomanPSMT"/>
          <w:b w:val="0"/>
          <w:i w:val="0"/>
          <w:color w:val="auto"/>
          <w:sz w:val="22"/>
          <w:vertAlign w:val="baseline"/>
        </w:rPr>
        <w:t>Návrh zákona nemá žiadny vplyv na informatizáciu spolo</w:t>
      </w:r>
      <w:r>
        <w:rPr>
          <w:rFonts w:ascii="TimesNewRomanPSMT" w:hAnsi="TimesNewRomanPSMT" w:cs="TimesNewRomanPSMT"/>
          <w:b w:val="0"/>
          <w:i w:val="0"/>
          <w:color w:val="auto"/>
          <w:sz w:val="22"/>
          <w:vertAlign w:val="baseline"/>
        </w:rPr>
        <w:t>čnosti.</w:t>
      </w:r>
    </w:p>
    <w:sectPr>
      <w:pgSz w:w="11900" w:h="16840"/>
      <w:pgMar w:top="1417" w:right="1417" w:bottom="1417" w:left="1417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charset w:val="00"/>
    <w:family w:val="roma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revision>0</cp:revision>
</cp:coreProperties>
</file>