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15711" w:rsidRPr="00C15711" w:rsidP="00C15711">
      <w:pPr>
        <w:bidi w:val="0"/>
        <w:spacing w:after="0" w:line="240" w:lineRule="auto"/>
        <w:jc w:val="center"/>
        <w:rPr>
          <w:rFonts w:ascii="Times New Roman" w:hAnsi="Times New Roman" w:cs="Times New Roman"/>
          <w:b/>
          <w:sz w:val="28"/>
          <w:szCs w:val="28"/>
          <w:lang w:eastAsia="sk-SK"/>
        </w:rPr>
      </w:pPr>
      <w:r w:rsidRPr="00C15711">
        <w:rPr>
          <w:rFonts w:ascii="Times New Roman" w:hAnsi="Times New Roman" w:cs="Times New Roman"/>
          <w:b/>
          <w:sz w:val="28"/>
          <w:szCs w:val="28"/>
          <w:lang w:eastAsia="sk-SK"/>
        </w:rPr>
        <w:t>D ô v o d o v á  s p r á v a</w:t>
      </w:r>
    </w:p>
    <w:p w:rsidR="00C15711" w:rsidRPr="00C15711" w:rsidP="00C15711">
      <w:pPr>
        <w:bidi w:val="0"/>
        <w:spacing w:after="0" w:line="240" w:lineRule="auto"/>
        <w:jc w:val="both"/>
        <w:rPr>
          <w:rFonts w:ascii="Times New Roman" w:hAnsi="Times New Roman" w:cs="Times New Roman"/>
          <w:b/>
          <w:sz w:val="32"/>
          <w:szCs w:val="32"/>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A. Všeobecná časť</w:t>
      </w:r>
    </w:p>
    <w:p w:rsidR="00C15711" w:rsidRPr="00C15711" w:rsidP="00C15711">
      <w:pPr>
        <w:bidi w:val="0"/>
        <w:spacing w:after="0" w:line="240" w:lineRule="auto"/>
        <w:ind w:firstLine="709"/>
        <w:jc w:val="both"/>
        <w:rPr>
          <w:rFonts w:ascii="Times New Roman" w:hAnsi="Times New Roman" w:cs="Times New Roman"/>
          <w:sz w:val="28"/>
          <w:szCs w:val="28"/>
          <w:lang w:eastAsia="sk-SK"/>
        </w:rPr>
      </w:pPr>
    </w:p>
    <w:p w:rsidR="00C15711" w:rsidRPr="00C15711" w:rsidP="00C15711">
      <w:pPr>
        <w:bidi w:val="0"/>
        <w:spacing w:after="0" w:line="240" w:lineRule="auto"/>
        <w:ind w:firstLine="709"/>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Návrhom zákona o organizácii miestnej štátnej správy a o zmene a doplnení niektorých zákonov sa realizujú zámery a ciele vytýčené Programovým vyhlásením vlády Slovenskej republiky na roky 2012 až 2016 v časti verejná správa. Zároveň sa návrhom zákona sledujú ciele obsiahnuté v Programe ESO (Efektívna, Spoľahlivá a Otvorená štátna správa) schválenom uznesením vlády č. 164 z 27. apríla 2012. Úloha vypracovať návrh zákona, ktorým sa zrušia špecializované miestne orgány štátnej správy a ustanoví sa nová štruktúra miestnej štátnej správy, vyplýva aj z plánu legislatívnych úloh vlády na rok 2013.</w:t>
      </w:r>
    </w:p>
    <w:p w:rsidR="00C15711" w:rsidRPr="00C15711" w:rsidP="00C15711">
      <w:pPr>
        <w:bidi w:val="0"/>
        <w:spacing w:after="0" w:line="240" w:lineRule="auto"/>
        <w:ind w:firstLine="709"/>
        <w:jc w:val="both"/>
        <w:rPr>
          <w:rFonts w:ascii="Times New Roman" w:hAnsi="Times New Roman" w:cs="Times New Roman"/>
          <w:sz w:val="24"/>
          <w:szCs w:val="24"/>
          <w:lang w:eastAsia="sk-SK"/>
        </w:rPr>
      </w:pPr>
    </w:p>
    <w:p w:rsidR="00C15711" w:rsidRPr="00C15711" w:rsidP="00C15711">
      <w:pPr>
        <w:bidi w:val="0"/>
        <w:spacing w:after="0" w:line="240" w:lineRule="auto"/>
        <w:ind w:firstLine="709"/>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Návrh zákona nadväzuje na zákon č. 345/2012 Z. z. o niektorých opatreniach v miestnej štátnej správe a o zmene a doplnení niektorých zákonov, ktorým boli s účinnosťou k 1. januáru 2013 zrušené špecializované miestne orgány štátnej správy s pôsobnosťou na území kraja. Citovaný zákon predstavoval prvú etapu integrácie špecializovaných pôsobností štátnej správy na krajskej úrovni a utvoril predpoklady ustanovenia novej organizačnej štruktúry miestnych orgánov štátnej správy založenej na princípe jedného komplexného štátneho úradu v príslušnom území s pôsobnosťou na prevažnej väčšine úsekov štátnej správy.</w:t>
      </w:r>
    </w:p>
    <w:p w:rsidR="00C15711" w:rsidRPr="00C15711" w:rsidP="00C15711">
      <w:pPr>
        <w:bidi w:val="0"/>
        <w:spacing w:after="0" w:line="240" w:lineRule="auto"/>
        <w:ind w:firstLine="709"/>
        <w:jc w:val="both"/>
        <w:rPr>
          <w:rFonts w:ascii="Times New Roman" w:hAnsi="Times New Roman" w:cs="Times New Roman"/>
          <w:sz w:val="24"/>
          <w:szCs w:val="24"/>
          <w:lang w:eastAsia="sk-SK"/>
        </w:rPr>
      </w:pPr>
    </w:p>
    <w:p w:rsidR="00C15711" w:rsidRPr="00C15711" w:rsidP="00C15711">
      <w:pPr>
        <w:bidi w:val="0"/>
        <w:spacing w:after="0" w:line="240" w:lineRule="auto"/>
        <w:ind w:firstLine="709"/>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Cieľom druhej etapy integrácie je vytvoriť jednotnú sústavu miestnych orgánov štátnej správy, čím zanikne dezintegrovaná špecializovaná miestna štátna správa reprezentovaná zložitou a neprehľadnou štruktúrou rôznych úradov v území. V súlade so zámerom a vecnými riešeniami prijatými počas prvej etapy integrácie navrhuje sa zrušiť obvodné úrady životného prostredia, obvodné úrady pre cestnú dopravu a pozemné komunikácie, obvodné lesné úrady, obvodné pozemkové úrady a správy katastra a ich pôsobnosť presunúť na integrovaný miestny orgán štátnej správy s novým názvom okresný úrad, ktorý sa odvíja od názvu územia, na ktorom vykonáva štátnu správu.</w:t>
      </w:r>
    </w:p>
    <w:p w:rsidR="00C15711" w:rsidRPr="00C15711" w:rsidP="00C15711">
      <w:pPr>
        <w:bidi w:val="0"/>
        <w:spacing w:after="0" w:line="240" w:lineRule="auto"/>
        <w:ind w:firstLine="709"/>
        <w:jc w:val="both"/>
        <w:rPr>
          <w:rFonts w:ascii="Times New Roman" w:hAnsi="Times New Roman" w:cs="Times New Roman"/>
          <w:sz w:val="24"/>
          <w:szCs w:val="24"/>
          <w:lang w:eastAsia="sk-SK"/>
        </w:rPr>
      </w:pPr>
    </w:p>
    <w:p w:rsidR="00C15711" w:rsidRPr="00C15711" w:rsidP="00C15711">
      <w:pPr>
        <w:bidi w:val="0"/>
        <w:spacing w:after="0" w:line="240" w:lineRule="auto"/>
        <w:ind w:firstLine="709"/>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súlade so zákonom Národnej rady Slovenskej republiky č. 221/1996 Z. z. o územnom   a správnom usporiadaní Slovenskej republiky v znení neskorších predpisov sa ustanovujú okresné úrady so sídlami v 72 okresoch. V hlavnom meste Slovenskej republiky Bratislave a v meste Košice sa navrhuje, obdobne ako je tomu doteraz, ponechať po jednom okresnom úrade s územnou pôsobnosťou pre všetky okresy týchto miest. Vytvorenie štruktúry integrovaných miestnych orgánov štátnej správy v počte 72 odstráni doterajšiu disproporciu viacerých obvodných úradov, ktorých územné obvody sú vymedzené niekoľkými okresmi, prípadne iným spôsobom (obcami). Pri vytváraní nového inštitucionálneho modelu miestnej štátnej správy sa vychádza najmä z princípov efektivity, racionálnosti, hospodárnosti, frekventovanosti výkonu agendy a z jestvujúcich personálnych kapacít. Územné obvody okresných úradov podľa jednotlivých úsekov štátnej správy sa ustanovujú prehľadným spôsobom v texte návrhu zákona a v nadväzujúcich prílohách.</w:t>
      </w:r>
    </w:p>
    <w:p w:rsidR="00C15711" w:rsidRPr="00C15711" w:rsidP="00C15711">
      <w:pPr>
        <w:bidi w:val="0"/>
        <w:spacing w:after="0" w:line="240" w:lineRule="auto"/>
        <w:ind w:firstLine="709"/>
        <w:jc w:val="both"/>
        <w:rPr>
          <w:rFonts w:ascii="Times New Roman" w:hAnsi="Times New Roman" w:cs="Times New Roman"/>
          <w:sz w:val="24"/>
          <w:szCs w:val="24"/>
          <w:lang w:eastAsia="sk-SK"/>
        </w:rPr>
      </w:pPr>
    </w:p>
    <w:p w:rsidR="00C15711" w:rsidRPr="00C15711" w:rsidP="00C15711">
      <w:pPr>
        <w:bidi w:val="0"/>
        <w:spacing w:after="0" w:line="240" w:lineRule="auto"/>
        <w:ind w:firstLine="708"/>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Návrh zákona pozostáva zo súboru článkov. Obsahom článku I je návrh novej právnej úpravy organizácie miestnej štátnej správy na princípe integrácie pôsobností doteraz špecializovanej štátnej správy a ich výkonu v jednom správnom úrade, ktorou sa v plnom rozsahu nahradí platný zákon č. 515/2003 Z. z. o krajských úradoch a obvodných úradoch a o zmene        a doplnení niektorých zákonov v znení neskorších predpisov, ktorý sa stáva neaktuálny a nevyhovujúci novým podmienkam. Ustanovuje sa predovšetkým postavenie, pôsobnosť, sídla a územné obvody okresných úradov a upravujú sa personálne, majetkové a iné vzťahy vzhľadom na zrušenie niektorých miestnych orgánov štátnej správy. Okresný úrad s integrovanou pôsobnosťou bude z hľadiska právnej formy preddavkovou organizáciou Ministerstva vnútra Slovenskej republiky, pričom rozhodovacia právomoc o právnych pomeroch právnych subjektov v oblasti verejnej správy sa zveruje jeho príslušným organizačným útvarom. Odvetvový princíp riadenia a kontroly štátnej správy uskutočňovanej okresným úradom príslušnými ústrednými orgánmi štátnej správy v súlade s kompetenčným zákonom a zákonmi upravujúcimi organizáciu výkonu štátnej správy na jednotlivých úsekoch zostáva nedotknutý.</w:t>
      </w:r>
    </w:p>
    <w:p w:rsidR="00C15711" w:rsidRPr="00C15711" w:rsidP="00C15711">
      <w:pPr>
        <w:bidi w:val="0"/>
        <w:spacing w:after="0" w:line="240" w:lineRule="auto"/>
        <w:ind w:firstLine="708"/>
        <w:jc w:val="both"/>
        <w:rPr>
          <w:rFonts w:ascii="Times New Roman" w:hAnsi="Times New Roman" w:cs="Times New Roman"/>
          <w:sz w:val="24"/>
          <w:szCs w:val="24"/>
          <w:lang w:eastAsia="sk-SK"/>
        </w:rPr>
      </w:pPr>
    </w:p>
    <w:p w:rsidR="00C15711" w:rsidRPr="00C15711" w:rsidP="00C15711">
      <w:pPr>
        <w:bidi w:val="0"/>
        <w:spacing w:after="0" w:line="240" w:lineRule="auto"/>
        <w:ind w:firstLine="708"/>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bezprostrednej nadväznosti na právnu úpravu v článku I sa v ďalších článkoch priamo novelizujú viaceré zákony upravujúce postavenie a pôsobnosť orgánov špecializovanej miestnej štátnej správy na jednotlivých úsekoch štátnej správy, na ktoré sa vzťahuje integrácia. Z racionálneho dôvodu ide však len o niektoré zákony, v ktorých nepostačuje vykonať iba zmenu právnej terminológie prostredníctvom prípustnej nepriamej novely, ale je nevyhnutné vykonať aj iné úpravy súvisiace s navrhovaným znením článku I.</w:t>
      </w:r>
    </w:p>
    <w:p w:rsidR="00C15711" w:rsidRPr="00C15711" w:rsidP="00C15711">
      <w:pPr>
        <w:bidi w:val="0"/>
        <w:spacing w:after="0" w:line="240" w:lineRule="auto"/>
        <w:ind w:firstLine="709"/>
        <w:jc w:val="both"/>
        <w:rPr>
          <w:rFonts w:ascii="Times New Roman" w:hAnsi="Times New Roman" w:cs="Times New Roman"/>
          <w:sz w:val="24"/>
          <w:szCs w:val="24"/>
          <w:lang w:eastAsia="sk-SK"/>
        </w:rPr>
      </w:pPr>
    </w:p>
    <w:p w:rsidR="00C15711" w:rsidRPr="00C15711" w:rsidP="00C15711">
      <w:pPr>
        <w:bidi w:val="0"/>
        <w:spacing w:after="0" w:line="240" w:lineRule="auto"/>
        <w:ind w:firstLine="709"/>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Návrh zákona je v súlade s Ústavou Slovenskej republiky, ústavnými zákonmi, zákonmi  a ostatnými všeobecne záväznými právnymi predpismi, ako aj s medzinárodnými zmluvami a inými medzinárodnými dokumentmi, ktorými je Slovenská republika viazaná.</w:t>
      </w:r>
    </w:p>
    <w:p w:rsidR="00C15711" w:rsidRPr="00C15711" w:rsidP="00C15711">
      <w:pPr>
        <w:bidi w:val="0"/>
        <w:spacing w:after="0" w:line="240" w:lineRule="auto"/>
        <w:ind w:firstLine="709"/>
        <w:jc w:val="both"/>
        <w:rPr>
          <w:rFonts w:ascii="Times New Roman" w:hAnsi="Times New Roman" w:cs="Times New Roman"/>
          <w:sz w:val="24"/>
          <w:szCs w:val="24"/>
          <w:lang w:eastAsia="sk-SK"/>
        </w:rPr>
      </w:pPr>
    </w:p>
    <w:p w:rsidR="00C15711" w:rsidRPr="00C15711" w:rsidP="00C15711">
      <w:pPr>
        <w:bidi w:val="0"/>
        <w:spacing w:after="0" w:line="240" w:lineRule="auto"/>
        <w:ind w:firstLine="709"/>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Schválenie návrhu zákona bude mať pozitívny vplyv na štátny rozpočet, čo je bližšie vyjadrené v doložke vybraných vplyvov.</w:t>
      </w:r>
    </w:p>
    <w:p w:rsidR="00C15711" w:rsidRPr="00C15711" w:rsidP="00C15711">
      <w:pPr>
        <w:bidi w:val="0"/>
        <w:spacing w:after="0" w:line="240" w:lineRule="auto"/>
        <w:ind w:firstLine="709"/>
        <w:rPr>
          <w:rFonts w:ascii="Times New Roman" w:hAnsi="Times New Roman" w:cs="Times New Roman"/>
          <w:sz w:val="24"/>
          <w:szCs w:val="24"/>
          <w:lang w:eastAsia="sk-SK"/>
        </w:rPr>
      </w:pPr>
    </w:p>
    <w:p w:rsidR="00C15711" w:rsidRPr="00C15711" w:rsidP="00C15711">
      <w:pPr>
        <w:bidi w:val="0"/>
        <w:spacing w:after="0" w:line="240" w:lineRule="auto"/>
        <w:ind w:firstLine="709"/>
        <w:rPr>
          <w:rFonts w:ascii="Times New Roman" w:hAnsi="Times New Roman" w:cs="Times New Roman"/>
          <w:sz w:val="24"/>
          <w:szCs w:val="24"/>
          <w:lang w:eastAsia="sk-SK"/>
        </w:rPr>
      </w:pPr>
    </w:p>
    <w:p w:rsidR="00C15711" w:rsidRPr="00C15711" w:rsidP="00C15711">
      <w:pPr>
        <w:bidi w:val="0"/>
        <w:spacing w:after="0" w:line="240" w:lineRule="auto"/>
        <w:ind w:firstLine="709"/>
        <w:rPr>
          <w:rFonts w:ascii="Times New Roman" w:hAnsi="Times New Roman" w:cs="Times New Roman"/>
          <w:sz w:val="24"/>
          <w:szCs w:val="24"/>
          <w:lang w:eastAsia="sk-SK"/>
        </w:rPr>
      </w:pPr>
    </w:p>
    <w:p w:rsidR="00C15711" w:rsidRPr="00C15711" w:rsidP="00C15711">
      <w:pPr>
        <w:bidi w:val="0"/>
        <w:spacing w:after="0" w:line="240" w:lineRule="auto"/>
        <w:ind w:firstLine="709"/>
        <w:rPr>
          <w:rFonts w:ascii="Times New Roman" w:hAnsi="Times New Roman" w:cs="Times New Roman"/>
          <w:sz w:val="24"/>
          <w:szCs w:val="24"/>
          <w:lang w:eastAsia="sk-SK"/>
        </w:rPr>
      </w:pPr>
    </w:p>
    <w:p w:rsidR="00C15711" w:rsidRPr="00C15711" w:rsidP="00C15711">
      <w:pPr>
        <w:bidi w:val="0"/>
        <w:spacing w:after="0" w:line="240" w:lineRule="auto"/>
        <w:ind w:firstLine="709"/>
        <w:rPr>
          <w:rFonts w:ascii="Times New Roman" w:hAnsi="Times New Roman" w:cs="Times New Roman"/>
          <w:sz w:val="24"/>
          <w:szCs w:val="24"/>
          <w:lang w:eastAsia="sk-SK"/>
        </w:rPr>
      </w:pPr>
    </w:p>
    <w:p w:rsidR="00C15711" w:rsidRPr="00C15711" w:rsidP="00C15711">
      <w:pPr>
        <w:bidi w:val="0"/>
        <w:spacing w:after="0" w:line="240" w:lineRule="auto"/>
        <w:ind w:firstLine="709"/>
        <w:rPr>
          <w:rFonts w:ascii="Times New Roman" w:hAnsi="Times New Roman" w:cs="Times New Roman"/>
          <w:sz w:val="24"/>
          <w:szCs w:val="24"/>
          <w:lang w:eastAsia="sk-SK"/>
        </w:rPr>
      </w:pPr>
    </w:p>
    <w:p w:rsidR="00C15711" w:rsidRPr="00C15711" w:rsidP="00C15711">
      <w:pPr>
        <w:bidi w:val="0"/>
        <w:spacing w:after="0" w:line="240" w:lineRule="auto"/>
        <w:ind w:firstLine="709"/>
        <w:rPr>
          <w:rFonts w:ascii="Times New Roman" w:hAnsi="Times New Roman" w:cs="Times New Roman"/>
          <w:sz w:val="24"/>
          <w:szCs w:val="24"/>
          <w:lang w:eastAsia="sk-SK"/>
        </w:rPr>
      </w:pPr>
    </w:p>
    <w:p w:rsidR="00C15711" w:rsidRPr="00C15711" w:rsidP="00C15711">
      <w:pPr>
        <w:bidi w:val="0"/>
        <w:spacing w:after="0" w:line="240" w:lineRule="auto"/>
        <w:ind w:firstLine="709"/>
        <w:rPr>
          <w:rFonts w:ascii="Times New Roman" w:hAnsi="Times New Roman" w:cs="Times New Roman"/>
          <w:sz w:val="24"/>
          <w:szCs w:val="24"/>
          <w:lang w:eastAsia="sk-SK"/>
        </w:rPr>
      </w:pPr>
    </w:p>
    <w:p w:rsidR="00C15711" w:rsidRPr="00C15711" w:rsidP="00C15711">
      <w:pPr>
        <w:bidi w:val="0"/>
        <w:spacing w:after="0" w:line="240" w:lineRule="auto"/>
        <w:ind w:firstLine="709"/>
        <w:rPr>
          <w:rFonts w:ascii="Times New Roman" w:hAnsi="Times New Roman" w:cs="Times New Roman"/>
          <w:sz w:val="24"/>
          <w:szCs w:val="24"/>
          <w:lang w:eastAsia="sk-SK"/>
        </w:rPr>
      </w:pPr>
    </w:p>
    <w:p w:rsidR="00C15711" w:rsidRPr="00C15711" w:rsidP="00C15711">
      <w:pPr>
        <w:bidi w:val="0"/>
        <w:spacing w:after="0" w:line="240" w:lineRule="auto"/>
        <w:ind w:firstLine="709"/>
        <w:rPr>
          <w:rFonts w:ascii="Times New Roman" w:hAnsi="Times New Roman" w:cs="Times New Roman"/>
          <w:sz w:val="24"/>
          <w:szCs w:val="24"/>
          <w:lang w:eastAsia="sk-SK"/>
        </w:rPr>
      </w:pPr>
    </w:p>
    <w:p w:rsidR="00C15711" w:rsidRPr="00C15711" w:rsidP="00C15711">
      <w:pPr>
        <w:bidi w:val="0"/>
        <w:spacing w:after="0" w:line="240" w:lineRule="auto"/>
        <w:ind w:firstLine="709"/>
        <w:rPr>
          <w:rFonts w:ascii="Times New Roman" w:hAnsi="Times New Roman" w:cs="Times New Roman"/>
          <w:sz w:val="24"/>
          <w:szCs w:val="24"/>
          <w:lang w:eastAsia="sk-SK"/>
        </w:rPr>
      </w:pPr>
    </w:p>
    <w:p w:rsidR="00C15711" w:rsidRPr="00C15711" w:rsidP="00C15711">
      <w:pPr>
        <w:bidi w:val="0"/>
        <w:spacing w:after="0" w:line="240" w:lineRule="auto"/>
        <w:ind w:firstLine="709"/>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bCs/>
          <w:sz w:val="24"/>
          <w:szCs w:val="24"/>
          <w:lang w:eastAsia="sk-SK"/>
        </w:rPr>
      </w:pPr>
      <w:r w:rsidRPr="00C15711">
        <w:rPr>
          <w:rFonts w:ascii="Times New Roman" w:hAnsi="Times New Roman" w:cs="Times New Roman"/>
          <w:sz w:val="24"/>
          <w:szCs w:val="24"/>
          <w:lang w:eastAsia="sk-SK"/>
        </w:rPr>
        <w:br w:type="page"/>
      </w:r>
    </w:p>
    <w:p w:rsidR="00C15711" w:rsidRPr="00C15711" w:rsidP="00C15711">
      <w:pPr>
        <w:bidi w:val="0"/>
        <w:spacing w:after="0" w:line="240" w:lineRule="auto"/>
        <w:ind w:right="-108"/>
        <w:jc w:val="center"/>
        <w:rPr>
          <w:rFonts w:ascii="Times New Roman" w:hAnsi="Times New Roman" w:cs="Times New Roman"/>
          <w:sz w:val="24"/>
          <w:szCs w:val="24"/>
          <w:lang w:eastAsia="sk-SK"/>
        </w:rPr>
      </w:pPr>
      <w:r w:rsidRPr="00C15711">
        <w:rPr>
          <w:rFonts w:ascii="Times New Roman" w:hAnsi="Times New Roman" w:cs="Times New Roman"/>
          <w:b/>
          <w:bCs/>
          <w:sz w:val="28"/>
          <w:szCs w:val="28"/>
          <w:lang w:eastAsia="sk-SK"/>
        </w:rPr>
        <w:t>Doložka vybraných vplyvov</w:t>
      </w:r>
    </w:p>
    <w:p w:rsidR="00C15711" w:rsidRPr="00C15711" w:rsidP="00C15711">
      <w:pPr>
        <w:bidi w:val="0"/>
        <w:spacing w:after="0" w:line="240" w:lineRule="auto"/>
        <w:ind w:right="-108"/>
        <w:jc w:val="center"/>
        <w:rPr>
          <w:rFonts w:ascii="Times New Roman" w:hAnsi="Times New Roman" w:cs="Times New Roman"/>
          <w:sz w:val="24"/>
          <w:szCs w:val="24"/>
          <w:lang w:eastAsia="sk-SK"/>
        </w:rPr>
      </w:pPr>
    </w:p>
    <w:p w:rsidR="00C15711" w:rsidRPr="00C15711" w:rsidP="00C15711">
      <w:pPr>
        <w:bidi w:val="0"/>
        <w:spacing w:after="120" w:line="240" w:lineRule="auto"/>
        <w:ind w:left="2268" w:hanging="2268"/>
        <w:jc w:val="both"/>
        <w:rPr>
          <w:rFonts w:ascii="Times New Roman" w:hAnsi="Times New Roman" w:cs="Times New Roman"/>
          <w:bCs/>
          <w:sz w:val="24"/>
          <w:szCs w:val="24"/>
          <w:lang w:eastAsia="sk-SK"/>
        </w:rPr>
      </w:pPr>
      <w:r w:rsidRPr="00C15711">
        <w:rPr>
          <w:rFonts w:ascii="Times New Roman" w:hAnsi="Times New Roman" w:cs="Times New Roman"/>
          <w:b/>
          <w:bCs/>
          <w:sz w:val="24"/>
          <w:szCs w:val="24"/>
          <w:lang w:eastAsia="sk-SK"/>
        </w:rPr>
        <w:t xml:space="preserve">A.1. Názov materiálu: </w:t>
      </w:r>
      <w:r w:rsidRPr="00C15711">
        <w:rPr>
          <w:rFonts w:ascii="Times New Roman" w:hAnsi="Times New Roman" w:cs="Times New Roman"/>
          <w:bCs/>
          <w:sz w:val="24"/>
          <w:szCs w:val="24"/>
          <w:lang w:eastAsia="sk-SK"/>
        </w:rPr>
        <w:t>Návrh zákona o organizácii miestnej štátnej správy a o zmene  a doplnení niektorých zákonov</w:t>
      </w:r>
    </w:p>
    <w:p w:rsidR="00C15711" w:rsidRPr="00C15711" w:rsidP="00C15711">
      <w:pPr>
        <w:bidi w:val="0"/>
        <w:spacing w:after="120" w:line="240" w:lineRule="auto"/>
        <w:ind w:firstLine="1276"/>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Termín začatia a ukončenia predbežného pripomienkového konania: –</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A.2. Vplyvy:</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Pozitívne</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Žiadne</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Negatívne</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lang w:eastAsia="sk-SK"/>
              </w:rPr>
              <w:t>1. Vplyvy na rozpočet verejnej správy</w:t>
            </w:r>
          </w:p>
          <w:p w:rsidR="00C15711" w:rsidRPr="00C15711" w:rsidP="00C15711">
            <w:pPr>
              <w:bidi w:val="0"/>
              <w:spacing w:after="0" w:line="240" w:lineRule="auto"/>
              <w:rPr>
                <w:rFonts w:ascii="Times New Roman" w:hAnsi="Times New Roman" w:cs="Times New Roman"/>
                <w:sz w:val="24"/>
                <w:szCs w:val="24"/>
                <w:lang w:eastAsia="sk-SK"/>
              </w:rPr>
            </w:pP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lang w:eastAsia="sk-SK"/>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lang w:eastAsia="sk-SK"/>
              </w:rPr>
              <w:t>3, Sociálne vplyvy</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lang w:eastAsia="sk-SK"/>
              </w:rPr>
              <w:t>– vplyvy  na hospodárenie obyvateľstva,</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lang w:eastAsia="sk-SK"/>
              </w:rPr>
              <w:t>-sociálnu exklúziu,</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lang w:eastAsia="sk-SK"/>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lang w:eastAsia="sk-SK"/>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lang w:eastAsia="sk-SK"/>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p>
        </w:tc>
      </w:tr>
    </w:tbl>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A.3. Poznámky</w:t>
      </w:r>
    </w:p>
    <w:p w:rsidR="00C15711" w:rsidRPr="00C15711" w:rsidP="00C15711">
      <w:pPr>
        <w:bidi w:val="0"/>
        <w:spacing w:after="0" w:line="240" w:lineRule="auto"/>
        <w:jc w:val="both"/>
        <w:rPr>
          <w:rFonts w:ascii="Times New Roman" w:hAnsi="Times New Roman" w:cs="Times New Roman"/>
          <w:sz w:val="16"/>
          <w:szCs w:val="16"/>
          <w:lang w:eastAsia="sk-SK"/>
        </w:rPr>
      </w:pPr>
    </w:p>
    <w:p w:rsidR="00C15711" w:rsidRPr="00C15711" w:rsidP="00C15711">
      <w:pPr>
        <w:bidi w:val="0"/>
        <w:spacing w:after="0" w:line="240" w:lineRule="auto"/>
        <w:ind w:firstLine="709"/>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Predloženým návrhom zákona o organizácii miestnej štátnej správy a o zmene a doplnení niektorých zákonov sa realizujú zámery a ciele vyplývajúce z Programového vyhlásenia vlády Slovenskej republiky na roky 2012 až 2016 a z programu ESO (Efektívna, Spoľahlivá a Otvorená štátna správa) schváleného uznesením vlády č. 164/2012. Návrh zákona nadväzuje na zákon č. 345/2012 Z. z. o niektorých opatreniach v miestnej štátnej správe a o zmene a doplnení niektorých zákonov, ktorý predstavoval prvú etapu integrácie špecializovaných pôsobností štátnej správy na krajskej úrovni.</w:t>
      </w:r>
    </w:p>
    <w:p w:rsidR="00C15711" w:rsidRPr="00C15711" w:rsidP="00C15711">
      <w:pPr>
        <w:bidi w:val="0"/>
        <w:spacing w:after="0" w:line="240" w:lineRule="auto"/>
        <w:ind w:firstLine="709"/>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Cieľom druhej etapy integrácie je pokračovať vo vytváraní jednotnej sústavy integrovaných miestnych orgánov štátnej správy. Uvedený návrh zákona zrušuje vybrané špecializované miestne orgány štátnej správy, ktoré uskutočňujú pôsobnosť na úsekoch štátnej správy starostlivosti o životné prostredie, cestnej dopravy a pozemných komunikácií, lesného hospodárstva, pozemkových úprav a katastra nehnuteľností. Pôsobnosť zrušovaných úradov prechádza na integrovaný miestny orgán štátnej správy s novým názvom okresný úrad.</w:t>
      </w:r>
    </w:p>
    <w:p w:rsidR="00C15711" w:rsidRPr="00C15711" w:rsidP="00C15711">
      <w:pPr>
        <w:bidi w:val="0"/>
        <w:spacing w:after="0" w:line="240" w:lineRule="auto"/>
        <w:ind w:firstLine="708"/>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Predloženým návrhom zákona sa zrušuje spolu 248 miestnych orgánov štátnej správy, z toho 40 s právnym postavením rozpočtovej organizácie, čo predstavuje pozitívny vplyv na štátny rozpočet, a to najmä znížením prevádzkových výdavkov.</w:t>
      </w:r>
    </w:p>
    <w:p w:rsidR="00C15711" w:rsidRPr="00C15711" w:rsidP="00C15711">
      <w:pPr>
        <w:bidi w:val="0"/>
        <w:spacing w:after="0" w:line="240" w:lineRule="auto"/>
        <w:ind w:firstLine="708"/>
        <w:jc w:val="both"/>
        <w:rPr>
          <w:rFonts w:ascii="Times New Roman" w:hAnsi="Times New Roman" w:cs="Times New Roman"/>
          <w:sz w:val="16"/>
          <w:szCs w:val="16"/>
          <w:lang w:eastAsia="sk-SK"/>
        </w:rPr>
      </w:pPr>
    </w:p>
    <w:p w:rsidR="00C15711" w:rsidRPr="00C15711" w:rsidP="00C15711">
      <w:pPr>
        <w:bidi w:val="0"/>
        <w:spacing w:after="0" w:line="240" w:lineRule="auto"/>
        <w:jc w:val="both"/>
        <w:rPr>
          <w:rFonts w:ascii="Times New Roman" w:hAnsi="Times New Roman" w:cs="Times New Roman"/>
          <w:bCs/>
          <w:sz w:val="24"/>
          <w:szCs w:val="24"/>
          <w:lang w:eastAsia="sk-SK"/>
        </w:rPr>
      </w:pPr>
      <w:r w:rsidRPr="00C15711">
        <w:rPr>
          <w:rFonts w:ascii="Times New Roman" w:hAnsi="Times New Roman" w:cs="Times New Roman"/>
          <w:b/>
          <w:bCs/>
          <w:sz w:val="24"/>
          <w:szCs w:val="24"/>
          <w:lang w:eastAsia="sk-SK"/>
        </w:rPr>
        <w:t xml:space="preserve">A.4. Alternatívne riešenia: </w:t>
      </w:r>
      <w:r w:rsidRPr="00C15711">
        <w:rPr>
          <w:rFonts w:ascii="Times New Roman" w:hAnsi="Times New Roman" w:cs="Times New Roman"/>
          <w:bCs/>
          <w:sz w:val="24"/>
          <w:szCs w:val="24"/>
          <w:lang w:eastAsia="sk-SK"/>
        </w:rPr>
        <w:t>bezpredmetné</w:t>
      </w:r>
    </w:p>
    <w:p w:rsidR="00C15711" w:rsidRPr="00C15711" w:rsidP="00C15711">
      <w:pPr>
        <w:bidi w:val="0"/>
        <w:spacing w:after="0" w:line="240" w:lineRule="auto"/>
        <w:jc w:val="both"/>
        <w:rPr>
          <w:rFonts w:ascii="Times New Roman" w:hAnsi="Times New Roman" w:cs="Times New Roman"/>
          <w:bCs/>
          <w:sz w:val="16"/>
          <w:szCs w:val="16"/>
          <w:lang w:eastAsia="sk-SK"/>
        </w:rPr>
      </w:pPr>
    </w:p>
    <w:p w:rsidR="00C15711" w:rsidRPr="00C15711" w:rsidP="00C15711">
      <w:pPr>
        <w:bidi w:val="0"/>
        <w:spacing w:after="0" w:line="240" w:lineRule="auto"/>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A.5. Stanovisko gestorov:</w:t>
      </w:r>
      <w:r w:rsidRPr="00C15711">
        <w:rPr>
          <w:rFonts w:ascii="Times New Roman" w:hAnsi="Times New Roman" w:cs="Times New Roman"/>
          <w:bCs/>
          <w:sz w:val="24"/>
          <w:szCs w:val="24"/>
          <w:lang w:eastAsia="sk-SK"/>
        </w:rPr>
        <w:t xml:space="preserve"> bezpredmetné</w:t>
      </w:r>
    </w:p>
    <w:p w:rsidR="00C15711" w:rsidRPr="00C15711" w:rsidP="00C15711">
      <w:pPr>
        <w:bidi w:val="0"/>
        <w:spacing w:after="0" w:line="240" w:lineRule="auto"/>
        <w:jc w:val="right"/>
        <w:rPr>
          <w:rFonts w:ascii="Times New Roman" w:hAnsi="Times New Roman" w:cs="Times New Roman"/>
          <w:bCs/>
          <w:sz w:val="28"/>
          <w:szCs w:val="28"/>
          <w:lang w:eastAsia="sk-SK"/>
        </w:rPr>
      </w:pPr>
      <w:r w:rsidRPr="00C15711">
        <w:rPr>
          <w:rFonts w:ascii="Times New Roman" w:hAnsi="Times New Roman" w:cs="Times New Roman"/>
          <w:b/>
          <w:bCs/>
          <w:sz w:val="24"/>
          <w:szCs w:val="24"/>
          <w:lang w:eastAsia="sk-SK"/>
        </w:rPr>
        <w:br w:type="page"/>
      </w: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center"/>
        <w:rPr>
          <w:rFonts w:ascii="Times New Roman" w:hAnsi="Times New Roman" w:cs="Times New Roman"/>
          <w:b/>
          <w:bCs/>
          <w:sz w:val="28"/>
          <w:szCs w:val="28"/>
          <w:lang w:eastAsia="sk-SK"/>
        </w:rPr>
      </w:pPr>
      <w:r w:rsidRPr="00C15711">
        <w:rPr>
          <w:rFonts w:ascii="Times New Roman" w:hAnsi="Times New Roman" w:cs="Times New Roman"/>
          <w:b/>
          <w:bCs/>
          <w:sz w:val="28"/>
          <w:szCs w:val="28"/>
          <w:lang w:eastAsia="sk-SK"/>
        </w:rPr>
        <w:t>Vplyvy na rozpočet verejnej správy,</w:t>
      </w:r>
    </w:p>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8"/>
          <w:szCs w:val="28"/>
          <w:lang w:eastAsia="sk-SK"/>
        </w:rPr>
        <w:t>na zamestnanosť vo verejnej správe a financovanie návrhu</w:t>
      </w:r>
    </w:p>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2.1. Zhrnutie vplyvov na rozpočet verejnej správy v návrhu</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Tabuľka č. 1/a</w:t>
      </w:r>
    </w:p>
    <w:tbl>
      <w:tblPr>
        <w:tblStyle w:val="TableNormal"/>
        <w:tblW w:w="10135" w:type="dxa"/>
        <w:tblLayout w:type="fixed"/>
        <w:tblCellMar>
          <w:left w:w="0" w:type="dxa"/>
          <w:right w:w="0" w:type="dxa"/>
        </w:tblCellMar>
      </w:tblPr>
      <w:tblGrid>
        <w:gridCol w:w="4661"/>
        <w:gridCol w:w="1267"/>
        <w:gridCol w:w="1372"/>
        <w:gridCol w:w="1417"/>
        <w:gridCol w:w="1418"/>
      </w:tblGrid>
      <w:tr>
        <w:tblPrEx>
          <w:tblW w:w="10135" w:type="dxa"/>
          <w:tblLayout w:type="fixed"/>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194" w:lineRule="atLeast"/>
              <w:jc w:val="center"/>
              <w:rPr>
                <w:rFonts w:ascii="Times New Roman" w:hAnsi="Times New Roman" w:cs="Times New Roman"/>
                <w:sz w:val="24"/>
                <w:szCs w:val="24"/>
                <w:lang w:eastAsia="sk-SK"/>
              </w:rPr>
            </w:pPr>
            <w:bookmarkStart w:id="0" w:name="OLE_LINK1"/>
            <w:bookmarkEnd w:id="0"/>
            <w:r w:rsidRPr="00C15711">
              <w:rPr>
                <w:rFonts w:ascii="Times New Roman" w:hAnsi="Times New Roman" w:cs="Times New Roman"/>
                <w:b/>
                <w:bCs/>
                <w:color w:val="FFFFFF"/>
                <w:sz w:val="24"/>
                <w:szCs w:val="24"/>
                <w:lang w:eastAsia="sk-SK"/>
              </w:rPr>
              <w:t xml:space="preserve">Vplyvy na </w:t>
            </w:r>
            <w:r w:rsidRPr="00C15711">
              <w:rPr>
                <w:rFonts w:ascii="Times New Roman" w:hAnsi="Times New Roman" w:cs="Times New Roman"/>
                <w:b/>
                <w:bCs/>
                <w:sz w:val="24"/>
                <w:szCs w:val="24"/>
                <w:lang w:eastAsia="sk-SK"/>
              </w:rPr>
              <w:t>rozpočet verejnej správy</w:t>
            </w:r>
          </w:p>
        </w:tc>
        <w:tc>
          <w:tcPr>
            <w:tcW w:w="5474"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194"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 xml:space="preserve">Vplyv na rozpočet verejnej správy </w:t>
            </w:r>
            <w:r w:rsidRPr="00C15711">
              <w:rPr>
                <w:rFonts w:ascii="Times New Roman" w:hAnsi="Times New Roman" w:cs="Times New Roman"/>
                <w:b/>
                <w:bCs/>
                <w:sz w:val="24"/>
                <w:szCs w:val="24"/>
                <w:lang w:eastAsia="sk-SK"/>
              </w:rPr>
              <w:t>(v eurách)</w:t>
            </w:r>
          </w:p>
        </w:tc>
      </w:tr>
      <w:tr>
        <w:tblPrEx>
          <w:tblW w:w="10135" w:type="dxa"/>
          <w:tblLayout w:type="fixed"/>
          <w:tblCellMar>
            <w:left w:w="0" w:type="dxa"/>
            <w:right w:w="0" w:type="dxa"/>
          </w:tblCellMar>
        </w:tblPrEx>
        <w:trPr>
          <w:trHeight w:val="70"/>
        </w:trPr>
        <w:tc>
          <w:tcPr>
            <w:tcW w:w="4661" w:type="dxa"/>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372"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41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r>
      <w:tr>
        <w:tblPrEx>
          <w:tblW w:w="10135" w:type="dxa"/>
          <w:tblLayout w:type="fixed"/>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tom:</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Ministerstvo pôdohospodárstva a rozvoja vidieka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-575 613</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-2 670 653</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-2 670 653</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-2 670 653</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Ministerstvo životného prostredia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-16 250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-65 000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-65 000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-65 000</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rPr>
                <w:rFonts w:ascii="Times New Roman" w:hAnsi="Times New Roman" w:cs="Times New Roman"/>
                <w:b/>
                <w:bCs/>
                <w:i/>
                <w:iCs/>
                <w:sz w:val="24"/>
                <w:szCs w:val="24"/>
                <w:lang w:eastAsia="sk-SK"/>
              </w:rPr>
            </w:pPr>
            <w:r w:rsidRPr="00C15711">
              <w:rPr>
                <w:rFonts w:ascii="Times New Roman" w:hAnsi="Times New Roman" w:cs="Times New Roman"/>
                <w:sz w:val="24"/>
                <w:szCs w:val="24"/>
                <w:lang w:eastAsia="sk-SK"/>
              </w:rPr>
              <w:t>Úrad geodézie, kartografie a katastra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-63 750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-255 000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-255 000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-255 000</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Ministerstvo dopravy, výstavby a regionálneho rozvoja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rPr>
                <w:rFonts w:ascii="Times New Roman" w:hAnsi="Times New Roman" w:cs="Times New Roman"/>
                <w:b/>
                <w:bCs/>
                <w:i/>
                <w:iCs/>
                <w:sz w:val="24"/>
                <w:szCs w:val="24"/>
                <w:lang w:eastAsia="sk-SK"/>
              </w:rPr>
            </w:pPr>
            <w:r w:rsidRPr="00C15711">
              <w:rPr>
                <w:rFonts w:ascii="Times New Roman" w:hAnsi="Times New Roman" w:cs="Times New Roman"/>
                <w:b/>
                <w:sz w:val="24"/>
                <w:szCs w:val="24"/>
                <w:lang w:eastAsia="sk-SK"/>
              </w:rPr>
              <w:t>Ministerstvo vnútra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655 613</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2 990 653</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2 990 653</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2 990 653</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b/>
                <w:bCs/>
                <w:i/>
                <w:iCs/>
                <w:sz w:val="24"/>
                <w:szCs w:val="24"/>
                <w:lang w:eastAsia="sk-SK"/>
              </w:rPr>
              <w:t>z toho:</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i/>
                <w:iCs/>
                <w:sz w:val="24"/>
                <w:szCs w:val="24"/>
                <w:lang w:eastAsia="sk-SK"/>
              </w:rPr>
              <w:t> </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i/>
                <w:iCs/>
                <w:sz w:val="24"/>
                <w:szCs w:val="24"/>
                <w:lang w:eastAsia="sk-SK"/>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i/>
                <w:iCs/>
                <w:sz w:val="24"/>
                <w:szCs w:val="24"/>
                <w:lang w:eastAsia="sk-SK"/>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i/>
                <w:iCs/>
                <w:sz w:val="24"/>
                <w:szCs w:val="24"/>
                <w:lang w:eastAsia="sk-SK"/>
              </w:rPr>
              <w:t> </w:t>
            </w:r>
          </w:p>
        </w:tc>
      </w:tr>
      <w:tr>
        <w:tblPrEx>
          <w:tblW w:w="10135" w:type="dxa"/>
          <w:tblLayout w:type="fixed"/>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rPr>
                <w:rFonts w:ascii="Times New Roman" w:hAnsi="Times New Roman" w:cs="Times New Roman"/>
                <w:sz w:val="24"/>
                <w:szCs w:val="24"/>
                <w:lang w:eastAsia="sk-SK"/>
              </w:rPr>
            </w:pPr>
            <w:r w:rsidRPr="00C15711">
              <w:rPr>
                <w:rFonts w:ascii="Times New Roman" w:hAnsi="Times New Roman" w:cs="Times New Roman"/>
                <w:b/>
                <w:bCs/>
                <w:i/>
                <w:iCs/>
                <w:sz w:val="24"/>
                <w:szCs w:val="24"/>
                <w:lang w:eastAsia="sk-SK"/>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r w:rsidRPr="00C15711">
              <w:rPr>
                <w:rFonts w:ascii="Times New Roman" w:hAnsi="Times New Roman" w:cs="Times New Roman"/>
                <w:b/>
                <w:bCs/>
                <w:iCs/>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r w:rsidRPr="00C15711">
              <w:rPr>
                <w:rFonts w:ascii="Times New Roman" w:hAnsi="Times New Roman" w:cs="Times New Roman"/>
                <w:b/>
                <w:bCs/>
                <w:iCs/>
                <w:sz w:val="24"/>
                <w:szCs w:val="24"/>
                <w:lang w:eastAsia="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r w:rsidRPr="00C15711">
              <w:rPr>
                <w:rFonts w:ascii="Times New Roman" w:hAnsi="Times New Roman" w:cs="Times New Roman"/>
                <w:b/>
                <w:bCs/>
                <w:iCs/>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r w:rsidRPr="00C15711">
              <w:rPr>
                <w:rFonts w:ascii="Times New Roman" w:hAnsi="Times New Roman" w:cs="Times New Roman"/>
                <w:b/>
                <w:bCs/>
                <w:iCs/>
                <w:sz w:val="24"/>
                <w:szCs w:val="24"/>
                <w:lang w:eastAsia="sk-SK"/>
              </w:rPr>
              <w:t>0</w:t>
            </w:r>
          </w:p>
        </w:tc>
      </w:tr>
      <w:tr>
        <w:tblPrEx>
          <w:tblW w:w="10135" w:type="dxa"/>
          <w:tblLayout w:type="fixed"/>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rPr>
                <w:rFonts w:ascii="Times New Roman" w:hAnsi="Times New Roman" w:cs="Times New Roman"/>
                <w:sz w:val="24"/>
                <w:szCs w:val="24"/>
                <w:lang w:eastAsia="sk-SK"/>
              </w:rPr>
            </w:pPr>
            <w:r w:rsidRPr="00C15711">
              <w:rPr>
                <w:rFonts w:ascii="Times New Roman" w:hAnsi="Times New Roman" w:cs="Times New Roman"/>
                <w:b/>
                <w:bCs/>
                <w:i/>
                <w:iCs/>
                <w:sz w:val="24"/>
                <w:szCs w:val="24"/>
                <w:lang w:eastAsia="sk-SK"/>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r w:rsidRPr="00C15711">
              <w:rPr>
                <w:rFonts w:ascii="Times New Roman" w:hAnsi="Times New Roman" w:cs="Times New Roman"/>
                <w:b/>
                <w:bCs/>
                <w:iCs/>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r w:rsidRPr="00C15711">
              <w:rPr>
                <w:rFonts w:ascii="Times New Roman" w:hAnsi="Times New Roman" w:cs="Times New Roman"/>
                <w:b/>
                <w:bCs/>
                <w:iCs/>
                <w:sz w:val="24"/>
                <w:szCs w:val="24"/>
                <w:lang w:eastAsia="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r w:rsidRPr="00C15711">
              <w:rPr>
                <w:rFonts w:ascii="Times New Roman" w:hAnsi="Times New Roman" w:cs="Times New Roman"/>
                <w:b/>
                <w:bCs/>
                <w:iCs/>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r w:rsidRPr="00C15711">
              <w:rPr>
                <w:rFonts w:ascii="Times New Roman" w:hAnsi="Times New Roman" w:cs="Times New Roman"/>
                <w:b/>
                <w:bCs/>
                <w:iCs/>
                <w:sz w:val="24"/>
                <w:szCs w:val="24"/>
                <w:lang w:eastAsia="sk-SK"/>
              </w:rPr>
              <w:t>0</w:t>
            </w:r>
          </w:p>
        </w:tc>
      </w:tr>
      <w:tr>
        <w:tblPrEx>
          <w:tblW w:w="10135" w:type="dxa"/>
          <w:tblLayout w:type="fixed"/>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125" w:lineRule="atLeas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-2 241 886</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-2 241 886</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-2 241 886</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tom:</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MPRV SR Obvodné pozemkové úrady</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-1 698 726</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-6 717 391</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-6 717 391</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-6 717 391</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MPRV SR Obvodné lesné úrady</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-796 072</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-3 152 226</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-3 152 226</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-3 152 226</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Ministerstvo životného prostredia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-2 989 755</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-11 959 017 </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-11 959 017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-11 959 017 </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Úrad geodézie, kartografie a katastra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-6 170 086</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-23 143 582</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-22 823 582</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-22 823 582</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Ministerstvo dopravy, výstavby a regionálneho rozvoja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-1 449 966</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-5 799 864</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-5 799 871</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-5 799 871</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Ministerstvo vnútra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13 104 605</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50 772 080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50 452 087</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50 452 087</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b/>
                <w:bCs/>
                <w:i/>
                <w:iCs/>
                <w:sz w:val="24"/>
                <w:szCs w:val="24"/>
                <w:lang w:eastAsia="sk-SK"/>
              </w:rPr>
              <w:t>- vplyv na ŠR(miestna štátna správa)</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-2 241 889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-2 241 889</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-2 241 889</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Okresné úrady (Pozemkové úrady)</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-320 238</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-320 238</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-320 238</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Okresné úrady (Lesné úrady)</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-142 011</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-142 011</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-142 011</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Okresné úrady (Životné prostredie)</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-570 244</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-570 244</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-570 244</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Okresné úrady (Správa katastra)</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-914 625</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-914 625</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-914 625</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Okresné úrady (Úrady pre cestnú dopravu a pozemné komunikácie)</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2"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-294 771</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-294 771</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-294 771</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rPr>
                <w:rFonts w:ascii="Times New Roman" w:hAnsi="Times New Roman" w:cs="Times New Roman"/>
                <w:sz w:val="24"/>
                <w:szCs w:val="24"/>
                <w:lang w:eastAsia="sk-SK"/>
              </w:rPr>
            </w:pPr>
            <w:r w:rsidRPr="00C15711">
              <w:rPr>
                <w:rFonts w:ascii="Times New Roman" w:hAnsi="Times New Roman" w:cs="Times New Roman"/>
                <w:b/>
                <w:bCs/>
                <w:i/>
                <w:iCs/>
                <w:sz w:val="24"/>
                <w:szCs w:val="24"/>
                <w:lang w:eastAsia="sk-SK"/>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r w:rsidRPr="00C15711">
              <w:rPr>
                <w:rFonts w:ascii="Times New Roman" w:hAnsi="Times New Roman" w:cs="Times New Roman"/>
                <w:b/>
                <w:bCs/>
                <w:iCs/>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r w:rsidRPr="00C15711">
              <w:rPr>
                <w:rFonts w:ascii="Times New Roman" w:hAnsi="Times New Roman" w:cs="Times New Roman"/>
                <w:b/>
                <w:bCs/>
                <w:iCs/>
                <w:sz w:val="24"/>
                <w:szCs w:val="24"/>
                <w:lang w:eastAsia="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r w:rsidRPr="00C15711">
              <w:rPr>
                <w:rFonts w:ascii="Times New Roman" w:hAnsi="Times New Roman" w:cs="Times New Roman"/>
                <w:b/>
                <w:bCs/>
                <w:iCs/>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r w:rsidRPr="00C15711">
              <w:rPr>
                <w:rFonts w:ascii="Times New Roman" w:hAnsi="Times New Roman" w:cs="Times New Roman"/>
                <w:b/>
                <w:bCs/>
                <w:iCs/>
                <w:sz w:val="24"/>
                <w:szCs w:val="24"/>
                <w:lang w:eastAsia="sk-SK"/>
              </w:rPr>
              <w:t>0</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r>
      <w:tr>
        <w:tblPrEx>
          <w:tblW w:w="10135" w:type="dxa"/>
          <w:tblLayout w:type="fixed"/>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rPr>
                <w:rFonts w:ascii="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25" w:lineRule="atLeast"/>
              <w:jc w:val="right"/>
              <w:rPr>
                <w:rFonts w:ascii="Times New Roman" w:hAnsi="Times New Roman" w:cs="Times New Roman"/>
                <w:sz w:val="24"/>
                <w:szCs w:val="24"/>
                <w:lang w:eastAsia="sk-SK"/>
              </w:rPr>
            </w:pP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b/>
                <w:bCs/>
                <w:i/>
                <w:iCs/>
                <w:sz w:val="24"/>
                <w:szCs w:val="24"/>
                <w:lang w:eastAsia="sk-SK"/>
              </w:rPr>
              <w:t>- z toho vplyv na ŠR</w:t>
            </w:r>
            <w:r w:rsidRPr="00C15711">
              <w:rPr>
                <w:rFonts w:ascii="Times New Roman" w:hAnsi="Times New Roman" w:cs="Times New Roman"/>
                <w:sz w:val="24"/>
                <w:szCs w:val="24"/>
                <w:lang w:eastAsia="sk-SK"/>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r>
      <w:tr>
        <w:tblPrEx>
          <w:tblW w:w="10135" w:type="dxa"/>
          <w:tblLayout w:type="fixed"/>
          <w:tblCellMar>
            <w:left w:w="0" w:type="dxa"/>
            <w:right w:w="0" w:type="dxa"/>
          </w:tblCellMar>
        </w:tblPrEx>
        <w:tc>
          <w:tcPr>
            <w:tcW w:w="4661"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267"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372"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7"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8"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right"/>
        <w:rPr>
          <w:rFonts w:ascii="Times New Roman" w:hAnsi="Times New Roman" w:cs="Times New Roman"/>
          <w:bCs/>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ind w:firstLine="708"/>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tabuľke 1/a je vyčíslená úspora na úrovni miestnej štátnej správy. Delimitácia dotknutých úradov zahŕňa presun príjmov a výdavkov jednotlivých kapitol do kapitoly Ministerstva vnútra SR v pomere 1:1 k dátumu účinnosti zákona. Vplyvom zefektívnenia usporiadania a výkonu miestnej štátnej správy, najmä integráciou do kapitoly Ministerstva vnútra SR, sa predpokladajú úspory počnúc rokom 2014.</w:t>
      </w:r>
    </w:p>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2.2. Financovanie návrhu</w:t>
      </w:r>
    </w:p>
    <w:p w:rsidR="00C15711" w:rsidRPr="00C15711" w:rsidP="00C15711">
      <w:pPr>
        <w:bidi w:val="0"/>
        <w:spacing w:after="0" w:line="240" w:lineRule="auto"/>
        <w:rPr>
          <w:rFonts w:ascii="Times New Roman" w:hAnsi="Times New Roman" w:cs="Times New Roman"/>
          <w:b/>
          <w:bCs/>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Tabuľka č. 2</w:t>
      </w:r>
    </w:p>
    <w:tbl>
      <w:tblPr>
        <w:tblStyle w:val="TableNormal"/>
        <w:tblW w:w="10135" w:type="dxa"/>
        <w:tblCellMar>
          <w:left w:w="0" w:type="dxa"/>
          <w:right w:w="0" w:type="dxa"/>
        </w:tblCellMar>
      </w:tblPr>
      <w:tblGrid>
        <w:gridCol w:w="4304"/>
        <w:gridCol w:w="1578"/>
        <w:gridCol w:w="1418"/>
        <w:gridCol w:w="1417"/>
        <w:gridCol w:w="1418"/>
      </w:tblGrid>
      <w:tr>
        <w:tblPrEx>
          <w:tblW w:w="10135"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Financovanie</w:t>
            </w:r>
          </w:p>
        </w:tc>
        <w:tc>
          <w:tcPr>
            <w:tcW w:w="5831"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 xml:space="preserve">Vplyv na rozpočet verejnej správy </w:t>
            </w:r>
            <w:r w:rsidRPr="00C15711">
              <w:rPr>
                <w:rFonts w:ascii="Times New Roman" w:hAnsi="Times New Roman" w:cs="Times New Roman"/>
                <w:b/>
                <w:bCs/>
                <w:sz w:val="24"/>
                <w:szCs w:val="24"/>
                <w:lang w:eastAsia="sk-SK"/>
              </w:rPr>
              <w:t>(v eurách)</w:t>
            </w:r>
          </w:p>
        </w:tc>
      </w:tr>
      <w:tr>
        <w:tblPrEx>
          <w:tblW w:w="10135"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57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41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r>
      <w:tr>
        <w:tblPrEx>
          <w:tblW w:w="10135"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Celkový vplyv na rozpočet verejnej správy ( - príjmy, + výdavky)</w:t>
            </w:r>
          </w:p>
        </w:tc>
        <w:tc>
          <w:tcPr>
            <w:tcW w:w="1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-2 241 889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-2 241 889</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-2 241 889</w:t>
            </w:r>
          </w:p>
        </w:tc>
      </w:tr>
      <w:tr>
        <w:tblPrEx>
          <w:tblW w:w="10135"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z toho vplyv na ŠR (miestna ŠS)</w:t>
            </w:r>
          </w:p>
        </w:tc>
        <w:tc>
          <w:tcPr>
            <w:tcW w:w="1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-2 241 889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-2 241 889</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-2 241 889</w:t>
            </w:r>
          </w:p>
        </w:tc>
      </w:tr>
      <w:tr>
        <w:tblPrEx>
          <w:tblW w:w="10135"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51"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financovanie zabezpečené v rozpočte</w:t>
            </w:r>
          </w:p>
        </w:tc>
        <w:tc>
          <w:tcPr>
            <w:tcW w:w="1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51"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51"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51"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51"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r>
      <w:tr>
        <w:tblPrEx>
          <w:tblW w:w="10135"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5"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ostatné zdroje financovania</w:t>
            </w:r>
          </w:p>
        </w:tc>
        <w:tc>
          <w:tcPr>
            <w:tcW w:w="1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5"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5"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5"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5"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r>
      <w:tr>
        <w:tblPrEx>
          <w:tblW w:w="10135"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Rozpočtovo nekrytý vplyv / úspora</w:t>
            </w:r>
          </w:p>
        </w:tc>
        <w:tc>
          <w:tcPr>
            <w:tcW w:w="1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-2 241 889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-2 241 889</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-2 241 889</w:t>
            </w:r>
          </w:p>
        </w:tc>
      </w:tr>
    </w:tbl>
    <w:p w:rsidR="00C15711" w:rsidRPr="00C15711" w:rsidP="00C15711">
      <w:pPr>
        <w:bidi w:val="0"/>
        <w:spacing w:after="0" w:line="240" w:lineRule="auto"/>
        <w:rPr>
          <w:rFonts w:ascii="Times New Roman" w:hAnsi="Times New Roman" w:cs="Times New Roman"/>
          <w:b/>
          <w:bCs/>
          <w:sz w:val="24"/>
          <w:szCs w:val="24"/>
          <w:lang w:eastAsia="sk-SK"/>
        </w:rPr>
      </w:pP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Návrh na riešenie úbytku príjmov alebo zvýšených výdavkov podľa § 33 ods. 1 zákona č. 523/2004 Z. z. o rozpočtových pravidlách verejnej správy:</w:t>
      </w:r>
    </w:p>
    <w:p w:rsidR="00C15711" w:rsidRPr="00C15711" w:rsidP="00C15711">
      <w:pPr>
        <w:pBdr>
          <w:top w:val="single" w:sz="4" w:space="1" w:color="000000"/>
          <w:left w:val="single" w:sz="4" w:space="4" w:color="000000"/>
          <w:bottom w:val="single" w:sz="4" w:space="1" w:color="000000"/>
          <w:right w:val="single" w:sz="4" w:space="4" w:color="000000"/>
        </w:pBd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p w:rsidR="00C15711" w:rsidRPr="00C15711" w:rsidP="00C15711">
      <w:pPr>
        <w:pBdr>
          <w:top w:val="single" w:sz="4" w:space="1" w:color="000000"/>
          <w:left w:val="single" w:sz="4" w:space="4" w:color="000000"/>
          <w:bottom w:val="single" w:sz="4" w:space="1" w:color="000000"/>
          <w:right w:val="single" w:sz="4" w:space="4" w:color="000000"/>
        </w:pBd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p w:rsidR="00C15711" w:rsidRPr="00C15711" w:rsidP="00C15711">
      <w:pPr>
        <w:pBdr>
          <w:top w:val="single" w:sz="4" w:space="1" w:color="000000"/>
          <w:left w:val="single" w:sz="4" w:space="4" w:color="000000"/>
          <w:bottom w:val="single" w:sz="4" w:space="1" w:color="000000"/>
          <w:right w:val="single" w:sz="4" w:space="4" w:color="000000"/>
        </w:pBd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p w:rsidR="00C15711" w:rsidRPr="00C15711" w:rsidP="00C15711">
      <w:pPr>
        <w:pBdr>
          <w:top w:val="single" w:sz="4" w:space="1" w:color="000000"/>
          <w:left w:val="single" w:sz="4" w:space="4" w:color="000000"/>
          <w:bottom w:val="single" w:sz="4" w:space="1" w:color="000000"/>
          <w:right w:val="single" w:sz="4" w:space="4" w:color="000000"/>
        </w:pBd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p w:rsidR="00C15711" w:rsidRPr="00C15711" w:rsidP="00C15711">
      <w:pPr>
        <w:pBdr>
          <w:top w:val="single" w:sz="4" w:space="1" w:color="000000"/>
          <w:left w:val="single" w:sz="4" w:space="4" w:color="000000"/>
          <w:bottom w:val="single" w:sz="4" w:space="1" w:color="000000"/>
          <w:right w:val="single" w:sz="4" w:space="4" w:color="000000"/>
        </w:pBd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p w:rsidR="00C15711" w:rsidRPr="00C15711" w:rsidP="00C15711">
      <w:pPr>
        <w:bidi w:val="0"/>
        <w:spacing w:after="0" w:line="240" w:lineRule="auto"/>
        <w:rPr>
          <w:rFonts w:ascii="Times New Roman" w:hAnsi="Times New Roman" w:cs="Times New Roman"/>
          <w:bCs/>
          <w:sz w:val="24"/>
          <w:szCs w:val="24"/>
          <w:lang w:eastAsia="sk-SK"/>
        </w:rPr>
      </w:pP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2.3. Popis a charakteristika návrhu</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p w:rsidR="00C15711" w:rsidRPr="00C15711" w:rsidP="00C15711">
      <w:pPr>
        <w:bidi w:val="0"/>
        <w:spacing w:after="0" w:line="240" w:lineRule="auto"/>
        <w:jc w:val="both"/>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2.3.1. Popis návrhu:</w:t>
      </w:r>
    </w:p>
    <w:p w:rsidR="00C15711" w:rsidRPr="00C15711" w:rsidP="00C15711">
      <w:pPr>
        <w:bidi w:val="0"/>
        <w:spacing w:after="0" w:line="240" w:lineRule="auto"/>
        <w:jc w:val="both"/>
        <w:rPr>
          <w:rFonts w:ascii="Times New Roman" w:hAnsi="Times New Roman" w:cs="Times New Roman"/>
          <w:b/>
          <w:bCs/>
          <w:sz w:val="24"/>
          <w:szCs w:val="24"/>
          <w:lang w:eastAsia="sk-SK"/>
        </w:rPr>
      </w:pPr>
    </w:p>
    <w:p w:rsidR="00C15711" w:rsidRPr="00C15711" w:rsidP="00C15711">
      <w:pPr>
        <w:bidi w:val="0"/>
        <w:spacing w:after="0" w:line="240" w:lineRule="auto"/>
        <w:ind w:firstLine="708"/>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Návrhom zákona prechádza pôsobnosť obvodných úradov životného prostredia, obvodných pozemkových úradov, obvodných lesných úradov, obvodných úradov pre cestnú dopravu a pozemné komunikácie a správ katastra ustanovená osobitnými predpismi na okresné úrady.</w:t>
      </w:r>
    </w:p>
    <w:p w:rsidR="00C15711" w:rsidRPr="00C15711" w:rsidP="00C15711">
      <w:pPr>
        <w:bidi w:val="0"/>
        <w:spacing w:after="0" w:line="240" w:lineRule="auto"/>
        <w:ind w:firstLine="708"/>
        <w:jc w:val="both"/>
        <w:rPr>
          <w:rFonts w:ascii="Times New Roman" w:hAnsi="Times New Roman" w:cs="Times New Roman"/>
          <w:sz w:val="24"/>
          <w:szCs w:val="24"/>
          <w:lang w:eastAsia="sk-SK"/>
        </w:rPr>
      </w:pPr>
    </w:p>
    <w:p w:rsidR="00C15711" w:rsidRPr="00C15711" w:rsidP="00C15711">
      <w:pPr>
        <w:bidi w:val="0"/>
        <w:spacing w:after="0" w:line="240" w:lineRule="auto"/>
        <w:ind w:firstLine="708"/>
        <w:jc w:val="both"/>
        <w:rPr>
          <w:rFonts w:ascii="Times New Roman" w:hAnsi="Times New Roman" w:cs="Times New Roman"/>
          <w:bCs/>
          <w:sz w:val="24"/>
          <w:szCs w:val="24"/>
          <w:lang w:eastAsia="sk-SK"/>
        </w:rPr>
      </w:pPr>
      <w:r w:rsidRPr="00C15711">
        <w:rPr>
          <w:rFonts w:ascii="Times New Roman" w:hAnsi="Times New Roman" w:cs="Times New Roman"/>
          <w:sz w:val="24"/>
          <w:szCs w:val="24"/>
          <w:lang w:eastAsia="sk-SK"/>
        </w:rPr>
        <w:t>Pôsobnosť obvodných úradov životného prostredia v sídlach krajov, obvodných pozemkových  úradov v sídlach krajov, obvodných lesných úradov v sídlach krajov, obvodných úradov pre cestnú dopravu a pozemné komunikácie v sídlach krajov a správ katastra v sídlach krajov ustanovená osobitnými predpismi prechádza na okresné úrady v sídlach krajov.</w:t>
      </w:r>
    </w:p>
    <w:p w:rsidR="00C15711" w:rsidRPr="00C15711" w:rsidP="00C15711">
      <w:pPr>
        <w:bidi w:val="0"/>
        <w:spacing w:after="0" w:line="240" w:lineRule="auto"/>
        <w:ind w:firstLine="709"/>
        <w:jc w:val="both"/>
        <w:rPr>
          <w:rFonts w:ascii="Times New Roman" w:hAnsi="Times New Roman" w:cs="Times New Roman"/>
          <w:bCs/>
          <w:sz w:val="24"/>
          <w:szCs w:val="24"/>
          <w:lang w:eastAsia="sk-SK"/>
        </w:rPr>
      </w:pPr>
    </w:p>
    <w:p w:rsidR="00C15711" w:rsidRPr="00C15711" w:rsidP="00C15711">
      <w:pPr>
        <w:bidi w:val="0"/>
        <w:spacing w:after="0" w:line="240" w:lineRule="auto"/>
        <w:ind w:firstLine="709"/>
        <w:jc w:val="both"/>
        <w:rPr>
          <w:rFonts w:ascii="Times New Roman" w:hAnsi="Times New Roman" w:cs="Times New Roman"/>
          <w:bCs/>
          <w:sz w:val="24"/>
          <w:szCs w:val="24"/>
          <w:lang w:eastAsia="sk-SK"/>
        </w:rPr>
      </w:pPr>
    </w:p>
    <w:p w:rsidR="00C15711" w:rsidRPr="00C15711" w:rsidP="00C15711">
      <w:pPr>
        <w:bidi w:val="0"/>
        <w:spacing w:after="0" w:line="240" w:lineRule="auto"/>
        <w:ind w:firstLine="709"/>
        <w:jc w:val="both"/>
        <w:rPr>
          <w:rFonts w:ascii="Times New Roman" w:hAnsi="Times New Roman" w:cs="Times New Roman"/>
          <w:bCs/>
          <w:sz w:val="24"/>
          <w:szCs w:val="24"/>
          <w:lang w:eastAsia="sk-SK"/>
        </w:rPr>
      </w:pPr>
    </w:p>
    <w:p w:rsidR="00C15711" w:rsidRPr="00C15711" w:rsidP="00C15711">
      <w:pPr>
        <w:bidi w:val="0"/>
        <w:spacing w:after="0" w:line="240" w:lineRule="auto"/>
        <w:ind w:firstLine="709"/>
        <w:jc w:val="right"/>
        <w:rPr>
          <w:rFonts w:ascii="Times New Roman" w:hAnsi="Times New Roman" w:cs="Times New Roman"/>
          <w:bCs/>
          <w:sz w:val="24"/>
          <w:szCs w:val="24"/>
          <w:lang w:eastAsia="sk-SK"/>
        </w:rPr>
      </w:pPr>
    </w:p>
    <w:p w:rsidR="00C15711" w:rsidRPr="00C15711" w:rsidP="00C15711">
      <w:pPr>
        <w:bidi w:val="0"/>
        <w:spacing w:after="0" w:line="240" w:lineRule="auto"/>
        <w:ind w:firstLine="709"/>
        <w:jc w:val="right"/>
        <w:rPr>
          <w:rFonts w:ascii="Times New Roman" w:hAnsi="Times New Roman" w:cs="Times New Roman"/>
          <w:bCs/>
          <w:sz w:val="24"/>
          <w:szCs w:val="24"/>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ind w:firstLine="709"/>
        <w:jc w:val="both"/>
        <w:rPr>
          <w:rFonts w:ascii="Times New Roman" w:hAnsi="Times New Roman" w:cs="Times New Roman"/>
          <w:bCs/>
          <w:sz w:val="24"/>
          <w:szCs w:val="24"/>
          <w:lang w:eastAsia="sk-SK"/>
        </w:rPr>
      </w:pPr>
    </w:p>
    <w:p w:rsidR="00C15711" w:rsidRPr="00C15711" w:rsidP="00C15711">
      <w:pPr>
        <w:bidi w:val="0"/>
        <w:spacing w:after="0" w:line="240" w:lineRule="auto"/>
        <w:ind w:firstLine="709"/>
        <w:jc w:val="both"/>
        <w:rPr>
          <w:rFonts w:ascii="Times New Roman" w:hAnsi="Times New Roman" w:cs="Times New Roman"/>
          <w:bCs/>
          <w:sz w:val="24"/>
          <w:szCs w:val="24"/>
          <w:lang w:eastAsia="sk-SK"/>
        </w:rPr>
      </w:pPr>
      <w:r w:rsidRPr="00C15711">
        <w:rPr>
          <w:rFonts w:ascii="Times New Roman" w:hAnsi="Times New Roman" w:cs="Times New Roman"/>
          <w:bCs/>
          <w:sz w:val="24"/>
          <w:szCs w:val="24"/>
          <w:lang w:eastAsia="sk-SK"/>
        </w:rPr>
        <w:t>Návrh rieši delimitáciu vyššie uvedených obvodných úradov a jej finančný vplyv na rozpočet verejnej správy, ktorý bude implementovaný prostredníctvom všetkých dotknutých subjektov, pričom koordinačná činnosť bude zabezpečená zo strany Ministerstva vnútra SR.</w:t>
      </w:r>
    </w:p>
    <w:p w:rsidR="00C15711" w:rsidRPr="00C15711" w:rsidP="00C15711">
      <w:pPr>
        <w:bidi w:val="0"/>
        <w:spacing w:after="0" w:line="240" w:lineRule="auto"/>
        <w:ind w:firstLine="709"/>
        <w:jc w:val="both"/>
        <w:rPr>
          <w:rFonts w:ascii="Times New Roman" w:hAnsi="Times New Roman" w:cs="Times New Roman"/>
          <w:bCs/>
          <w:sz w:val="24"/>
          <w:szCs w:val="24"/>
          <w:lang w:eastAsia="sk-SK"/>
        </w:rPr>
      </w:pPr>
    </w:p>
    <w:p w:rsidR="00C15711" w:rsidRPr="00C15711" w:rsidP="00C15711">
      <w:pPr>
        <w:bidi w:val="0"/>
        <w:spacing w:after="0" w:line="240" w:lineRule="auto"/>
        <w:jc w:val="both"/>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2.3.1.1. Udržateľnosť úspor:</w:t>
      </w:r>
    </w:p>
    <w:p w:rsidR="00C15711" w:rsidRPr="00C15711" w:rsidP="00C15711">
      <w:pPr>
        <w:bidi w:val="0"/>
        <w:spacing w:after="0" w:line="240" w:lineRule="auto"/>
        <w:jc w:val="both"/>
        <w:rPr>
          <w:rFonts w:ascii="Times New Roman" w:hAnsi="Times New Roman" w:cs="Times New Roman"/>
          <w:b/>
          <w:bCs/>
          <w:sz w:val="24"/>
          <w:szCs w:val="24"/>
          <w:lang w:eastAsia="sk-SK"/>
        </w:rPr>
      </w:pPr>
    </w:p>
    <w:p w:rsidR="00C15711" w:rsidRPr="00C15711" w:rsidP="00C15711">
      <w:pPr>
        <w:bidi w:val="0"/>
        <w:spacing w:after="0" w:line="240" w:lineRule="auto"/>
        <w:ind w:firstLine="708"/>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V tabuľkách 3/a a 3/b je vyčíslená úspora na úrovni ústrednej štátnej správy najmä vplyvom efektívnejšieho využívania zdrojov a podporných činností pre miestnu štátnu správu zo strany ústredných orgánov. Uvedené úspory už boli premietnuté v štátnom rozpočte na roky 2013 až 2015, avšak prijatie predkladaného zákona je podmienkou pre ich dosiahnutie a udržanie aj v ďalších rokoch. </w:t>
      </w:r>
      <w:r w:rsidRPr="00C15711">
        <w:rPr>
          <w:rFonts w:ascii="Times New Roman" w:hAnsi="Times New Roman" w:cs="Times New Roman"/>
          <w:sz w:val="24"/>
          <w:szCs w:val="24"/>
        </w:rPr>
        <w:t>V tabuľke 3/b je uvedený sumár úspor za celú štátnu správu v členení na ústrednú a miestnu štátnu správu.</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r w:rsidRPr="00C15711">
        <w:rPr>
          <w:rFonts w:ascii="Times New Roman" w:hAnsi="Times New Roman" w:cs="Times New Roman"/>
          <w:sz w:val="20"/>
          <w:szCs w:val="20"/>
          <w:lang w:eastAsia="sk-SK"/>
        </w:rPr>
        <w:t>Tabuľka č. 3/a</w:t>
      </w:r>
    </w:p>
    <w:tbl>
      <w:tblPr>
        <w:tblStyle w:val="TableNormal"/>
        <w:tblW w:w="10135" w:type="dxa"/>
        <w:tblLayout w:type="fixed"/>
        <w:tblCellMar>
          <w:left w:w="0" w:type="dxa"/>
          <w:right w:w="0" w:type="dxa"/>
        </w:tblCellMar>
      </w:tblPr>
      <w:tblGrid>
        <w:gridCol w:w="4661"/>
        <w:gridCol w:w="1267"/>
        <w:gridCol w:w="1372"/>
        <w:gridCol w:w="1417"/>
        <w:gridCol w:w="1418"/>
      </w:tblGrid>
      <w:tr>
        <w:tblPrEx>
          <w:tblW w:w="10135" w:type="dxa"/>
          <w:tblLayout w:type="fixed"/>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194"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Úspora výdavkov</w:t>
            </w:r>
            <w:r w:rsidRPr="00C15711">
              <w:rPr>
                <w:rFonts w:ascii="Times New Roman" w:hAnsi="Times New Roman" w:cs="Times New Roman"/>
                <w:b/>
                <w:bCs/>
                <w:sz w:val="24"/>
                <w:szCs w:val="24"/>
                <w:lang w:eastAsia="sk-SK"/>
              </w:rPr>
              <w:t xml:space="preserve"> verejnej správy</w:t>
            </w:r>
          </w:p>
        </w:tc>
        <w:tc>
          <w:tcPr>
            <w:tcW w:w="5474"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194"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 xml:space="preserve">Vplyv na rozpočet verejnej správy </w:t>
            </w:r>
            <w:r w:rsidRPr="00C15711">
              <w:rPr>
                <w:rFonts w:ascii="Times New Roman" w:hAnsi="Times New Roman" w:cs="Times New Roman"/>
                <w:b/>
                <w:bCs/>
                <w:sz w:val="24"/>
                <w:szCs w:val="24"/>
                <w:lang w:eastAsia="sk-SK"/>
              </w:rPr>
              <w:t>(v eurách)</w:t>
            </w:r>
          </w:p>
        </w:tc>
      </w:tr>
      <w:tr>
        <w:tblPrEx>
          <w:tblW w:w="10135" w:type="dxa"/>
          <w:tblLayout w:type="fixed"/>
          <w:tblCellMar>
            <w:left w:w="0" w:type="dxa"/>
            <w:right w:w="0" w:type="dxa"/>
          </w:tblCellMar>
        </w:tblPrEx>
        <w:trPr>
          <w:trHeight w:val="70"/>
        </w:trPr>
        <w:tc>
          <w:tcPr>
            <w:tcW w:w="4661" w:type="dxa"/>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372"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41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p>
        </w:tc>
        <w:tc>
          <w:tcPr>
            <w:tcW w:w="1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b/>
                <w:bCs/>
                <w:i/>
                <w:iCs/>
                <w:sz w:val="24"/>
                <w:szCs w:val="24"/>
                <w:lang w:eastAsia="sk-SK"/>
              </w:rPr>
              <w:t>- vplyv na ŠR(ústredná štátna správa)</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-2 628 726</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-9 316 280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-9 316 280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-9 316 280</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MPaRV</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-815 037</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-2 994 704</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-2 994 704</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-2 994 704</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MŽP</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-231 629</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-592 886</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-592 886</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-592 886</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ÚGKaK</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-376 537</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-1 091 263 </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-1 091 263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-1 091 263 </w:t>
            </w:r>
          </w:p>
        </w:tc>
      </w:tr>
      <w:tr>
        <w:tblPrEx>
          <w:tblW w:w="10135" w:type="dxa"/>
          <w:tblLayout w:type="fixed"/>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MDVaRR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-1 205 523</w:t>
            </w:r>
          </w:p>
        </w:tc>
        <w:tc>
          <w:tcPr>
            <w:tcW w:w="13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-4 637 426</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-4 637 426</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-4 637 426</w:t>
            </w:r>
          </w:p>
        </w:tc>
      </w:tr>
    </w:tbl>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Tabuľka č. 3/b</w:t>
      </w:r>
    </w:p>
    <w:tbl>
      <w:tblPr>
        <w:tblStyle w:val="TableNormal"/>
        <w:tblW w:w="10135" w:type="dxa"/>
        <w:tblCellMar>
          <w:left w:w="0" w:type="dxa"/>
          <w:right w:w="0" w:type="dxa"/>
        </w:tblCellMar>
      </w:tblPr>
      <w:tblGrid>
        <w:gridCol w:w="4304"/>
        <w:gridCol w:w="1578"/>
        <w:gridCol w:w="1418"/>
        <w:gridCol w:w="1417"/>
        <w:gridCol w:w="1418"/>
      </w:tblGrid>
      <w:tr>
        <w:tblPrEx>
          <w:tblW w:w="10135"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Úspora výdavkov verejnej správy celkom</w:t>
            </w:r>
          </w:p>
        </w:tc>
        <w:tc>
          <w:tcPr>
            <w:tcW w:w="5831"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 xml:space="preserve">Vplyv na rozpočet verejnej správy </w:t>
            </w:r>
            <w:r w:rsidRPr="00C15711">
              <w:rPr>
                <w:rFonts w:ascii="Times New Roman" w:hAnsi="Times New Roman" w:cs="Times New Roman"/>
                <w:b/>
                <w:bCs/>
                <w:sz w:val="24"/>
                <w:szCs w:val="24"/>
                <w:lang w:eastAsia="sk-SK"/>
              </w:rPr>
              <w:t>(v eurách)</w:t>
            </w:r>
          </w:p>
        </w:tc>
      </w:tr>
      <w:tr>
        <w:tblPrEx>
          <w:tblW w:w="10135" w:type="dxa"/>
          <w:tblCellMar>
            <w:left w:w="0" w:type="dxa"/>
            <w:right w:w="0" w:type="dxa"/>
          </w:tblCellMar>
        </w:tblPrEx>
        <w:trPr>
          <w:trHeight w:val="372"/>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57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41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r>
      <w:tr>
        <w:tblPrEx>
          <w:tblW w:w="10135"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Celkový vplyv na rozpočet verejnej správy ( - príjmy, + výdavky)</w:t>
            </w:r>
          </w:p>
        </w:tc>
        <w:tc>
          <w:tcPr>
            <w:tcW w:w="1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-2 628 726</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-11 558 169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-11 558 169</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-11 558 169</w:t>
            </w:r>
          </w:p>
        </w:tc>
      </w:tr>
      <w:tr>
        <w:tblPrEx>
          <w:tblW w:w="10135"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z toho vplyv na ŠR (miestna ŠS)</w:t>
            </w:r>
          </w:p>
        </w:tc>
        <w:tc>
          <w:tcPr>
            <w:tcW w:w="1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-2 241 889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-2 241 889</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-2 241 889</w:t>
            </w:r>
          </w:p>
        </w:tc>
      </w:tr>
      <w:tr>
        <w:tblPrEx>
          <w:tblW w:w="10135"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51"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z toho vplyv na ŠR (ústredná ŠS)</w:t>
            </w:r>
          </w:p>
        </w:tc>
        <w:tc>
          <w:tcPr>
            <w:tcW w:w="1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-2 628 726</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-9 316 280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-9 316 280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-9 316 280</w:t>
            </w:r>
          </w:p>
        </w:tc>
      </w:tr>
      <w:tr>
        <w:tblPrEx>
          <w:tblW w:w="10135"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51"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financovanie zabezpečené v rozpočte</w:t>
            </w:r>
          </w:p>
        </w:tc>
        <w:tc>
          <w:tcPr>
            <w:tcW w:w="1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51"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51"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51"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51"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r>
      <w:tr>
        <w:tblPrEx>
          <w:tblW w:w="10135"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5" w:lineRule="atLeas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ostatné zdroje financovania</w:t>
            </w:r>
          </w:p>
        </w:tc>
        <w:tc>
          <w:tcPr>
            <w:tcW w:w="1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5"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5"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5"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135" w:lineRule="atLeast"/>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0</w:t>
            </w:r>
          </w:p>
        </w:tc>
      </w:tr>
      <w:tr>
        <w:tblPrEx>
          <w:tblW w:w="10135"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Rozpočtovo nekrytý vplyv / úspora</w:t>
            </w:r>
          </w:p>
        </w:tc>
        <w:tc>
          <w:tcPr>
            <w:tcW w:w="1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-2 628 726</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-11 558 169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-11 558 169</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-11 558 169</w:t>
            </w:r>
          </w:p>
        </w:tc>
      </w:tr>
    </w:tbl>
    <w:p w:rsidR="00C15711" w:rsidRPr="00C15711" w:rsidP="00C15711">
      <w:pPr>
        <w:bidi w:val="0"/>
        <w:spacing w:after="0" w:line="240" w:lineRule="auto"/>
        <w:rPr>
          <w:rFonts w:ascii="Times New Roman" w:hAnsi="Times New Roman" w:cs="Times New Roman"/>
          <w:b/>
          <w:bCs/>
          <w:sz w:val="24"/>
          <w:szCs w:val="24"/>
          <w:lang w:eastAsia="sk-SK"/>
        </w:rPr>
      </w:pP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2.3.2. Charakteristika návrhu podľa bodu  2.3.2. Metodiky:</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bdr w:val="single" w:sz="4" w:space="0" w:color="000000" w:frame="1"/>
          <w:lang w:eastAsia="sk-SK"/>
        </w:rPr>
        <w:t xml:space="preserve">     </w:t>
      </w:r>
      <w:r w:rsidRPr="00C15711">
        <w:rPr>
          <w:rFonts w:ascii="Times New Roman" w:hAnsi="Times New Roman" w:cs="Times New Roman"/>
          <w:b/>
          <w:bCs/>
          <w:sz w:val="24"/>
          <w:szCs w:val="24"/>
          <w:lang w:eastAsia="sk-SK"/>
        </w:rPr>
        <w:t xml:space="preserve">  </w:t>
      </w:r>
      <w:r w:rsidRPr="00C15711">
        <w:rPr>
          <w:rFonts w:ascii="Times New Roman" w:hAnsi="Times New Roman" w:cs="Times New Roman"/>
          <w:sz w:val="24"/>
          <w:szCs w:val="24"/>
          <w:lang w:eastAsia="sk-SK"/>
        </w:rPr>
        <w:t>zmena sadzby</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bdr w:val="single" w:sz="4" w:space="0" w:color="000000" w:frame="1"/>
          <w:lang w:eastAsia="sk-SK"/>
        </w:rPr>
        <w:t xml:space="preserve">     </w:t>
      </w:r>
      <w:r w:rsidRPr="00C15711">
        <w:rPr>
          <w:rFonts w:ascii="Times New Roman" w:hAnsi="Times New Roman" w:cs="Times New Roman"/>
          <w:sz w:val="24"/>
          <w:szCs w:val="24"/>
          <w:lang w:eastAsia="sk-SK"/>
        </w:rPr>
        <w:t>  zmena v nároku</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bdr w:val="single" w:sz="4" w:space="0" w:color="000000" w:frame="1"/>
          <w:lang w:eastAsia="sk-SK"/>
        </w:rPr>
        <w:t xml:space="preserve">     </w:t>
      </w:r>
      <w:r w:rsidRPr="00C15711">
        <w:rPr>
          <w:rFonts w:ascii="Times New Roman" w:hAnsi="Times New Roman" w:cs="Times New Roman"/>
          <w:sz w:val="24"/>
          <w:szCs w:val="24"/>
          <w:lang w:eastAsia="sk-SK"/>
        </w:rPr>
        <w:t>  nová služba alebo nariadenie (alebo ich zrušenie)</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bdr w:val="single" w:sz="4" w:space="0" w:color="000000" w:frame="1"/>
          <w:lang w:eastAsia="sk-SK"/>
        </w:rPr>
        <w:t xml:space="preserve">     </w:t>
      </w:r>
      <w:r w:rsidRPr="00C15711">
        <w:rPr>
          <w:rFonts w:ascii="Times New Roman" w:hAnsi="Times New Roman" w:cs="Times New Roman"/>
          <w:sz w:val="24"/>
          <w:szCs w:val="24"/>
          <w:lang w:eastAsia="sk-SK"/>
        </w:rPr>
        <w:t>  kombinovaný návrh</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bdr w:val="single" w:sz="4" w:space="0" w:color="000000" w:frame="1"/>
          <w:lang w:eastAsia="sk-SK"/>
        </w:rPr>
        <w:t xml:space="preserve"> X </w:t>
      </w:r>
      <w:r w:rsidRPr="00C15711">
        <w:rPr>
          <w:rFonts w:ascii="Times New Roman" w:hAnsi="Times New Roman" w:cs="Times New Roman"/>
          <w:sz w:val="24"/>
          <w:szCs w:val="24"/>
          <w:lang w:eastAsia="sk-SK"/>
        </w:rPr>
        <w:t>  iné</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p w:rsidR="00C15711" w:rsidRPr="00C15711" w:rsidP="00C15711">
      <w:pPr>
        <w:bidi w:val="0"/>
        <w:spacing w:after="0" w:line="240" w:lineRule="auto"/>
        <w:ind w:firstLine="708"/>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K dátumu účinnosti zákona bude delimitovaná alikvotná časť rozpočtových prostriedkov z jednotlivých kapitol a počet funkčných miest za obvodné úrady životného prostredia, obvodné lesné úrady, obvodné pozemkové úrady, obvodné úrady pre cestnú dopravu a pozemné komunikácie a správy katastra do kapitoly Ministerstva vnútra SR.</w:t>
      </w:r>
    </w:p>
    <w:p w:rsidR="00C15711" w:rsidRPr="00C15711" w:rsidP="00C15711">
      <w:pPr>
        <w:bidi w:val="0"/>
        <w:spacing w:after="0" w:line="240" w:lineRule="auto"/>
        <w:jc w:val="right"/>
        <w:rPr>
          <w:rFonts w:ascii="Times New Roman" w:hAnsi="Times New Roman" w:cs="Times New Roman"/>
          <w:bCs/>
          <w:sz w:val="24"/>
          <w:szCs w:val="24"/>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rPr>
          <w:rFonts w:ascii="Times New Roman" w:hAnsi="Times New Roman" w:cs="Times New Roman"/>
          <w:b/>
          <w:bCs/>
          <w:sz w:val="24"/>
          <w:szCs w:val="24"/>
          <w:lang w:eastAsia="sk-SK"/>
        </w:rPr>
      </w:pP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2.3.3. Predpoklady vývoja objemu aktivít:</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p w:rsidR="00C15711" w:rsidRPr="00C15711" w:rsidP="00C15711">
      <w:pPr>
        <w:bidi w:val="0"/>
        <w:spacing w:after="0" w:line="240" w:lineRule="auto"/>
        <w:ind w:firstLine="708"/>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Jasne popíšte, v prípade potreby použite nižšie uvedenú tabuľku. Uveďte aj odhady základov daní a/alebo poplatkov, ak sa ich táto zmena týka.</w:t>
      </w:r>
    </w:p>
    <w:p w:rsidR="00C15711" w:rsidRPr="00C15711" w:rsidP="00C15711">
      <w:pPr>
        <w:bidi w:val="0"/>
        <w:spacing w:after="0" w:line="240" w:lineRule="auto"/>
        <w:ind w:firstLine="708"/>
        <w:jc w:val="both"/>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Tabuľka č. 3</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C15711" w:rsidRPr="00C15711" w:rsidP="00C15711">
            <w:pPr>
              <w:bidi w:val="0"/>
              <w:spacing w:after="0" w:line="70" w:lineRule="atLeast"/>
              <w:jc w:val="right"/>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2.3.4. Výpočty vplyvov na verejné financie</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p w:rsidR="00C15711" w:rsidRPr="00C15711" w:rsidP="00C15711">
      <w:pPr>
        <w:bidi w:val="0"/>
        <w:spacing w:after="0" w:line="240" w:lineRule="auto"/>
        <w:ind w:firstLine="708"/>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Centralizácia orgánov miestnej štátnej správy je základným predpokladom efektívnejšieho využívania zdrojov, najmä tovarov a služieb, hlavne na úrovni podporných procesov (správa nehnuteľností, materiálno-technické zabezpečenie, využívanie jednotnej IT infraštruktúry, úspory z rozsahu).</w:t>
      </w:r>
    </w:p>
    <w:p w:rsidR="00C15711" w:rsidRPr="00C15711" w:rsidP="00C15711">
      <w:pPr>
        <w:bidi w:val="0"/>
        <w:spacing w:after="0" w:line="240" w:lineRule="auto"/>
        <w:ind w:firstLine="708"/>
        <w:jc w:val="both"/>
        <w:rPr>
          <w:rFonts w:ascii="Times New Roman" w:hAnsi="Times New Roman" w:cs="Times New Roman"/>
          <w:sz w:val="24"/>
          <w:szCs w:val="24"/>
          <w:lang w:eastAsia="sk-SK"/>
        </w:rPr>
      </w:pPr>
    </w:p>
    <w:p w:rsidR="00C15711" w:rsidRPr="00C15711" w:rsidP="00C15711">
      <w:pPr>
        <w:bidi w:val="0"/>
        <w:spacing w:after="0" w:line="240" w:lineRule="auto"/>
        <w:ind w:firstLine="708"/>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Na úrovni ústrednej štátnej správy sa predpokladá úspora podporných činností pre delimitované subjekty na úrovni ústredných orgánov štátnej správy a ich zabezpečenie rezortom vnútra s minimálnym resp. nulových nárastom výdavkov využitím jeho existujúcich štruktúr (úspory z rozsahu). Ďalej úspora vplyvom efektívnejšieho využívania zdrojov, najmä tovarov a služieb ústrednými orgánmi štátnej správy. Úspory vplyvom zefektívnenia miestnej štátnej správy, najmä ich integráciou do Ministerstva vnútra SR, sú predpokladané počnúc rokom 2014.</w:t>
      </w:r>
    </w:p>
    <w:p w:rsidR="00C15711" w:rsidRPr="00C15711" w:rsidP="00C15711">
      <w:pPr>
        <w:bidi w:val="0"/>
        <w:spacing w:after="0" w:line="240" w:lineRule="auto"/>
        <w:ind w:firstLine="708"/>
        <w:jc w:val="both"/>
        <w:rPr>
          <w:rFonts w:ascii="Times New Roman" w:hAnsi="Times New Roman" w:cs="Times New Roman"/>
          <w:sz w:val="24"/>
          <w:szCs w:val="24"/>
          <w:lang w:eastAsia="sk-SK"/>
        </w:rPr>
      </w:pPr>
    </w:p>
    <w:p w:rsidR="00C15711" w:rsidRPr="00C15711" w:rsidP="00C15711">
      <w:pPr>
        <w:bidi w:val="0"/>
        <w:spacing w:after="480" w:line="240" w:lineRule="auto"/>
        <w:ind w:firstLine="709"/>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Úspora mzdových prostriedkov vznikne efektívnejším využívaním ľudských zdrojov, najmä neobsadením niektorých voľných tabuľkových miest delimitovaných subjektov, bez vplyvu na celkovú zamestnanosť. V súčasnosti je v dotknutých orgánoch miestnej štátnej správy približne 100 neobsadených voľných pracovných miest. Konkrétne počty budú špecifikované v delimitačných protokoloch.</w:t>
      </w:r>
    </w:p>
    <w:p w:rsidR="00C15711" w:rsidRPr="00C15711" w:rsidP="00C15711">
      <w:pPr>
        <w:bidi w:val="0"/>
        <w:spacing w:after="0" w:line="240" w:lineRule="auto"/>
        <w:ind w:firstLine="708"/>
        <w:jc w:val="both"/>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Výpočet na rok 2013</w:t>
      </w:r>
    </w:p>
    <w:tbl>
      <w:tblPr>
        <w:tblStyle w:val="TableNormal"/>
        <w:tblpPr w:leftFromText="141" w:rightFromText="141" w:vertAnchor="text" w:horzAnchor="margin" w:tblpY="57"/>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76"/>
        <w:gridCol w:w="1500"/>
        <w:gridCol w:w="1128"/>
        <w:gridCol w:w="998"/>
        <w:gridCol w:w="1276"/>
        <w:gridCol w:w="687"/>
        <w:gridCol w:w="1174"/>
      </w:tblGrid>
      <w:tr>
        <w:tblPrEx>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4"/>
        </w:trPr>
        <w:tc>
          <w:tcPr>
            <w:tcW w:w="3276"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 xml:space="preserve">Organizácia </w:t>
            </w: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 xml:space="preserve">Počet </w:t>
            </w:r>
          </w:p>
        </w:tc>
        <w:tc>
          <w:tcPr>
            <w:tcW w:w="5263" w:type="dxa"/>
            <w:gridSpan w:val="5"/>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Finančné prostriedky</w:t>
            </w:r>
          </w:p>
        </w:tc>
      </w:tr>
      <w:tr>
        <w:tblPrEx>
          <w:tblW w:w="10039" w:type="dxa"/>
          <w:tblCellMar>
            <w:left w:w="70" w:type="dxa"/>
            <w:right w:w="70" w:type="dxa"/>
          </w:tblCellMar>
          <w:tblLook w:val="04A0"/>
        </w:tblPrEx>
        <w:trPr>
          <w:trHeight w:val="334"/>
        </w:trPr>
        <w:tc>
          <w:tcPr>
            <w:tcW w:w="3276" w:type="dxa"/>
            <w:vMerge/>
            <w:tcBorders>
              <w:top w:val="single" w:sz="4" w:space="0" w:color="auto"/>
              <w:left w:val="single" w:sz="4" w:space="0" w:color="auto"/>
              <w:bottom w:val="single" w:sz="4" w:space="0" w:color="auto"/>
              <w:right w:val="single" w:sz="4" w:space="0" w:color="auto"/>
            </w:tcBorders>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zamestnancov</w:t>
            </w:r>
          </w:p>
        </w:tc>
        <w:tc>
          <w:tcPr>
            <w:tcW w:w="112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610</w:t>
            </w:r>
          </w:p>
        </w:tc>
        <w:tc>
          <w:tcPr>
            <w:tcW w:w="99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620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630</w:t>
            </w:r>
          </w:p>
        </w:tc>
        <w:tc>
          <w:tcPr>
            <w:tcW w:w="68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640</w:t>
            </w:r>
          </w:p>
        </w:tc>
        <w:tc>
          <w:tcPr>
            <w:tcW w:w="1174"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Bežné výdavky</w:t>
            </w:r>
          </w:p>
        </w:tc>
      </w:tr>
      <w:tr>
        <w:tblPrEx>
          <w:tblW w:w="10039" w:type="dxa"/>
          <w:tblCellMar>
            <w:left w:w="70" w:type="dxa"/>
            <w:right w:w="70" w:type="dxa"/>
          </w:tblCellMar>
          <w:tblLook w:val="04A0"/>
        </w:tblPrEx>
        <w:trPr>
          <w:trHeight w:val="334"/>
        </w:trPr>
        <w:tc>
          <w:tcPr>
            <w:tcW w:w="3276"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 </w:t>
            </w: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úspora</w:t>
            </w:r>
          </w:p>
        </w:tc>
        <w:tc>
          <w:tcPr>
            <w:tcW w:w="112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úspora</w:t>
            </w:r>
          </w:p>
        </w:tc>
        <w:tc>
          <w:tcPr>
            <w:tcW w:w="99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úspora</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úspora</w:t>
            </w:r>
          </w:p>
        </w:tc>
        <w:tc>
          <w:tcPr>
            <w:tcW w:w="68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nárok</w:t>
            </w:r>
          </w:p>
        </w:tc>
        <w:tc>
          <w:tcPr>
            <w:tcW w:w="1174"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 xml:space="preserve">spolu </w:t>
            </w:r>
          </w:p>
        </w:tc>
      </w:tr>
      <w:tr>
        <w:tblPrEx>
          <w:tblW w:w="10039" w:type="dxa"/>
          <w:tblCellMar>
            <w:left w:w="70" w:type="dxa"/>
            <w:right w:w="70" w:type="dxa"/>
          </w:tblCellMar>
          <w:tblLook w:val="04A0"/>
        </w:tblPrEx>
        <w:trPr>
          <w:trHeight w:val="334"/>
        </w:trPr>
        <w:tc>
          <w:tcPr>
            <w:tcW w:w="3276"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bCs/>
                <w:color w:val="000000"/>
                <w:sz w:val="24"/>
                <w:szCs w:val="24"/>
                <w:lang w:eastAsia="sk-SK"/>
              </w:rPr>
              <w:t>Ústredná štátna správa</w:t>
            </w: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bCs/>
                <w:color w:val="000000"/>
                <w:sz w:val="24"/>
                <w:szCs w:val="24"/>
                <w:lang w:eastAsia="sk-SK"/>
              </w:rPr>
              <w:t>0 </w:t>
            </w:r>
          </w:p>
        </w:tc>
        <w:tc>
          <w:tcPr>
            <w:tcW w:w="112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bCs/>
                <w:color w:val="000000"/>
                <w:sz w:val="24"/>
                <w:szCs w:val="24"/>
                <w:lang w:eastAsia="sk-SK"/>
              </w:rPr>
              <w:t> </w:t>
            </w:r>
          </w:p>
        </w:tc>
        <w:tc>
          <w:tcPr>
            <w:tcW w:w="99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bCs/>
                <w:color w:val="000000"/>
                <w:sz w:val="24"/>
                <w:szCs w:val="24"/>
                <w:lang w:eastAsia="sk-SK"/>
              </w:rPr>
              <w:t> </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bCs/>
                <w:color w:val="000000"/>
                <w:sz w:val="24"/>
                <w:szCs w:val="24"/>
                <w:lang w:eastAsia="sk-SK"/>
              </w:rPr>
              <w:t>2 628 726</w:t>
            </w:r>
          </w:p>
        </w:tc>
        <w:tc>
          <w:tcPr>
            <w:tcW w:w="68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bCs/>
                <w:color w:val="000000"/>
                <w:sz w:val="24"/>
                <w:szCs w:val="24"/>
                <w:lang w:eastAsia="sk-SK"/>
              </w:rPr>
              <w:t> </w:t>
            </w:r>
          </w:p>
        </w:tc>
        <w:tc>
          <w:tcPr>
            <w:tcW w:w="1174"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2 628 726</w:t>
            </w:r>
          </w:p>
        </w:tc>
      </w:tr>
      <w:tr>
        <w:tblPrEx>
          <w:tblW w:w="10039" w:type="dxa"/>
          <w:tblCellMar>
            <w:left w:w="70" w:type="dxa"/>
            <w:right w:w="70" w:type="dxa"/>
          </w:tblCellMar>
          <w:tblLook w:val="04A0"/>
        </w:tblPrEx>
        <w:trPr>
          <w:trHeight w:val="334"/>
        </w:trPr>
        <w:tc>
          <w:tcPr>
            <w:tcW w:w="3276"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SPOLU</w:t>
            </w: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0</w:t>
            </w:r>
          </w:p>
        </w:tc>
        <w:tc>
          <w:tcPr>
            <w:tcW w:w="112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0</w:t>
            </w:r>
          </w:p>
        </w:tc>
        <w:tc>
          <w:tcPr>
            <w:tcW w:w="99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2 628 726</w:t>
            </w:r>
          </w:p>
        </w:tc>
        <w:tc>
          <w:tcPr>
            <w:tcW w:w="68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 </w:t>
            </w:r>
          </w:p>
        </w:tc>
        <w:tc>
          <w:tcPr>
            <w:tcW w:w="1174"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2 628 726</w:t>
            </w:r>
          </w:p>
        </w:tc>
      </w:tr>
    </w:tbl>
    <w:p w:rsidR="00C15711" w:rsidRPr="00C15711" w:rsidP="00C15711">
      <w:pPr>
        <w:bidi w:val="0"/>
        <w:spacing w:after="0" w:line="240" w:lineRule="auto"/>
        <w:ind w:firstLine="708"/>
        <w:jc w:val="both"/>
        <w:rPr>
          <w:rFonts w:ascii="Times New Roman" w:hAnsi="Times New Roman" w:cs="Times New Roman"/>
          <w:color w:val="000000"/>
          <w:sz w:val="24"/>
          <w:szCs w:val="24"/>
          <w:lang w:eastAsia="sk-SK"/>
        </w:rPr>
      </w:pPr>
    </w:p>
    <w:p w:rsidR="00C15711" w:rsidRPr="00C15711" w:rsidP="00C15711">
      <w:pPr>
        <w:bidi w:val="0"/>
        <w:spacing w:after="0" w:line="240" w:lineRule="auto"/>
        <w:ind w:firstLine="708"/>
        <w:jc w:val="both"/>
        <w:rPr>
          <w:rFonts w:ascii="Times New Roman" w:hAnsi="Times New Roman" w:cs="Times New Roman"/>
          <w:color w:val="000000"/>
          <w:sz w:val="24"/>
          <w:szCs w:val="24"/>
          <w:lang w:eastAsia="sk-SK"/>
        </w:rPr>
      </w:pPr>
    </w:p>
    <w:p w:rsidR="00C15711" w:rsidRPr="00C15711" w:rsidP="00C15711">
      <w:pPr>
        <w:bidi w:val="0"/>
        <w:spacing w:after="0" w:line="240" w:lineRule="auto"/>
        <w:jc w:val="both"/>
        <w:rPr>
          <w:rFonts w:ascii="Times New Roman" w:hAnsi="Times New Roman" w:cs="Times New Roman"/>
          <w:color w:val="000000"/>
          <w:sz w:val="24"/>
          <w:szCs w:val="24"/>
          <w:lang w:eastAsia="sk-SK"/>
        </w:rPr>
      </w:pPr>
    </w:p>
    <w:p w:rsidR="00C15711" w:rsidRPr="00C15711" w:rsidP="00C15711">
      <w:pPr>
        <w:bidi w:val="0"/>
        <w:spacing w:after="0" w:line="240" w:lineRule="auto"/>
        <w:ind w:firstLine="708"/>
        <w:jc w:val="both"/>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Výpočet na roky 2014, 2015 a 2016</w:t>
      </w:r>
    </w:p>
    <w:tbl>
      <w:tblPr>
        <w:tblStyle w:val="TableNormal"/>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7"/>
        <w:gridCol w:w="1500"/>
        <w:gridCol w:w="1208"/>
        <w:gridCol w:w="968"/>
        <w:gridCol w:w="1214"/>
        <w:gridCol w:w="687"/>
        <w:gridCol w:w="1189"/>
      </w:tblGrid>
      <w:tr>
        <w:tblPrEx>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1"/>
        </w:trPr>
        <w:tc>
          <w:tcPr>
            <w:tcW w:w="3337"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 xml:space="preserve">Organizácia </w:t>
            </w: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 xml:space="preserve">Počet </w:t>
            </w:r>
          </w:p>
        </w:tc>
        <w:tc>
          <w:tcPr>
            <w:tcW w:w="5266" w:type="dxa"/>
            <w:gridSpan w:val="5"/>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Finančné prostriedky</w:t>
            </w:r>
          </w:p>
        </w:tc>
      </w:tr>
      <w:tr>
        <w:tblPrEx>
          <w:tblW w:w="10103" w:type="dxa"/>
          <w:tblCellMar>
            <w:left w:w="70" w:type="dxa"/>
            <w:right w:w="70" w:type="dxa"/>
          </w:tblCellMar>
          <w:tblLook w:val="04A0"/>
        </w:tblPrEx>
        <w:trPr>
          <w:trHeight w:val="311"/>
        </w:trPr>
        <w:tc>
          <w:tcPr>
            <w:tcW w:w="3337" w:type="dxa"/>
            <w:vMerge/>
            <w:tcBorders>
              <w:top w:val="single" w:sz="4" w:space="0" w:color="auto"/>
              <w:left w:val="single" w:sz="4" w:space="0" w:color="auto"/>
              <w:bottom w:val="single" w:sz="4" w:space="0" w:color="auto"/>
              <w:right w:val="single" w:sz="4" w:space="0" w:color="auto"/>
            </w:tcBorders>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zamestnancov</w:t>
            </w:r>
          </w:p>
        </w:tc>
        <w:tc>
          <w:tcPr>
            <w:tcW w:w="120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610</w:t>
            </w:r>
          </w:p>
        </w:tc>
        <w:tc>
          <w:tcPr>
            <w:tcW w:w="96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620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630</w:t>
            </w:r>
          </w:p>
        </w:tc>
        <w:tc>
          <w:tcPr>
            <w:tcW w:w="68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640</w:t>
            </w:r>
          </w:p>
        </w:tc>
        <w:tc>
          <w:tcPr>
            <w:tcW w:w="1189"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Bežné výdavky</w:t>
            </w:r>
          </w:p>
        </w:tc>
      </w:tr>
      <w:tr>
        <w:tblPrEx>
          <w:tblW w:w="10103" w:type="dxa"/>
          <w:tblCellMar>
            <w:left w:w="70" w:type="dxa"/>
            <w:right w:w="70" w:type="dxa"/>
          </w:tblCellMar>
          <w:tblLook w:val="04A0"/>
        </w:tblPrEx>
        <w:trPr>
          <w:trHeight w:val="311"/>
        </w:trPr>
        <w:tc>
          <w:tcPr>
            <w:tcW w:w="333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 </w:t>
            </w: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úspora</w:t>
            </w:r>
          </w:p>
        </w:tc>
        <w:tc>
          <w:tcPr>
            <w:tcW w:w="120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úspora</w:t>
            </w:r>
          </w:p>
        </w:tc>
        <w:tc>
          <w:tcPr>
            <w:tcW w:w="96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úspora</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úspora</w:t>
            </w:r>
          </w:p>
        </w:tc>
        <w:tc>
          <w:tcPr>
            <w:tcW w:w="68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nárok</w:t>
            </w:r>
          </w:p>
        </w:tc>
        <w:tc>
          <w:tcPr>
            <w:tcW w:w="1189"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center"/>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 xml:space="preserve">spolu </w:t>
            </w:r>
          </w:p>
        </w:tc>
      </w:tr>
      <w:tr>
        <w:tblPrEx>
          <w:tblW w:w="10103" w:type="dxa"/>
          <w:tblCellMar>
            <w:left w:w="70" w:type="dxa"/>
            <w:right w:w="70" w:type="dxa"/>
          </w:tblCellMar>
          <w:tblLook w:val="04A0"/>
        </w:tblPrEx>
        <w:trPr>
          <w:trHeight w:val="311"/>
        </w:trPr>
        <w:tc>
          <w:tcPr>
            <w:tcW w:w="3337" w:type="dxa"/>
            <w:tcBorders>
              <w:top w:val="single" w:sz="4" w:space="0" w:color="auto"/>
              <w:left w:val="single" w:sz="4" w:space="0" w:color="auto"/>
              <w:bottom w:val="single" w:sz="4" w:space="0" w:color="auto"/>
              <w:right w:val="single" w:sz="4" w:space="0" w:color="auto"/>
            </w:tcBorders>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Okresné úrady (Pozemkové úrady)</w:t>
            </w: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0</w:t>
            </w:r>
          </w:p>
        </w:tc>
        <w:tc>
          <w:tcPr>
            <w:tcW w:w="120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98 314</w:t>
            </w:r>
          </w:p>
        </w:tc>
        <w:tc>
          <w:tcPr>
            <w:tcW w:w="96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34 361</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187 563</w:t>
            </w:r>
          </w:p>
        </w:tc>
        <w:tc>
          <w:tcPr>
            <w:tcW w:w="68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 </w:t>
            </w:r>
          </w:p>
        </w:tc>
        <w:tc>
          <w:tcPr>
            <w:tcW w:w="1189"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320 238</w:t>
            </w:r>
          </w:p>
        </w:tc>
      </w:tr>
      <w:tr>
        <w:tblPrEx>
          <w:tblW w:w="10103" w:type="dxa"/>
          <w:tblCellMar>
            <w:left w:w="70" w:type="dxa"/>
            <w:right w:w="70" w:type="dxa"/>
          </w:tblCellMar>
          <w:tblLook w:val="04A0"/>
        </w:tblPrEx>
        <w:trPr>
          <w:trHeight w:val="311"/>
        </w:trPr>
        <w:tc>
          <w:tcPr>
            <w:tcW w:w="3337" w:type="dxa"/>
            <w:tcBorders>
              <w:top w:val="single" w:sz="4" w:space="0" w:color="auto"/>
              <w:left w:val="single" w:sz="4" w:space="0" w:color="auto"/>
              <w:bottom w:val="single" w:sz="4" w:space="0" w:color="auto"/>
              <w:right w:val="single" w:sz="4" w:space="0" w:color="auto"/>
            </w:tcBorders>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Okresné úrady (Lesné úrady)</w:t>
            </w: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0</w:t>
            </w:r>
          </w:p>
        </w:tc>
        <w:tc>
          <w:tcPr>
            <w:tcW w:w="120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47 521</w:t>
            </w:r>
          </w:p>
        </w:tc>
        <w:tc>
          <w:tcPr>
            <w:tcW w:w="96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16 609</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77 881</w:t>
            </w:r>
          </w:p>
        </w:tc>
        <w:tc>
          <w:tcPr>
            <w:tcW w:w="68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 </w:t>
            </w:r>
          </w:p>
        </w:tc>
        <w:tc>
          <w:tcPr>
            <w:tcW w:w="1189"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142 011</w:t>
            </w:r>
          </w:p>
        </w:tc>
      </w:tr>
      <w:tr>
        <w:tblPrEx>
          <w:tblW w:w="10103" w:type="dxa"/>
          <w:tblCellMar>
            <w:left w:w="70" w:type="dxa"/>
            <w:right w:w="70" w:type="dxa"/>
          </w:tblCellMar>
          <w:tblLook w:val="04A0"/>
        </w:tblPrEx>
        <w:trPr>
          <w:trHeight w:val="311"/>
        </w:trPr>
        <w:tc>
          <w:tcPr>
            <w:tcW w:w="3337" w:type="dxa"/>
            <w:tcBorders>
              <w:top w:val="single" w:sz="4" w:space="0" w:color="auto"/>
              <w:left w:val="single" w:sz="4" w:space="0" w:color="auto"/>
              <w:bottom w:val="single" w:sz="4" w:space="0" w:color="auto"/>
              <w:right w:val="single" w:sz="4" w:space="0" w:color="auto"/>
            </w:tcBorders>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Okresné úrady (Životné prostredie)</w:t>
            </w: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0</w:t>
            </w:r>
          </w:p>
        </w:tc>
        <w:tc>
          <w:tcPr>
            <w:tcW w:w="120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175 336</w:t>
            </w:r>
          </w:p>
        </w:tc>
        <w:tc>
          <w:tcPr>
            <w:tcW w:w="96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61 280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333 628</w:t>
            </w:r>
          </w:p>
        </w:tc>
        <w:tc>
          <w:tcPr>
            <w:tcW w:w="68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 </w:t>
            </w:r>
          </w:p>
        </w:tc>
        <w:tc>
          <w:tcPr>
            <w:tcW w:w="1189"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570 244</w:t>
            </w:r>
          </w:p>
        </w:tc>
      </w:tr>
      <w:tr>
        <w:tblPrEx>
          <w:tblW w:w="10103" w:type="dxa"/>
          <w:tblCellMar>
            <w:left w:w="70" w:type="dxa"/>
            <w:right w:w="70" w:type="dxa"/>
          </w:tblCellMar>
          <w:tblLook w:val="04A0"/>
        </w:tblPrEx>
        <w:trPr>
          <w:trHeight w:val="607"/>
        </w:trPr>
        <w:tc>
          <w:tcPr>
            <w:tcW w:w="3337" w:type="dxa"/>
            <w:tcBorders>
              <w:top w:val="single" w:sz="4" w:space="0" w:color="auto"/>
              <w:left w:val="single" w:sz="4" w:space="0" w:color="auto"/>
              <w:bottom w:val="single" w:sz="4" w:space="0" w:color="auto"/>
              <w:right w:val="single" w:sz="4" w:space="0" w:color="auto"/>
            </w:tcBorders>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Okresné úrady (Úrady geodézie, kartografie a katastra)</w:t>
            </w: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0</w:t>
            </w:r>
          </w:p>
        </w:tc>
        <w:tc>
          <w:tcPr>
            <w:tcW w:w="120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370 315</w:t>
            </w:r>
          </w:p>
        </w:tc>
        <w:tc>
          <w:tcPr>
            <w:tcW w:w="96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129 425</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414 885</w:t>
            </w:r>
          </w:p>
        </w:tc>
        <w:tc>
          <w:tcPr>
            <w:tcW w:w="68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 </w:t>
            </w:r>
          </w:p>
        </w:tc>
        <w:tc>
          <w:tcPr>
            <w:tcW w:w="1189"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914 625</w:t>
            </w:r>
          </w:p>
        </w:tc>
      </w:tr>
      <w:tr>
        <w:tblPrEx>
          <w:tblW w:w="10103" w:type="dxa"/>
          <w:tblCellMar>
            <w:left w:w="70" w:type="dxa"/>
            <w:right w:w="70" w:type="dxa"/>
          </w:tblCellMar>
          <w:tblLook w:val="04A0"/>
        </w:tblPrEx>
        <w:trPr>
          <w:trHeight w:val="607"/>
        </w:trPr>
        <w:tc>
          <w:tcPr>
            <w:tcW w:w="3337" w:type="dxa"/>
            <w:tcBorders>
              <w:top w:val="single" w:sz="4" w:space="0" w:color="auto"/>
              <w:left w:val="single" w:sz="4" w:space="0" w:color="auto"/>
              <w:bottom w:val="single" w:sz="4" w:space="0" w:color="auto"/>
              <w:right w:val="single" w:sz="4" w:space="0" w:color="auto"/>
            </w:tcBorders>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Okresné úrady (Úrady pre cestnú dopravu a pozemné komunikácie SR)</w:t>
            </w: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0</w:t>
            </w:r>
          </w:p>
        </w:tc>
        <w:tc>
          <w:tcPr>
            <w:tcW w:w="120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81 589</w:t>
            </w:r>
          </w:p>
        </w:tc>
        <w:tc>
          <w:tcPr>
            <w:tcW w:w="96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28 515</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184 667</w:t>
            </w:r>
          </w:p>
        </w:tc>
        <w:tc>
          <w:tcPr>
            <w:tcW w:w="68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 </w:t>
            </w:r>
          </w:p>
        </w:tc>
        <w:tc>
          <w:tcPr>
            <w:tcW w:w="1189"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294 771</w:t>
            </w:r>
          </w:p>
        </w:tc>
      </w:tr>
      <w:tr>
        <w:tblPrEx>
          <w:tblW w:w="10103" w:type="dxa"/>
          <w:tblCellMar>
            <w:left w:w="70" w:type="dxa"/>
            <w:right w:w="70" w:type="dxa"/>
          </w:tblCellMar>
          <w:tblLook w:val="04A0"/>
        </w:tblPrEx>
        <w:trPr>
          <w:trHeight w:val="311"/>
        </w:trPr>
        <w:tc>
          <w:tcPr>
            <w:tcW w:w="3337" w:type="dxa"/>
            <w:tcBorders>
              <w:top w:val="single" w:sz="4" w:space="0" w:color="auto"/>
              <w:left w:val="single" w:sz="4" w:space="0" w:color="auto"/>
              <w:bottom w:val="single" w:sz="4" w:space="0" w:color="auto"/>
              <w:right w:val="single" w:sz="4" w:space="0" w:color="auto"/>
            </w:tcBorders>
            <w:noWrap/>
            <w:textDirection w:val="lrTb"/>
            <w:vAlign w:val="center"/>
          </w:tcPr>
          <w:p w:rsidR="00C15711" w:rsidRPr="00C15711" w:rsidP="00C15711">
            <w:pPr>
              <w:bidi w:val="0"/>
              <w:spacing w:after="0" w:line="240" w:lineRule="auto"/>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Ústredná štátna správa</w:t>
            </w: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p>
        </w:tc>
        <w:tc>
          <w:tcPr>
            <w:tcW w:w="1208" w:type="dxa"/>
            <w:tcBorders>
              <w:top w:val="single" w:sz="4" w:space="0" w:color="auto"/>
              <w:left w:val="single" w:sz="4" w:space="0" w:color="auto"/>
              <w:bottom w:val="single" w:sz="4" w:space="0" w:color="auto"/>
              <w:right w:val="single" w:sz="4" w:space="0" w:color="auto"/>
            </w:tcBorders>
            <w:noWrap/>
            <w:textDirection w:val="lrTb"/>
            <w:vAlign w:val="center"/>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p>
        </w:tc>
        <w:tc>
          <w:tcPr>
            <w:tcW w:w="968" w:type="dxa"/>
            <w:tcBorders>
              <w:top w:val="single" w:sz="4" w:space="0" w:color="auto"/>
              <w:left w:val="single" w:sz="4" w:space="0" w:color="auto"/>
              <w:bottom w:val="single" w:sz="4" w:space="0" w:color="auto"/>
              <w:right w:val="single" w:sz="4" w:space="0" w:color="auto"/>
            </w:tcBorders>
            <w:noWrap/>
            <w:textDirection w:val="lrTb"/>
            <w:vAlign w:val="center"/>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9 316 280</w:t>
            </w:r>
          </w:p>
        </w:tc>
        <w:tc>
          <w:tcPr>
            <w:tcW w:w="687" w:type="dxa"/>
            <w:tcBorders>
              <w:top w:val="single" w:sz="4" w:space="0" w:color="auto"/>
              <w:left w:val="single" w:sz="4" w:space="0" w:color="auto"/>
              <w:bottom w:val="single" w:sz="4" w:space="0" w:color="auto"/>
              <w:right w:val="single" w:sz="4" w:space="0" w:color="auto"/>
            </w:tcBorders>
            <w:noWrap/>
            <w:textDirection w:val="lrTb"/>
            <w:vAlign w:val="center"/>
          </w:tcPr>
          <w:p w:rsidR="00C15711" w:rsidRPr="00C15711" w:rsidP="00C15711">
            <w:pPr>
              <w:bidi w:val="0"/>
              <w:spacing w:after="0" w:line="240" w:lineRule="auto"/>
              <w:rPr>
                <w:rFonts w:ascii="Times New Roman" w:hAnsi="Times New Roman" w:cs="Times New Roman"/>
                <w:bCs/>
                <w:color w:val="000000"/>
                <w:sz w:val="24"/>
                <w:szCs w:val="24"/>
                <w:lang w:eastAsia="sk-SK"/>
              </w:rPr>
            </w:pPr>
          </w:p>
        </w:tc>
        <w:tc>
          <w:tcPr>
            <w:tcW w:w="1189" w:type="dxa"/>
            <w:tcBorders>
              <w:top w:val="single" w:sz="4" w:space="0" w:color="auto"/>
              <w:left w:val="single" w:sz="4" w:space="0" w:color="auto"/>
              <w:bottom w:val="single" w:sz="4" w:space="0" w:color="auto"/>
              <w:right w:val="single" w:sz="4" w:space="0" w:color="auto"/>
            </w:tcBorders>
            <w:noWrap/>
            <w:textDirection w:val="lrTb"/>
            <w:vAlign w:val="center"/>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9 316 280</w:t>
            </w:r>
          </w:p>
        </w:tc>
      </w:tr>
      <w:tr>
        <w:tblPrEx>
          <w:tblW w:w="10103" w:type="dxa"/>
          <w:tblCellMar>
            <w:left w:w="70" w:type="dxa"/>
            <w:right w:w="70" w:type="dxa"/>
          </w:tblCellMar>
          <w:tblLook w:val="04A0"/>
        </w:tblPrEx>
        <w:trPr>
          <w:trHeight w:val="311"/>
        </w:trPr>
        <w:tc>
          <w:tcPr>
            <w:tcW w:w="333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SPOLU</w:t>
            </w:r>
          </w:p>
        </w:tc>
        <w:tc>
          <w:tcPr>
            <w:tcW w:w="1500"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0</w:t>
            </w:r>
          </w:p>
        </w:tc>
        <w:tc>
          <w:tcPr>
            <w:tcW w:w="120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773 075</w:t>
            </w:r>
          </w:p>
        </w:tc>
        <w:tc>
          <w:tcPr>
            <w:tcW w:w="968"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270 190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10 514 904</w:t>
            </w:r>
          </w:p>
        </w:tc>
        <w:tc>
          <w:tcPr>
            <w:tcW w:w="687"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 </w:t>
            </w:r>
          </w:p>
        </w:tc>
        <w:tc>
          <w:tcPr>
            <w:tcW w:w="1189" w:type="dxa"/>
            <w:tcBorders>
              <w:top w:val="single" w:sz="4" w:space="0" w:color="auto"/>
              <w:left w:val="single" w:sz="4" w:space="0" w:color="auto"/>
              <w:bottom w:val="single" w:sz="4" w:space="0" w:color="auto"/>
              <w:right w:val="single" w:sz="4" w:space="0" w:color="auto"/>
            </w:tcBorders>
            <w:noWrap/>
            <w:textDirection w:val="lrTb"/>
            <w:vAlign w:val="center"/>
            <w:hideMark/>
          </w:tcPr>
          <w:p w:rsidR="00C15711" w:rsidRPr="00C15711" w:rsidP="00C15711">
            <w:pPr>
              <w:bidi w:val="0"/>
              <w:spacing w:after="0" w:line="240" w:lineRule="auto"/>
              <w:jc w:val="right"/>
              <w:rPr>
                <w:rFonts w:ascii="Times New Roman" w:hAnsi="Times New Roman" w:cs="Times New Roman"/>
                <w:bCs/>
                <w:color w:val="000000"/>
                <w:sz w:val="24"/>
                <w:szCs w:val="24"/>
                <w:lang w:eastAsia="sk-SK"/>
              </w:rPr>
            </w:pPr>
            <w:r w:rsidRPr="00C15711">
              <w:rPr>
                <w:rFonts w:ascii="Times New Roman" w:hAnsi="Times New Roman" w:cs="Times New Roman"/>
                <w:bCs/>
                <w:color w:val="000000"/>
                <w:sz w:val="24"/>
                <w:szCs w:val="24"/>
                <w:lang w:eastAsia="sk-SK"/>
              </w:rPr>
              <w:t>11 558 169</w:t>
            </w:r>
          </w:p>
        </w:tc>
      </w:tr>
    </w:tbl>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rPr>
          <w:rFonts w:ascii="Times New Roman" w:hAnsi="Times New Roman" w:cs="Times New Roman"/>
          <w:sz w:val="24"/>
          <w:szCs w:val="24"/>
          <w:lang w:eastAsia="sk-SK"/>
        </w:rPr>
        <w:sectPr w:rsidSect="00C15711">
          <w:footerReference w:type="even" r:id="rId4"/>
          <w:footerReference w:type="default" r:id="rId5"/>
          <w:headerReference w:type="first" r:id="rId6"/>
          <w:footerReference w:type="first" r:id="rId7"/>
          <w:pgSz w:w="12240" w:h="15840"/>
          <w:pgMar w:top="1417" w:right="1417" w:bottom="1417" w:left="1417" w:header="708" w:footer="0" w:gutter="0"/>
          <w:lnNumType w:distance="0"/>
          <w:pgNumType w:start="38"/>
          <w:cols w:space="708"/>
          <w:noEndnote w:val="0"/>
          <w:bidi w:val="0"/>
          <w:rtlGutter/>
          <w:docGrid w:linePitch="326"/>
        </w:sect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Tabuľka č. 4/a</w:t>
      </w:r>
    </w:p>
    <w:tbl>
      <w:tblPr>
        <w:tblStyle w:val="TableNormal"/>
        <w:tblpPr w:leftFromText="141" w:rightFromText="141" w:vertAnchor="page" w:horzAnchor="margin" w:tblpY="6601"/>
        <w:tblW w:w="13950" w:type="dxa"/>
        <w:tblInd w:w="-70" w:type="dxa"/>
        <w:tblCellMar>
          <w:left w:w="0" w:type="dxa"/>
          <w:right w:w="0" w:type="dxa"/>
        </w:tblCellMar>
      </w:tblPr>
      <w:tblGrid>
        <w:gridCol w:w="4950"/>
        <w:gridCol w:w="1500"/>
        <w:gridCol w:w="1500"/>
        <w:gridCol w:w="1500"/>
        <w:gridCol w:w="1500"/>
        <w:gridCol w:w="3000"/>
      </w:tblGrid>
      <w:tr>
        <w:tblPrEx>
          <w:tblW w:w="13950" w:type="dxa"/>
          <w:tblInd w:w="-70" w:type="dxa"/>
          <w:tblCellMar>
            <w:left w:w="0" w:type="dxa"/>
            <w:right w:w="0" w:type="dxa"/>
          </w:tblCellMar>
        </w:tblPrEx>
        <w:tc>
          <w:tcPr>
            <w:tcW w:w="4950" w:type="dxa"/>
            <w:tcBorders>
              <w:top w:val="nil"/>
              <w:left w:val="nil"/>
              <w:bottom w:val="nil"/>
              <w:right w:val="nil"/>
            </w:tcBorders>
            <w:textDirection w:val="lrTb"/>
            <w:vAlign w:val="center"/>
          </w:tcPr>
          <w:p w:rsidR="00C15711" w:rsidRPr="00C15711" w:rsidP="00C15711">
            <w:pPr>
              <w:bidi w:val="0"/>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30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tabs>
          <w:tab w:val="num" w:pos="1080"/>
        </w:tabs>
        <w:bidi w:val="0"/>
        <w:spacing w:after="0" w:line="240" w:lineRule="auto"/>
        <w:jc w:val="both"/>
        <w:rPr>
          <w:rFonts w:ascii="Times New Roman" w:hAnsi="Times New Roman" w:cs="Times New Roman"/>
          <w:b/>
          <w:bCs/>
          <w:caps/>
          <w:sz w:val="24"/>
          <w:szCs w:val="20"/>
          <w:u w:val="single"/>
          <w:lang w:eastAsia="sk-SK"/>
        </w:rPr>
      </w:pPr>
      <w:r w:rsidRPr="00C15711">
        <w:rPr>
          <w:rFonts w:ascii="Times New Roman" w:hAnsi="Times New Roman" w:cs="Times New Roman"/>
          <w:b/>
          <w:bCs/>
          <w:sz w:val="24"/>
          <w:szCs w:val="20"/>
          <w:u w:val="single"/>
          <w:lang w:eastAsia="sk-SK"/>
        </w:rPr>
        <w:t>MINISTERSTVO PÔDOHOSPODÁRSTVA A </w:t>
      </w:r>
      <w:r w:rsidRPr="00C15711">
        <w:rPr>
          <w:rFonts w:ascii="Times New Roman" w:hAnsi="Times New Roman" w:cs="Times New Roman"/>
          <w:b/>
          <w:bCs/>
          <w:caps/>
          <w:sz w:val="24"/>
          <w:szCs w:val="20"/>
          <w:u w:val="single"/>
          <w:lang w:eastAsia="sk-SK"/>
        </w:rPr>
        <w:t>rozvoja vidieka SR</w:t>
      </w:r>
    </w:p>
    <w:p w:rsidR="00C15711" w:rsidRPr="00C15711" w:rsidP="00C15711">
      <w:pPr>
        <w:bidi w:val="0"/>
        <w:spacing w:after="0" w:line="240" w:lineRule="auto"/>
        <w:rPr>
          <w:rFonts w:ascii="Times New Roman" w:hAnsi="Times New Roman" w:cs="Times New Roman"/>
          <w:sz w:val="24"/>
          <w:szCs w:val="24"/>
          <w:lang w:eastAsia="sk-SK"/>
        </w:rPr>
      </w:pPr>
    </w:p>
    <w:tbl>
      <w:tblPr>
        <w:tblStyle w:val="TableNormal"/>
        <w:tblW w:w="13950" w:type="dxa"/>
        <w:tblCellMar>
          <w:left w:w="0" w:type="dxa"/>
          <w:right w:w="0" w:type="dxa"/>
        </w:tblCellMar>
      </w:tblPr>
      <w:tblGrid>
        <w:gridCol w:w="4650"/>
        <w:gridCol w:w="1413"/>
        <w:gridCol w:w="1735"/>
        <w:gridCol w:w="1856"/>
        <w:gridCol w:w="1898"/>
        <w:gridCol w:w="2398"/>
      </w:tblGrid>
      <w:tr>
        <w:tblPrEx>
          <w:tblW w:w="13950" w:type="dxa"/>
          <w:tblCellMar>
            <w:left w:w="0" w:type="dxa"/>
            <w:right w:w="0" w:type="dxa"/>
          </w:tblCellMar>
        </w:tblPrEx>
        <w:trPr>
          <w:trHeight w:val="255"/>
        </w:trPr>
        <w:tc>
          <w:tcPr>
            <w:tcW w:w="46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r w:rsidRPr="00C15711">
              <w:rPr>
                <w:rFonts w:ascii="Times New Roman" w:hAnsi="Times New Roman" w:cs="Times New Roman"/>
                <w:b/>
                <w:bCs/>
                <w:color w:val="FFFFFF"/>
                <w:sz w:val="24"/>
                <w:szCs w:val="24"/>
                <w:lang w:eastAsia="sk-SK"/>
              </w:rPr>
              <w:t>Príjmy (v eurách)</w:t>
            </w:r>
          </w:p>
        </w:tc>
        <w:tc>
          <w:tcPr>
            <w:tcW w:w="6902" w:type="dxa"/>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Vplyv na rozpočet verejnej správy</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73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85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8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2398" w:type="dxa"/>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3950" w:type="dxa"/>
          <w:tblCellMar>
            <w:left w:w="0" w:type="dxa"/>
            <w:right w:w="0" w:type="dxa"/>
          </w:tblCellMar>
        </w:tblPrEx>
        <w:trPr>
          <w:trHeight w:val="255"/>
        </w:trPr>
        <w:tc>
          <w:tcPr>
            <w:tcW w:w="46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Daňové príjmy (100)</w:t>
            </w:r>
            <w:r w:rsidRPr="00C15711">
              <w:rPr>
                <w:rFonts w:ascii="Times New Roman" w:hAnsi="Times New Roman" w:cs="Times New Roman"/>
                <w:b/>
                <w:bCs/>
                <w:sz w:val="16"/>
                <w:szCs w:val="16"/>
                <w:vertAlign w:val="superscript"/>
                <w:lang w:eastAsia="sk-SK"/>
              </w:rPr>
              <w:t>1</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73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8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89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239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94"/>
        </w:trPr>
        <w:tc>
          <w:tcPr>
            <w:tcW w:w="46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Nedaňové príjmy (200)</w:t>
            </w:r>
            <w:r w:rsidRPr="00C15711">
              <w:rPr>
                <w:rFonts w:ascii="Times New Roman" w:hAnsi="Times New Roman" w:cs="Times New Roman"/>
                <w:b/>
                <w:bCs/>
                <w:sz w:val="16"/>
                <w:szCs w:val="16"/>
                <w:vertAlign w:val="superscript"/>
                <w:lang w:eastAsia="sk-SK"/>
              </w:rPr>
              <w:t>1</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-575 613</w:t>
            </w:r>
          </w:p>
        </w:tc>
        <w:tc>
          <w:tcPr>
            <w:tcW w:w="173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ind w:left="355"/>
              <w:contextualSpacing/>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-2 670 653</w:t>
            </w:r>
          </w:p>
        </w:tc>
        <w:tc>
          <w:tcPr>
            <w:tcW w:w="18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ind w:left="309" w:right="213"/>
              <w:contextualSpacing/>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-2 670 653</w:t>
            </w:r>
          </w:p>
        </w:tc>
        <w:tc>
          <w:tcPr>
            <w:tcW w:w="189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ind w:left="309"/>
              <w:contextualSpacing/>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-2 670 653</w:t>
            </w:r>
          </w:p>
        </w:tc>
        <w:tc>
          <w:tcPr>
            <w:tcW w:w="239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3950" w:type="dxa"/>
          <w:tblCellMar>
            <w:left w:w="0" w:type="dxa"/>
            <w:right w:w="0" w:type="dxa"/>
          </w:tblCellMar>
        </w:tblPrEx>
        <w:trPr>
          <w:trHeight w:val="255"/>
        </w:trPr>
        <w:tc>
          <w:tcPr>
            <w:tcW w:w="46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Granty a transfery (300)</w:t>
            </w:r>
            <w:r w:rsidRPr="00C15711">
              <w:rPr>
                <w:rFonts w:ascii="Times New Roman" w:hAnsi="Times New Roman" w:cs="Times New Roman"/>
                <w:b/>
                <w:bCs/>
                <w:sz w:val="16"/>
                <w:szCs w:val="16"/>
                <w:vertAlign w:val="superscript"/>
                <w:lang w:eastAsia="sk-SK"/>
              </w:rPr>
              <w:t>1</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73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8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89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239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3950" w:type="dxa"/>
          <w:tblCellMar>
            <w:left w:w="0" w:type="dxa"/>
            <w:right w:w="0" w:type="dxa"/>
          </w:tblCellMar>
        </w:tblPrEx>
        <w:trPr>
          <w:trHeight w:val="255"/>
        </w:trPr>
        <w:tc>
          <w:tcPr>
            <w:tcW w:w="46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Príjmy z transakcií s finančnými aktívami a finančnými pasívami (400)</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735"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856"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898"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239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6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Prijaté úvery, pôžičky a návratné finančné výpomoci (500)</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735"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856"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898"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239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6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Dopad na príjmy verejnej správy celkom</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0</w:t>
            </w:r>
          </w:p>
        </w:tc>
        <w:tc>
          <w:tcPr>
            <w:tcW w:w="173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ind w:left="497"/>
              <w:contextualSpacing/>
              <w:jc w:val="center"/>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0</w:t>
            </w:r>
          </w:p>
        </w:tc>
        <w:tc>
          <w:tcPr>
            <w:tcW w:w="185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ind w:left="451" w:right="213"/>
              <w:contextualSpacing/>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18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ind w:left="309"/>
              <w:contextualSpacing/>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23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color w:val="FFFFFF"/>
                <w:sz w:val="24"/>
                <w:szCs w:val="24"/>
                <w:lang w:eastAsia="sk-SK"/>
              </w:rPr>
              <w:t> </w:t>
            </w:r>
          </w:p>
        </w:tc>
      </w:tr>
      <w:tr>
        <w:tblPrEx>
          <w:tblW w:w="13950" w:type="dxa"/>
          <w:tblCellMar>
            <w:left w:w="0" w:type="dxa"/>
            <w:right w:w="0" w:type="dxa"/>
          </w:tblCellMar>
        </w:tblPrEx>
        <w:tc>
          <w:tcPr>
            <w:tcW w:w="465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735"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856"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898"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2398"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1 –  príjmy rozpísať až do položiek platnej ekonomickej klasifikácie    </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Tabuľka č. 4/b</w:t>
      </w:r>
    </w:p>
    <w:p w:rsidR="00C15711" w:rsidRPr="00C15711" w:rsidP="00C15711">
      <w:pPr>
        <w:tabs>
          <w:tab w:val="num" w:pos="1080"/>
        </w:tabs>
        <w:bidi w:val="0"/>
        <w:spacing w:after="0" w:line="240" w:lineRule="auto"/>
        <w:jc w:val="both"/>
        <w:rPr>
          <w:rFonts w:ascii="Times New Roman" w:hAnsi="Times New Roman" w:cs="Times New Roman"/>
          <w:b/>
          <w:bCs/>
          <w:sz w:val="24"/>
          <w:szCs w:val="20"/>
          <w:u w:val="single"/>
          <w:lang w:eastAsia="sk-SK"/>
        </w:rPr>
      </w:pPr>
      <w:r w:rsidRPr="00C15711">
        <w:rPr>
          <w:rFonts w:ascii="Times New Roman" w:hAnsi="Times New Roman" w:cs="Times New Roman"/>
          <w:b/>
          <w:bCs/>
          <w:sz w:val="24"/>
          <w:szCs w:val="20"/>
          <w:u w:val="single"/>
          <w:lang w:eastAsia="sk-SK"/>
        </w:rPr>
        <w:t>MINISTERSTVO ŽIVOTNÉHO PROSTREDIA SR</w:t>
      </w:r>
    </w:p>
    <w:p w:rsidR="00C15711" w:rsidRPr="00C15711" w:rsidP="00C15711">
      <w:pPr>
        <w:bidi w:val="0"/>
        <w:spacing w:after="0" w:line="240" w:lineRule="auto"/>
        <w:rPr>
          <w:rFonts w:ascii="Times New Roman" w:hAnsi="Times New Roman" w:cs="Times New Roman"/>
          <w:sz w:val="24"/>
          <w:szCs w:val="24"/>
          <w:lang w:eastAsia="sk-SK"/>
        </w:rPr>
      </w:pP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r w:rsidRPr="00C15711">
              <w:rPr>
                <w:rFonts w:ascii="Times New Roman" w:hAnsi="Times New Roman" w:cs="Times New Roman"/>
                <w:b/>
                <w:bCs/>
                <w:color w:val="FFFFFF"/>
                <w:sz w:val="24"/>
                <w:szCs w:val="24"/>
                <w:lang w:eastAsia="sk-SK"/>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Daňové príjmy (100)</w:t>
            </w:r>
            <w:r w:rsidRPr="00C15711">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b/>
                <w:bCs/>
                <w:sz w:val="16"/>
                <w:szCs w:val="16"/>
                <w:vertAlign w:val="superscript"/>
                <w:lang w:eastAsia="sk-SK"/>
              </w:rPr>
            </w:pPr>
            <w:r w:rsidRPr="00C15711">
              <w:rPr>
                <w:rFonts w:ascii="Times New Roman" w:hAnsi="Times New Roman" w:cs="Times New Roman"/>
                <w:b/>
                <w:bCs/>
                <w:sz w:val="24"/>
                <w:szCs w:val="24"/>
                <w:lang w:eastAsia="sk-SK"/>
              </w:rPr>
              <w:t>Nedaňové príjmy (200)</w:t>
            </w:r>
            <w:r w:rsidRPr="00C15711">
              <w:rPr>
                <w:rFonts w:ascii="Times New Roman" w:hAnsi="Times New Roman" w:cs="Times New Roman"/>
                <w:b/>
                <w:bCs/>
                <w:sz w:val="16"/>
                <w:szCs w:val="16"/>
                <w:vertAlign w:val="superscript"/>
                <w:lang w:eastAsia="sk-SK"/>
              </w:rPr>
              <w:t>1</w:t>
            </w:r>
          </w:p>
          <w:p w:rsidR="00C15711" w:rsidRPr="00C15711" w:rsidP="00C15711">
            <w:pPr>
              <w:bidi w:val="0"/>
              <w:spacing w:after="0" w:line="240" w:lineRule="auto"/>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-16 250 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-65 000 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-65 000  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-65 000  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Granty a transfery (300)</w:t>
            </w:r>
            <w:r w:rsidRPr="00C15711">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ind w:left="497"/>
              <w:contextualSpacing/>
              <w:jc w:val="center"/>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ind w:left="451" w:right="213"/>
              <w:contextualSpacing/>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ind w:left="309"/>
              <w:contextualSpacing/>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color w:val="FFFFFF"/>
                <w:sz w:val="24"/>
                <w:szCs w:val="24"/>
                <w:lang w:eastAsia="sk-SK"/>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30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1 –  príjmy rozpísať až do položiek platnej ekonomickej klasifikácie    </w:t>
      </w: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Tabuľka č. 4/c</w:t>
      </w:r>
    </w:p>
    <w:p w:rsidR="00C15711" w:rsidRPr="00C15711" w:rsidP="00C15711">
      <w:pPr>
        <w:tabs>
          <w:tab w:val="num" w:pos="1080"/>
        </w:tabs>
        <w:bidi w:val="0"/>
        <w:spacing w:after="0" w:line="240" w:lineRule="auto"/>
        <w:jc w:val="both"/>
        <w:rPr>
          <w:rFonts w:ascii="Times New Roman" w:hAnsi="Times New Roman" w:cs="Times New Roman"/>
          <w:b/>
          <w:bCs/>
          <w:sz w:val="24"/>
          <w:szCs w:val="20"/>
          <w:u w:val="single"/>
          <w:lang w:eastAsia="sk-SK"/>
        </w:rPr>
      </w:pPr>
      <w:r w:rsidRPr="00C15711">
        <w:rPr>
          <w:rFonts w:ascii="Times New Roman" w:hAnsi="Times New Roman" w:cs="Times New Roman"/>
          <w:b/>
          <w:bCs/>
          <w:sz w:val="24"/>
          <w:szCs w:val="20"/>
          <w:u w:val="single"/>
          <w:lang w:eastAsia="sk-SK"/>
        </w:rPr>
        <w:t>ÚRAD GEODÉZIE, KARTOGRAFIE A KATASTRA SR</w:t>
      </w:r>
    </w:p>
    <w:p w:rsidR="00C15711" w:rsidRPr="00C15711" w:rsidP="00C15711">
      <w:pPr>
        <w:bidi w:val="0"/>
        <w:spacing w:after="0" w:line="240" w:lineRule="auto"/>
        <w:rPr>
          <w:rFonts w:ascii="Times New Roman" w:hAnsi="Times New Roman" w:cs="Times New Roman"/>
          <w:sz w:val="24"/>
          <w:szCs w:val="24"/>
          <w:lang w:eastAsia="sk-SK"/>
        </w:rPr>
      </w:pP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r w:rsidRPr="00C15711">
              <w:rPr>
                <w:rFonts w:ascii="Times New Roman" w:hAnsi="Times New Roman" w:cs="Times New Roman"/>
                <w:b/>
                <w:bCs/>
                <w:color w:val="FFFFFF"/>
                <w:sz w:val="24"/>
                <w:szCs w:val="24"/>
                <w:lang w:eastAsia="sk-SK"/>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Daňové príjmy (100)</w:t>
            </w:r>
            <w:r w:rsidRPr="00C15711">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b/>
                <w:bCs/>
                <w:sz w:val="16"/>
                <w:szCs w:val="16"/>
                <w:vertAlign w:val="superscript"/>
                <w:lang w:eastAsia="sk-SK"/>
              </w:rPr>
            </w:pPr>
            <w:r w:rsidRPr="00C15711">
              <w:rPr>
                <w:rFonts w:ascii="Times New Roman" w:hAnsi="Times New Roman" w:cs="Times New Roman"/>
                <w:b/>
                <w:bCs/>
                <w:sz w:val="24"/>
                <w:szCs w:val="24"/>
                <w:lang w:eastAsia="sk-SK"/>
              </w:rPr>
              <w:t>Nedaňové príjmy (200)</w:t>
            </w:r>
            <w:r w:rsidRPr="00C15711">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-63 750 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-255 000 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-255 000 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-255 000 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Granty a transfery (300)</w:t>
            </w:r>
            <w:r w:rsidRPr="00C15711">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ind w:left="497"/>
              <w:contextualSpacing/>
              <w:jc w:val="center"/>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ind w:left="451" w:right="213"/>
              <w:contextualSpacing/>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ind w:left="309"/>
              <w:contextualSpacing/>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0</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color w:val="FFFFFF"/>
                <w:sz w:val="24"/>
                <w:szCs w:val="24"/>
                <w:lang w:eastAsia="sk-SK"/>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30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1 –  príjmy rozpísať až do položiek platnej ekonomickej klasifikácie    </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Tabuľka č. 4/d</w:t>
      </w:r>
    </w:p>
    <w:p w:rsidR="00C15711" w:rsidRPr="00C15711" w:rsidP="00C15711">
      <w:pPr>
        <w:tabs>
          <w:tab w:val="num" w:pos="1080"/>
        </w:tabs>
        <w:bidi w:val="0"/>
        <w:spacing w:after="0" w:line="240" w:lineRule="auto"/>
        <w:jc w:val="both"/>
        <w:rPr>
          <w:rFonts w:ascii="Times New Roman" w:hAnsi="Times New Roman" w:cs="Times New Roman"/>
          <w:b/>
          <w:bCs/>
          <w:caps/>
          <w:sz w:val="24"/>
          <w:szCs w:val="20"/>
          <w:u w:val="single"/>
          <w:lang w:eastAsia="sk-SK"/>
        </w:rPr>
      </w:pPr>
      <w:r w:rsidRPr="00C15711">
        <w:rPr>
          <w:rFonts w:ascii="Times New Roman" w:hAnsi="Times New Roman" w:cs="Times New Roman"/>
          <w:b/>
          <w:bCs/>
          <w:caps/>
          <w:sz w:val="24"/>
          <w:szCs w:val="20"/>
          <w:u w:val="single"/>
          <w:lang w:eastAsia="sk-SK"/>
        </w:rPr>
        <w:t>ministerstvo dopravy, výstavby a regionálneho rozvoja SR</w:t>
      </w:r>
    </w:p>
    <w:p w:rsidR="00C15711" w:rsidRPr="00C15711" w:rsidP="00C15711">
      <w:pPr>
        <w:bidi w:val="0"/>
        <w:spacing w:after="0" w:line="240" w:lineRule="auto"/>
        <w:rPr>
          <w:rFonts w:ascii="Times New Roman" w:hAnsi="Times New Roman" w:cs="Times New Roman"/>
          <w:caps/>
          <w:sz w:val="24"/>
          <w:szCs w:val="24"/>
          <w:lang w:eastAsia="sk-SK"/>
        </w:rPr>
      </w:pP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r w:rsidRPr="00C15711">
              <w:rPr>
                <w:rFonts w:ascii="Times New Roman" w:hAnsi="Times New Roman" w:cs="Times New Roman"/>
                <w:b/>
                <w:bCs/>
                <w:color w:val="FFFFFF"/>
                <w:sz w:val="24"/>
                <w:szCs w:val="24"/>
                <w:lang w:eastAsia="sk-SK"/>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Daňové príjmy (100)</w:t>
            </w:r>
            <w:r w:rsidRPr="00C15711">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b/>
                <w:bCs/>
                <w:sz w:val="16"/>
                <w:szCs w:val="16"/>
                <w:vertAlign w:val="superscript"/>
                <w:lang w:eastAsia="sk-SK"/>
              </w:rPr>
            </w:pPr>
            <w:r w:rsidRPr="00C15711">
              <w:rPr>
                <w:rFonts w:ascii="Times New Roman" w:hAnsi="Times New Roman" w:cs="Times New Roman"/>
                <w:b/>
                <w:bCs/>
                <w:sz w:val="24"/>
                <w:szCs w:val="24"/>
                <w:lang w:eastAsia="sk-SK"/>
              </w:rPr>
              <w:t>Nedaňové príjmy (200)</w:t>
            </w:r>
            <w:r w:rsidRPr="00C15711">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bCs/>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bCs/>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bCs/>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bCs/>
                <w:sz w:val="24"/>
                <w:szCs w:val="24"/>
                <w:lang w:eastAsia="sk-SK"/>
              </w:rPr>
            </w:pP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Granty a transfery (300)</w:t>
            </w:r>
            <w:r w:rsidRPr="00C15711">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0</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b/>
                <w:sz w:val="24"/>
                <w:szCs w:val="24"/>
                <w:lang w:eastAsia="sk-SK"/>
              </w:rPr>
            </w:pPr>
            <w:r w:rsidRPr="00C15711">
              <w:rPr>
                <w:rFonts w:ascii="Times New Roman" w:hAnsi="Times New Roman" w:cs="Times New Roman"/>
                <w:b/>
                <w:color w:val="FFFFFF"/>
                <w:sz w:val="24"/>
                <w:szCs w:val="24"/>
                <w:lang w:eastAsia="sk-SK"/>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30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1 –  príjmy rozpísať až do položiek platnej ekonomickej klasifikácie    </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Tabuľka č. 4/e</w:t>
      </w:r>
    </w:p>
    <w:p w:rsidR="00C15711" w:rsidRPr="00C15711" w:rsidP="00C15711">
      <w:pPr>
        <w:tabs>
          <w:tab w:val="num" w:pos="1080"/>
        </w:tabs>
        <w:bidi w:val="0"/>
        <w:spacing w:after="0" w:line="240" w:lineRule="auto"/>
        <w:jc w:val="both"/>
        <w:rPr>
          <w:rFonts w:ascii="Times New Roman" w:hAnsi="Times New Roman" w:cs="Times New Roman"/>
          <w:b/>
          <w:bCs/>
          <w:sz w:val="24"/>
          <w:szCs w:val="20"/>
          <w:u w:val="single"/>
          <w:lang w:eastAsia="sk-SK"/>
        </w:rPr>
      </w:pPr>
      <w:r w:rsidRPr="00C15711">
        <w:rPr>
          <w:rFonts w:ascii="Times New Roman" w:hAnsi="Times New Roman" w:cs="Times New Roman"/>
          <w:b/>
          <w:bCs/>
          <w:sz w:val="24"/>
          <w:szCs w:val="20"/>
          <w:u w:val="single"/>
          <w:lang w:eastAsia="sk-SK"/>
        </w:rPr>
        <w:t>MINISTERSTVO VNÚTRA SR</w:t>
      </w:r>
    </w:p>
    <w:p w:rsidR="00C15711" w:rsidRPr="00C15711" w:rsidP="00C15711">
      <w:pPr>
        <w:bidi w:val="0"/>
        <w:spacing w:after="0" w:line="240" w:lineRule="auto"/>
        <w:rPr>
          <w:rFonts w:ascii="Times New Roman" w:hAnsi="Times New Roman" w:cs="Times New Roman"/>
          <w:sz w:val="24"/>
          <w:szCs w:val="24"/>
          <w:lang w:eastAsia="sk-SK"/>
        </w:rPr>
      </w:pP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r w:rsidRPr="00C15711">
              <w:rPr>
                <w:rFonts w:ascii="Times New Roman" w:hAnsi="Times New Roman" w:cs="Times New Roman"/>
                <w:b/>
                <w:bCs/>
                <w:color w:val="FFFFFF"/>
                <w:sz w:val="24"/>
                <w:szCs w:val="24"/>
                <w:lang w:eastAsia="sk-SK"/>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Daňové príjmy (100)</w:t>
            </w:r>
            <w:r w:rsidRPr="00C15711">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b/>
                <w:bCs/>
                <w:sz w:val="16"/>
                <w:szCs w:val="16"/>
                <w:vertAlign w:val="superscript"/>
                <w:lang w:eastAsia="sk-SK"/>
              </w:rPr>
            </w:pPr>
            <w:r w:rsidRPr="00C15711">
              <w:rPr>
                <w:rFonts w:ascii="Times New Roman" w:hAnsi="Times New Roman" w:cs="Times New Roman"/>
                <w:b/>
                <w:bCs/>
                <w:sz w:val="24"/>
                <w:szCs w:val="24"/>
                <w:lang w:eastAsia="sk-SK"/>
              </w:rPr>
              <w:t>Nedaňové príjmy (200)</w:t>
            </w:r>
            <w:r w:rsidRPr="00C15711">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655 613</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2 990 653</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2 990 653</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2 990 653</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Granty a transfery (300)</w:t>
            </w:r>
            <w:r w:rsidRPr="00C15711">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0</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color w:val="FFFFFF"/>
                <w:sz w:val="24"/>
                <w:szCs w:val="24"/>
                <w:lang w:eastAsia="sk-SK"/>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300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1 –  príjmy rozpísať až do položiek platnej ekonomickej klasifikácie    </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w:t>
      </w:r>
      <w:r w:rsidRPr="00C15711">
        <w:rPr>
          <w:rFonts w:ascii="Times New Roman" w:hAnsi="Times New Roman" w:cs="Times New Roman"/>
          <w:sz w:val="24"/>
          <w:szCs w:val="24"/>
          <w:lang w:eastAsia="sk-SK"/>
        </w:rPr>
        <w:t>Tabuľka č. 5/a</w:t>
      </w:r>
    </w:p>
    <w:p w:rsidR="00C15711" w:rsidRPr="00C15711" w:rsidP="00C15711">
      <w:pPr>
        <w:tabs>
          <w:tab w:val="num" w:pos="1080"/>
        </w:tabs>
        <w:bidi w:val="0"/>
        <w:spacing w:after="0" w:line="240" w:lineRule="auto"/>
        <w:jc w:val="both"/>
        <w:rPr>
          <w:rFonts w:ascii="Times New Roman" w:hAnsi="Times New Roman" w:cs="Times New Roman"/>
          <w:b/>
          <w:bCs/>
          <w:sz w:val="24"/>
          <w:szCs w:val="20"/>
          <w:u w:val="single"/>
          <w:lang w:eastAsia="sk-SK"/>
        </w:rPr>
      </w:pPr>
      <w:r w:rsidRPr="00C15711">
        <w:rPr>
          <w:rFonts w:ascii="Times New Roman" w:hAnsi="Times New Roman" w:cs="Times New Roman"/>
          <w:b/>
          <w:bCs/>
          <w:sz w:val="24"/>
          <w:szCs w:val="20"/>
          <w:u w:val="single"/>
          <w:lang w:eastAsia="sk-SK"/>
        </w:rPr>
        <w:t>MINISTERSTVO PÔDOHOSPODÁRSTVA A </w:t>
      </w:r>
      <w:r w:rsidRPr="00C15711">
        <w:rPr>
          <w:rFonts w:ascii="Times New Roman" w:hAnsi="Times New Roman" w:cs="Times New Roman"/>
          <w:b/>
          <w:bCs/>
          <w:caps/>
          <w:sz w:val="24"/>
          <w:szCs w:val="20"/>
          <w:u w:val="single"/>
          <w:lang w:eastAsia="sk-SK"/>
        </w:rPr>
        <w:t>rozvoja vidieka SR</w:t>
      </w:r>
    </w:p>
    <w:p w:rsidR="00C15711" w:rsidRPr="00C15711" w:rsidP="00C15711">
      <w:pPr>
        <w:bidi w:val="0"/>
        <w:spacing w:after="0" w:line="240" w:lineRule="auto"/>
        <w:jc w:val="both"/>
        <w:rPr>
          <w:rFonts w:ascii="Times New Roman" w:hAnsi="Times New Roman" w:cs="Times New Roman"/>
          <w:sz w:val="24"/>
          <w:szCs w:val="24"/>
          <w:lang w:eastAsia="sk-SK"/>
        </w:rPr>
      </w:pPr>
    </w:p>
    <w:tbl>
      <w:tblPr>
        <w:tblStyle w:val="TableNormal"/>
        <w:tblW w:w="14177" w:type="dxa"/>
        <w:tblInd w:w="-616" w:type="dxa"/>
        <w:tblCellMar>
          <w:left w:w="0" w:type="dxa"/>
          <w:right w:w="0" w:type="dxa"/>
        </w:tblCellMar>
      </w:tblPr>
      <w:tblGrid>
        <w:gridCol w:w="6489"/>
        <w:gridCol w:w="1413"/>
        <w:gridCol w:w="1413"/>
        <w:gridCol w:w="1413"/>
        <w:gridCol w:w="1413"/>
        <w:gridCol w:w="2036"/>
      </w:tblGrid>
      <w:tr>
        <w:tblPrEx>
          <w:tblW w:w="14177" w:type="dxa"/>
          <w:tblInd w:w="-616" w:type="dxa"/>
          <w:tblCellMar>
            <w:left w:w="0" w:type="dxa"/>
            <w:right w:w="0" w:type="dxa"/>
          </w:tblCellMar>
        </w:tblPrEx>
        <w:trPr>
          <w:trHeight w:val="259"/>
        </w:trPr>
        <w:tc>
          <w:tcPr>
            <w:tcW w:w="648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Vplyv na rozpočet verejnej správy</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4177" w:type="dxa"/>
          <w:tblInd w:w="-616" w:type="dxa"/>
          <w:tblCellMar>
            <w:left w:w="0" w:type="dxa"/>
            <w:right w:w="0" w:type="dxa"/>
          </w:tblCellMar>
        </w:tblPrEx>
        <w:trPr>
          <w:trHeight w:val="20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Bežné výdavky (600)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-2 494 798 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-9 869 617 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-9 869 617 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-9 869 617</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Mzdy, platy, služobné príjmy a ostatné osobné vyrovnania (610)</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MPaRV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-1 458 348 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1 458 348 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-5 833 393 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5 833 393 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-5 833 393 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5 833 393 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-5 833 393 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5 833 393 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Poistné a príspevok do poisťovní (620)</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MPaRV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-509 693 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509 693 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- 2 038 772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2 038 772 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- 2 038 772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2 038 772 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- 2 038 772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2 038 772 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13"/>
                <w:szCs w:val="13"/>
                <w:vertAlign w:val="superscript"/>
                <w:lang w:eastAsia="sk-SK"/>
              </w:rPr>
            </w:pPr>
            <w:r w:rsidRPr="00C15711">
              <w:rPr>
                <w:rFonts w:ascii="Times New Roman" w:hAnsi="Times New Roman" w:cs="Times New Roman"/>
                <w:sz w:val="20"/>
                <w:szCs w:val="20"/>
                <w:lang w:eastAsia="sk-SK"/>
              </w:rPr>
              <w:t>  Tovary a služby (630)</w:t>
            </w:r>
            <w:r w:rsidRPr="00C15711">
              <w:rPr>
                <w:rFonts w:ascii="Times New Roman" w:hAnsi="Times New Roman" w:cs="Times New Roman"/>
                <w:sz w:val="13"/>
                <w:szCs w:val="13"/>
                <w:vertAlign w:val="superscript"/>
                <w:lang w:eastAsia="sk-SK"/>
              </w:rPr>
              <w:t>2</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MPaRV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-519 081</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519 081</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-1 966 750</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1 966 750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-1 966 750</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1 966 750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-1 966 750</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1 966 750</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13"/>
                <w:szCs w:val="13"/>
                <w:vertAlign w:val="superscript"/>
                <w:lang w:eastAsia="sk-SK"/>
              </w:rPr>
            </w:pPr>
            <w:r w:rsidRPr="00C15711">
              <w:rPr>
                <w:rFonts w:ascii="Times New Roman" w:hAnsi="Times New Roman" w:cs="Times New Roman"/>
                <w:sz w:val="20"/>
                <w:szCs w:val="20"/>
                <w:lang w:eastAsia="sk-SK"/>
              </w:rPr>
              <w:t>  Bežné transfery (640)</w:t>
            </w:r>
            <w:r w:rsidRPr="00C15711">
              <w:rPr>
                <w:rFonts w:ascii="Times New Roman" w:hAnsi="Times New Roman" w:cs="Times New Roman"/>
                <w:sz w:val="13"/>
                <w:szCs w:val="13"/>
                <w:vertAlign w:val="superscript"/>
                <w:lang w:eastAsia="sk-SK"/>
              </w:rPr>
              <w:t>2</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MPaRV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-7 676</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7 676</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-30 702 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30 702 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-30 702 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30 702 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-30 702 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30 702 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Splácanie úrokov a ostatné platby súvisiace s úvermi, pôžičkami a NFV (650)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Kapitálové výdavky (700)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Obstarávanie kapitálových aktív (710)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Kapitálové transfery (720)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Výdavky z transakcií s finančnými aktívami a finančnými pasívami (800)</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Dopad na výdavky verejnej správy celkom</w:t>
            </w: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color w:val="FFFFFF"/>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z toho výdavky na ŠR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Bežné výdavky</w:t>
            </w:r>
            <w:r w:rsidRPr="00C15711">
              <w:rPr>
                <w:rFonts w:ascii="Times New Roman" w:hAnsi="Times New Roman" w:cs="Times New Roman"/>
                <w:b/>
                <w:bCs/>
                <w:sz w:val="20"/>
                <w:szCs w:val="20"/>
                <w:lang w:eastAsia="sk-SK"/>
              </w:rPr>
              <w:t xml:space="preserve"> </w:t>
            </w:r>
            <w:r w:rsidRPr="00C15711">
              <w:rPr>
                <w:rFonts w:ascii="Times New Roman" w:hAnsi="Times New Roman" w:cs="Times New Roman"/>
                <w:sz w:val="20"/>
                <w:szCs w:val="20"/>
                <w:lang w:eastAsia="sk-SK"/>
              </w:rPr>
              <w:t>(600)</w:t>
            </w:r>
            <w:r w:rsidRPr="00C15711">
              <w:rPr>
                <w:rFonts w:ascii="Times New Roman" w:hAnsi="Times New Roman" w:cs="Times New Roman"/>
                <w:b/>
                <w:bCs/>
                <w:sz w:val="20"/>
                <w:szCs w:val="20"/>
                <w:lang w:eastAsia="sk-SK"/>
              </w:rPr>
              <w:t xml:space="preserve">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w:t>
            </w:r>
            <w:r w:rsidRPr="00C15711">
              <w:rPr>
                <w:rFonts w:ascii="Times New Roman" w:hAnsi="Times New Roman" w:cs="Times New Roman"/>
                <w:sz w:val="20"/>
                <w:szCs w:val="20"/>
                <w:lang w:eastAsia="sk-SK"/>
              </w:rPr>
              <w:t>Mzdy, platy, služobné príjmy a ostatné osobné vyrovnania (610)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Kapitálové výdavky (700)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Výdavky z transakcií s finančnými aktívami a finančnými pasívami (800)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15"/>
        </w:trPr>
        <w:tc>
          <w:tcPr>
            <w:tcW w:w="6489"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2036"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sz w:val="20"/>
          <w:szCs w:val="20"/>
          <w:lang w:eastAsia="sk-SK"/>
        </w:rPr>
        <w:t>2 –  výdavky rozpísať až do položiek platnej ekonomickej klasifikácie</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w:t>
      </w:r>
      <w:r w:rsidRPr="00C15711">
        <w:rPr>
          <w:rFonts w:ascii="Times New Roman" w:hAnsi="Times New Roman" w:cs="Times New Roman"/>
          <w:sz w:val="24"/>
          <w:szCs w:val="24"/>
          <w:lang w:eastAsia="sk-SK"/>
        </w:rPr>
        <w:t>Tabuľka č. 5/b</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tabs>
          <w:tab w:val="num" w:pos="1080"/>
        </w:tabs>
        <w:bidi w:val="0"/>
        <w:spacing w:after="0" w:line="240" w:lineRule="auto"/>
        <w:jc w:val="both"/>
        <w:rPr>
          <w:rFonts w:ascii="Times New Roman" w:hAnsi="Times New Roman" w:cs="Times New Roman"/>
          <w:b/>
          <w:bCs/>
          <w:sz w:val="24"/>
          <w:szCs w:val="20"/>
          <w:u w:val="single"/>
          <w:lang w:eastAsia="sk-SK"/>
        </w:rPr>
      </w:pPr>
      <w:r w:rsidRPr="00C15711">
        <w:rPr>
          <w:rFonts w:ascii="Times New Roman" w:hAnsi="Times New Roman" w:cs="Times New Roman"/>
          <w:b/>
          <w:bCs/>
          <w:sz w:val="24"/>
          <w:szCs w:val="20"/>
          <w:u w:val="single"/>
          <w:lang w:eastAsia="sk-SK"/>
        </w:rPr>
        <w:t>MINISTERSTVO ŽIVOTNÉHO PROSTREDIA SR</w:t>
      </w:r>
    </w:p>
    <w:p w:rsidR="00C15711" w:rsidRPr="00C15711" w:rsidP="00C15711">
      <w:pPr>
        <w:bidi w:val="0"/>
        <w:spacing w:after="0" w:line="240" w:lineRule="auto"/>
        <w:jc w:val="both"/>
        <w:rPr>
          <w:rFonts w:ascii="Times New Roman" w:hAnsi="Times New Roman" w:cs="Times New Roman"/>
          <w:sz w:val="24"/>
          <w:szCs w:val="24"/>
          <w:lang w:eastAsia="sk-SK"/>
        </w:rPr>
      </w:pPr>
    </w:p>
    <w:tbl>
      <w:tblPr>
        <w:tblStyle w:val="TableNormal"/>
        <w:tblW w:w="14177" w:type="dxa"/>
        <w:tblInd w:w="-616" w:type="dxa"/>
        <w:tblCellMar>
          <w:left w:w="0" w:type="dxa"/>
          <w:right w:w="0" w:type="dxa"/>
        </w:tblCellMar>
      </w:tblPr>
      <w:tblGrid>
        <w:gridCol w:w="6489"/>
        <w:gridCol w:w="1413"/>
        <w:gridCol w:w="1413"/>
        <w:gridCol w:w="1413"/>
        <w:gridCol w:w="1413"/>
        <w:gridCol w:w="2036"/>
      </w:tblGrid>
      <w:tr>
        <w:tblPrEx>
          <w:tblW w:w="14177" w:type="dxa"/>
          <w:tblInd w:w="-616" w:type="dxa"/>
          <w:tblCellMar>
            <w:left w:w="0" w:type="dxa"/>
            <w:right w:w="0" w:type="dxa"/>
          </w:tblCellMar>
        </w:tblPrEx>
        <w:trPr>
          <w:trHeight w:val="259"/>
        </w:trPr>
        <w:tc>
          <w:tcPr>
            <w:tcW w:w="648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Vplyv na rozpočet verejnej správy</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4177" w:type="dxa"/>
          <w:tblInd w:w="-616" w:type="dxa"/>
          <w:tblCellMar>
            <w:left w:w="0" w:type="dxa"/>
            <w:right w:w="0" w:type="dxa"/>
          </w:tblCellMar>
        </w:tblPrEx>
        <w:trPr>
          <w:trHeight w:val="20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Bežné výdavky (600)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-2 989 755</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-11 959 017 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-11 959 017 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-11 959 017 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Mzdy, platy, služobné príjmy a ostatné osobné vyrovnania (610)</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MŽP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-1 753 355</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1 753 355</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-7 013 421</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7 013 421</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-7 013 421</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7 013 421</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-7 013 421</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7 013 421</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Poistné a príspevok do poisťovní (620)</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MŽP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-630 309</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630 309</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-2 451 191</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2 451 191</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-2 451 191</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2 451 191</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-2 451 191</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2 451 191</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13"/>
                <w:szCs w:val="13"/>
                <w:vertAlign w:val="superscript"/>
                <w:lang w:eastAsia="sk-SK"/>
              </w:rPr>
            </w:pPr>
            <w:r w:rsidRPr="00C15711">
              <w:rPr>
                <w:rFonts w:ascii="Times New Roman" w:hAnsi="Times New Roman" w:cs="Times New Roman"/>
                <w:sz w:val="20"/>
                <w:szCs w:val="20"/>
                <w:lang w:eastAsia="sk-SK"/>
              </w:rPr>
              <w:t>  Tovary a služby (630)</w:t>
            </w:r>
            <w:r w:rsidRPr="00C15711">
              <w:rPr>
                <w:rFonts w:ascii="Times New Roman" w:hAnsi="Times New Roman" w:cs="Times New Roman"/>
                <w:sz w:val="13"/>
                <w:szCs w:val="13"/>
                <w:vertAlign w:val="superscript"/>
                <w:lang w:eastAsia="sk-SK"/>
              </w:rPr>
              <w:t>2</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MŽP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-588 932</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588 932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-2 471 943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2 471 943</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-2 471 943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2 471 943</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-2 471 943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2 471 943</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13"/>
                <w:szCs w:val="13"/>
                <w:vertAlign w:val="superscript"/>
                <w:lang w:eastAsia="sk-SK"/>
              </w:rPr>
            </w:pPr>
            <w:r w:rsidRPr="00C15711">
              <w:rPr>
                <w:rFonts w:ascii="Times New Roman" w:hAnsi="Times New Roman" w:cs="Times New Roman"/>
                <w:sz w:val="20"/>
                <w:szCs w:val="20"/>
                <w:lang w:eastAsia="sk-SK"/>
              </w:rPr>
              <w:t>  Bežné transfery (640)</w:t>
            </w:r>
            <w:r w:rsidRPr="00C15711">
              <w:rPr>
                <w:rFonts w:ascii="Times New Roman" w:hAnsi="Times New Roman" w:cs="Times New Roman"/>
                <w:sz w:val="13"/>
                <w:szCs w:val="13"/>
                <w:vertAlign w:val="superscript"/>
                <w:lang w:eastAsia="sk-SK"/>
              </w:rPr>
              <w:t>2</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MŽP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-17 159</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17 159</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-22 462 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22 462 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-22 462 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22 462 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-22 462 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22 462 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Splácanie úrokov a ostatné platby súvisiace s úvermi, pôžičkami a NFV (650)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Kapitálové výdavky (700)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Obstarávanie kapitálových aktív (710)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Kapitálové transfery (720)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Výdavky z transakcií s finančnými aktívami a finančnými pasívami (800)</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Dopad na výdavky verejnej správy celkom</w:t>
            </w: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color w:val="FFFFFF"/>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z toho výdavky na ŠR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Bežné výdavky</w:t>
            </w:r>
            <w:r w:rsidRPr="00C15711">
              <w:rPr>
                <w:rFonts w:ascii="Times New Roman" w:hAnsi="Times New Roman" w:cs="Times New Roman"/>
                <w:b/>
                <w:bCs/>
                <w:sz w:val="20"/>
                <w:szCs w:val="20"/>
                <w:lang w:eastAsia="sk-SK"/>
              </w:rPr>
              <w:t xml:space="preserve"> </w:t>
            </w:r>
            <w:r w:rsidRPr="00C15711">
              <w:rPr>
                <w:rFonts w:ascii="Times New Roman" w:hAnsi="Times New Roman" w:cs="Times New Roman"/>
                <w:sz w:val="20"/>
                <w:szCs w:val="20"/>
                <w:lang w:eastAsia="sk-SK"/>
              </w:rPr>
              <w:t>(600)</w:t>
            </w:r>
            <w:r w:rsidRPr="00C15711">
              <w:rPr>
                <w:rFonts w:ascii="Times New Roman" w:hAnsi="Times New Roman" w:cs="Times New Roman"/>
                <w:b/>
                <w:bCs/>
                <w:sz w:val="20"/>
                <w:szCs w:val="20"/>
                <w:lang w:eastAsia="sk-SK"/>
              </w:rPr>
              <w:t xml:space="preserve">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w:t>
            </w:r>
            <w:r w:rsidRPr="00C15711">
              <w:rPr>
                <w:rFonts w:ascii="Times New Roman" w:hAnsi="Times New Roman" w:cs="Times New Roman"/>
                <w:sz w:val="20"/>
                <w:szCs w:val="20"/>
                <w:lang w:eastAsia="sk-SK"/>
              </w:rPr>
              <w:t>Mzdy, platy, služobné príjmy a ostatné osobné vyrovnania (610)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Kapitálové výdavky (700)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Výdavky z transakcií s finančnými aktívami a finančnými pasívami (800)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15"/>
        </w:trPr>
        <w:tc>
          <w:tcPr>
            <w:tcW w:w="6489"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2036"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sz w:val="20"/>
          <w:szCs w:val="20"/>
          <w:lang w:eastAsia="sk-SK"/>
        </w:rPr>
        <w:t>2 –  výdavky rozpísať až do položiek platnej ekonomickej klasifikácie</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w:t>
      </w:r>
      <w:r w:rsidRPr="00C15711">
        <w:rPr>
          <w:rFonts w:ascii="Times New Roman" w:hAnsi="Times New Roman" w:cs="Times New Roman"/>
          <w:sz w:val="24"/>
          <w:szCs w:val="24"/>
          <w:lang w:eastAsia="sk-SK"/>
        </w:rPr>
        <w:t>Tabuľka č. 5/c</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tabs>
          <w:tab w:val="num" w:pos="1080"/>
        </w:tabs>
        <w:bidi w:val="0"/>
        <w:spacing w:after="0" w:line="240" w:lineRule="auto"/>
        <w:jc w:val="both"/>
        <w:rPr>
          <w:rFonts w:ascii="Times New Roman" w:hAnsi="Times New Roman" w:cs="Times New Roman"/>
          <w:b/>
          <w:bCs/>
          <w:sz w:val="24"/>
          <w:szCs w:val="20"/>
          <w:u w:val="single"/>
          <w:lang w:eastAsia="sk-SK"/>
        </w:rPr>
      </w:pPr>
      <w:r w:rsidRPr="00C15711">
        <w:rPr>
          <w:rFonts w:ascii="Times New Roman" w:hAnsi="Times New Roman" w:cs="Times New Roman"/>
          <w:b/>
          <w:bCs/>
          <w:sz w:val="24"/>
          <w:szCs w:val="20"/>
          <w:u w:val="single"/>
          <w:lang w:eastAsia="sk-SK"/>
        </w:rPr>
        <w:t>ÚRAD GEODÉZIE, KARTOGRAFIE A KATASTRA SR</w:t>
      </w:r>
    </w:p>
    <w:p w:rsidR="00C15711" w:rsidRPr="00C15711" w:rsidP="00C15711">
      <w:pPr>
        <w:bidi w:val="0"/>
        <w:spacing w:after="0" w:line="240" w:lineRule="auto"/>
        <w:jc w:val="both"/>
        <w:rPr>
          <w:rFonts w:ascii="Times New Roman" w:hAnsi="Times New Roman" w:cs="Times New Roman"/>
          <w:sz w:val="24"/>
          <w:szCs w:val="24"/>
          <w:lang w:eastAsia="sk-SK"/>
        </w:rPr>
      </w:pPr>
    </w:p>
    <w:tbl>
      <w:tblPr>
        <w:tblStyle w:val="TableNormal"/>
        <w:tblW w:w="14177" w:type="dxa"/>
        <w:tblInd w:w="-616" w:type="dxa"/>
        <w:tblCellMar>
          <w:left w:w="0" w:type="dxa"/>
          <w:right w:w="0" w:type="dxa"/>
        </w:tblCellMar>
      </w:tblPr>
      <w:tblGrid>
        <w:gridCol w:w="6489"/>
        <w:gridCol w:w="1413"/>
        <w:gridCol w:w="1413"/>
        <w:gridCol w:w="1413"/>
        <w:gridCol w:w="1413"/>
        <w:gridCol w:w="2036"/>
      </w:tblGrid>
      <w:tr>
        <w:tblPrEx>
          <w:tblW w:w="14177" w:type="dxa"/>
          <w:tblInd w:w="-616" w:type="dxa"/>
          <w:tblCellMar>
            <w:left w:w="0" w:type="dxa"/>
            <w:right w:w="0" w:type="dxa"/>
          </w:tblCellMar>
        </w:tblPrEx>
        <w:trPr>
          <w:trHeight w:val="259"/>
        </w:trPr>
        <w:tc>
          <w:tcPr>
            <w:tcW w:w="648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Vplyv na rozpočet verejnej správy</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4177" w:type="dxa"/>
          <w:tblInd w:w="-616" w:type="dxa"/>
          <w:tblCellMar>
            <w:left w:w="0" w:type="dxa"/>
            <w:right w:w="0" w:type="dxa"/>
          </w:tblCellMar>
        </w:tblPrEx>
        <w:trPr>
          <w:trHeight w:val="20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b/>
                <w:bCs/>
                <w:sz w:val="20"/>
                <w:szCs w:val="20"/>
                <w:lang w:eastAsia="sk-SK"/>
              </w:rPr>
            </w:pPr>
            <w:r w:rsidRPr="00C15711">
              <w:rPr>
                <w:rFonts w:ascii="Times New Roman" w:hAnsi="Times New Roman" w:cs="Times New Roman"/>
                <w:b/>
                <w:bCs/>
                <w:sz w:val="20"/>
                <w:szCs w:val="20"/>
                <w:lang w:eastAsia="sk-SK"/>
              </w:rPr>
              <w:t>Bežné výdavky (600)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-6 170 086 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-23 143 582 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-22 823 582 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-22 823 582 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Mzdy, platy, služobné príjmy a ostatné osobné vyrovnania (610)</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ÚGKaK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-3 737 495</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3 737 495</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-14 812 584</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14 812 584</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-14 812 584</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14 812 584</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-14 812 584</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14 812 584</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Poistné a príspevok do poisťovní (620)</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ÚGKaK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-1 306 255</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1 306 255</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-5 176 998</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5 176 998</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-5 176 998</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5 176 998</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-5 176 998</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5 176 998</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0"/>
                <w:szCs w:val="20"/>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13"/>
                <w:szCs w:val="13"/>
                <w:vertAlign w:val="superscript"/>
                <w:lang w:eastAsia="sk-SK"/>
              </w:rPr>
            </w:pPr>
            <w:r w:rsidRPr="00C15711">
              <w:rPr>
                <w:rFonts w:ascii="Times New Roman" w:hAnsi="Times New Roman" w:cs="Times New Roman"/>
                <w:sz w:val="20"/>
                <w:szCs w:val="20"/>
                <w:lang w:eastAsia="sk-SK"/>
              </w:rPr>
              <w:t>  Tovary a služby (630)</w:t>
            </w:r>
            <w:r w:rsidRPr="00C15711">
              <w:rPr>
                <w:rFonts w:ascii="Times New Roman" w:hAnsi="Times New Roman" w:cs="Times New Roman"/>
                <w:sz w:val="13"/>
                <w:szCs w:val="13"/>
                <w:vertAlign w:val="superscript"/>
                <w:lang w:eastAsia="sk-SK"/>
              </w:rPr>
              <w:t>2</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ÚGKaK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-1 101 357</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1 101 357</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-3 074 000</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3 074 000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-2 754 000</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2 754 000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-2 754 000</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2 754 000</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0"/>
                <w:szCs w:val="20"/>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13"/>
                <w:szCs w:val="13"/>
                <w:vertAlign w:val="superscript"/>
                <w:lang w:eastAsia="sk-SK"/>
              </w:rPr>
            </w:pPr>
            <w:r w:rsidRPr="00C15711">
              <w:rPr>
                <w:rFonts w:ascii="Times New Roman" w:hAnsi="Times New Roman" w:cs="Times New Roman"/>
                <w:sz w:val="20"/>
                <w:szCs w:val="20"/>
                <w:lang w:eastAsia="sk-SK"/>
              </w:rPr>
              <w:t> Bežné transfery (640)</w:t>
            </w:r>
            <w:r w:rsidRPr="00C15711">
              <w:rPr>
                <w:rFonts w:ascii="Times New Roman" w:hAnsi="Times New Roman" w:cs="Times New Roman"/>
                <w:sz w:val="13"/>
                <w:szCs w:val="13"/>
                <w:vertAlign w:val="superscript"/>
                <w:lang w:eastAsia="sk-SK"/>
              </w:rPr>
              <w:t>2</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ÚGKaK SR</w:t>
            </w:r>
          </w:p>
          <w:p w:rsidR="00C15711" w:rsidRPr="00C15711" w:rsidP="00C15711">
            <w:pPr>
              <w:bidi w:val="0"/>
              <w:spacing w:after="0" w:line="240" w:lineRule="auto"/>
              <w:rPr>
                <w:rFonts w:ascii="Times New Roman" w:hAnsi="Times New Roman" w:cs="Times New Roman"/>
                <w:sz w:val="13"/>
                <w:szCs w:val="13"/>
                <w:vertAlign w:val="superscript"/>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-24 979</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24 979</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-80 000</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80 000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-80 000</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80 000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-80 000</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80 000</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Splácanie úrokov a ostatné platby súvisiace s úvermi, pôžičkami a NFV (650)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Kapitálové výdavky (700)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Obstarávanie kapitálových aktív (710)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Kapitálové transfery (720)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Výdavky z transakcií s finančnými aktívami a finančnými pasívami (800)</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Dopad na výdavky verejnej správy celkom</w:t>
            </w: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z toho výdavky na ŠR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Bežné výdavky</w:t>
            </w:r>
            <w:r w:rsidRPr="00C15711">
              <w:rPr>
                <w:rFonts w:ascii="Times New Roman" w:hAnsi="Times New Roman" w:cs="Times New Roman"/>
                <w:b/>
                <w:bCs/>
                <w:sz w:val="20"/>
                <w:szCs w:val="20"/>
                <w:lang w:eastAsia="sk-SK"/>
              </w:rPr>
              <w:t xml:space="preserve"> </w:t>
            </w:r>
            <w:r w:rsidRPr="00C15711">
              <w:rPr>
                <w:rFonts w:ascii="Times New Roman" w:hAnsi="Times New Roman" w:cs="Times New Roman"/>
                <w:sz w:val="20"/>
                <w:szCs w:val="20"/>
                <w:lang w:eastAsia="sk-SK"/>
              </w:rPr>
              <w:t>(600)</w:t>
            </w:r>
            <w:r w:rsidRPr="00C15711">
              <w:rPr>
                <w:rFonts w:ascii="Times New Roman" w:hAnsi="Times New Roman" w:cs="Times New Roman"/>
                <w:b/>
                <w:bCs/>
                <w:sz w:val="20"/>
                <w:szCs w:val="20"/>
                <w:lang w:eastAsia="sk-SK"/>
              </w:rPr>
              <w:t xml:space="preserve">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w:t>
            </w:r>
            <w:r w:rsidRPr="00C15711">
              <w:rPr>
                <w:rFonts w:ascii="Times New Roman" w:hAnsi="Times New Roman" w:cs="Times New Roman"/>
                <w:sz w:val="20"/>
                <w:szCs w:val="20"/>
                <w:lang w:eastAsia="sk-SK"/>
              </w:rPr>
              <w:t>Mzdy, platy, služobné príjmy a ostatné osobné vyrovnania (610)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Kapitálové výdavky (700)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Výdavky z transakcií s finančnými aktívami a finančnými pasívami (800)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15"/>
        </w:trPr>
        <w:tc>
          <w:tcPr>
            <w:tcW w:w="6489"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2036"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sz w:val="20"/>
          <w:szCs w:val="20"/>
          <w:lang w:eastAsia="sk-SK"/>
        </w:rPr>
        <w:t>2 –  výdavky rozpísať až do položiek platnej ekonomickej klasifikácie</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Tabuľka č. 5/d</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tabs>
          <w:tab w:val="num" w:pos="1080"/>
        </w:tabs>
        <w:bidi w:val="0"/>
        <w:spacing w:after="0" w:line="240" w:lineRule="auto"/>
        <w:jc w:val="both"/>
        <w:rPr>
          <w:rFonts w:ascii="Times New Roman" w:hAnsi="Times New Roman" w:cs="Times New Roman"/>
          <w:b/>
          <w:bCs/>
          <w:caps/>
          <w:sz w:val="24"/>
          <w:szCs w:val="20"/>
          <w:u w:val="single"/>
          <w:lang w:eastAsia="sk-SK"/>
        </w:rPr>
      </w:pPr>
      <w:r w:rsidRPr="00C15711">
        <w:rPr>
          <w:rFonts w:ascii="Times New Roman" w:hAnsi="Times New Roman" w:cs="Times New Roman"/>
          <w:b/>
          <w:bCs/>
          <w:caps/>
          <w:sz w:val="24"/>
          <w:szCs w:val="20"/>
          <w:u w:val="single"/>
          <w:lang w:eastAsia="sk-SK"/>
        </w:rPr>
        <w:t>ministerstvo dopravy, výstavby a regionálneho rozvoja SR</w:t>
      </w:r>
    </w:p>
    <w:p w:rsidR="00C15711" w:rsidRPr="00C15711" w:rsidP="00C15711">
      <w:pPr>
        <w:bidi w:val="0"/>
        <w:spacing w:after="0" w:line="240" w:lineRule="auto"/>
        <w:jc w:val="both"/>
        <w:rPr>
          <w:rFonts w:ascii="Times New Roman" w:hAnsi="Times New Roman" w:cs="Times New Roman"/>
          <w:sz w:val="24"/>
          <w:szCs w:val="24"/>
          <w:lang w:eastAsia="sk-SK"/>
        </w:rPr>
      </w:pPr>
    </w:p>
    <w:tbl>
      <w:tblPr>
        <w:tblStyle w:val="TableNormal"/>
        <w:tblW w:w="14177" w:type="dxa"/>
        <w:tblInd w:w="-616" w:type="dxa"/>
        <w:tblCellMar>
          <w:left w:w="0" w:type="dxa"/>
          <w:right w:w="0" w:type="dxa"/>
        </w:tblCellMar>
      </w:tblPr>
      <w:tblGrid>
        <w:gridCol w:w="6489"/>
        <w:gridCol w:w="1413"/>
        <w:gridCol w:w="1413"/>
        <w:gridCol w:w="1413"/>
        <w:gridCol w:w="1413"/>
        <w:gridCol w:w="2036"/>
      </w:tblGrid>
      <w:tr>
        <w:tblPrEx>
          <w:tblW w:w="14177" w:type="dxa"/>
          <w:tblInd w:w="-616" w:type="dxa"/>
          <w:tblCellMar>
            <w:left w:w="0" w:type="dxa"/>
            <w:right w:w="0" w:type="dxa"/>
          </w:tblCellMar>
        </w:tblPrEx>
        <w:trPr>
          <w:trHeight w:val="259"/>
        </w:trPr>
        <w:tc>
          <w:tcPr>
            <w:tcW w:w="648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Vplyv na rozpočet verejnej správy</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4177" w:type="dxa"/>
          <w:tblInd w:w="-616" w:type="dxa"/>
          <w:tblCellMar>
            <w:left w:w="0" w:type="dxa"/>
            <w:right w:w="0" w:type="dxa"/>
          </w:tblCellMar>
        </w:tblPrEx>
        <w:trPr>
          <w:trHeight w:val="20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b/>
                <w:bCs/>
                <w:sz w:val="20"/>
                <w:szCs w:val="20"/>
                <w:lang w:eastAsia="sk-SK"/>
              </w:rPr>
            </w:pPr>
            <w:r w:rsidRPr="00C15711">
              <w:rPr>
                <w:rFonts w:ascii="Times New Roman" w:hAnsi="Times New Roman" w:cs="Times New Roman"/>
                <w:b/>
                <w:bCs/>
                <w:sz w:val="20"/>
                <w:szCs w:val="20"/>
                <w:lang w:eastAsia="sk-SK"/>
              </w:rPr>
              <w:t>Bežné výdavky (600)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0"/>
                <w:szCs w:val="20"/>
                <w:lang w:eastAsia="sk-SK"/>
              </w:rPr>
            </w:pPr>
            <w:r w:rsidRPr="00C15711">
              <w:rPr>
                <w:rFonts w:ascii="Times New Roman" w:hAnsi="Times New Roman" w:cs="Times New Roman"/>
                <w:b/>
                <w:sz w:val="20"/>
                <w:szCs w:val="20"/>
                <w:lang w:eastAsia="sk-SK"/>
              </w:rPr>
              <w:t>-1 449 966</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0"/>
                <w:szCs w:val="20"/>
                <w:lang w:eastAsia="sk-SK"/>
              </w:rPr>
            </w:pPr>
            <w:r w:rsidRPr="00C15711">
              <w:rPr>
                <w:rFonts w:ascii="Times New Roman" w:hAnsi="Times New Roman" w:cs="Times New Roman"/>
                <w:b/>
                <w:sz w:val="20"/>
                <w:szCs w:val="20"/>
                <w:lang w:eastAsia="sk-SK"/>
              </w:rPr>
              <w:t>-5 799 864</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0"/>
                <w:szCs w:val="20"/>
                <w:lang w:eastAsia="sk-SK"/>
              </w:rPr>
            </w:pPr>
            <w:r w:rsidRPr="00C15711">
              <w:rPr>
                <w:rFonts w:ascii="Times New Roman" w:hAnsi="Times New Roman" w:cs="Times New Roman"/>
                <w:b/>
                <w:sz w:val="20"/>
                <w:szCs w:val="20"/>
                <w:lang w:eastAsia="sk-SK"/>
              </w:rPr>
              <w:t>-5 799 871</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0"/>
                <w:szCs w:val="20"/>
                <w:lang w:eastAsia="sk-SK"/>
              </w:rPr>
            </w:pPr>
            <w:r w:rsidRPr="00C15711">
              <w:rPr>
                <w:rFonts w:ascii="Times New Roman" w:hAnsi="Times New Roman" w:cs="Times New Roman"/>
                <w:b/>
                <w:sz w:val="20"/>
                <w:szCs w:val="20"/>
                <w:lang w:eastAsia="sk-SK"/>
              </w:rPr>
              <w:t>-5 799 871</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Mzdy, platy, služobné príjmy a ostatné osobné vyrovnania (610)</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MDVaRR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-815 841</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815 841</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-3 263 368</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3 263 368</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-3 263 367 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3 263 367 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-3 263 367 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3 263 367 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Poistné a príspevok do poisťovní (620)</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MDVaRR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-285 199</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285 199</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-1 140 793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1 140 793</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-1 140 801</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1 140 801</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-1 140 801</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1 140 801</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0"/>
                <w:szCs w:val="20"/>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13"/>
                <w:szCs w:val="13"/>
                <w:vertAlign w:val="superscript"/>
                <w:lang w:eastAsia="sk-SK"/>
              </w:rPr>
            </w:pPr>
            <w:r w:rsidRPr="00C15711">
              <w:rPr>
                <w:rFonts w:ascii="Times New Roman" w:hAnsi="Times New Roman" w:cs="Times New Roman"/>
                <w:sz w:val="20"/>
                <w:szCs w:val="20"/>
                <w:lang w:eastAsia="sk-SK"/>
              </w:rPr>
              <w:t>  Tovary a služby (630)</w:t>
            </w:r>
            <w:r w:rsidRPr="00C15711">
              <w:rPr>
                <w:rFonts w:ascii="Times New Roman" w:hAnsi="Times New Roman" w:cs="Times New Roman"/>
                <w:sz w:val="13"/>
                <w:szCs w:val="13"/>
                <w:vertAlign w:val="superscript"/>
                <w:lang w:eastAsia="sk-SK"/>
              </w:rPr>
              <w:t>2</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V tom: MDVaRR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-342 063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342 063</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-1 368 251</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1 368 251</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-1 368 251  1 368 251</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-1 368 251  1 368 251</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0"/>
                <w:szCs w:val="20"/>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13"/>
                <w:szCs w:val="13"/>
                <w:vertAlign w:val="superscript"/>
                <w:lang w:eastAsia="sk-SK"/>
              </w:rPr>
            </w:pPr>
            <w:r w:rsidRPr="00C15711">
              <w:rPr>
                <w:rFonts w:ascii="Times New Roman" w:hAnsi="Times New Roman" w:cs="Times New Roman"/>
                <w:sz w:val="20"/>
                <w:szCs w:val="20"/>
                <w:lang w:eastAsia="sk-SK"/>
              </w:rPr>
              <w:t> Bežné transfery (640)</w:t>
            </w:r>
            <w:r w:rsidRPr="00C15711">
              <w:rPr>
                <w:rFonts w:ascii="Times New Roman" w:hAnsi="Times New Roman" w:cs="Times New Roman"/>
                <w:sz w:val="13"/>
                <w:szCs w:val="13"/>
                <w:vertAlign w:val="superscript"/>
                <w:lang w:eastAsia="sk-SK"/>
              </w:rPr>
              <w:t>2</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V tom: MDVaRR SR</w:t>
            </w:r>
          </w:p>
          <w:p w:rsidR="00C15711" w:rsidRPr="00C15711" w:rsidP="00C15711">
            <w:pPr>
              <w:bidi w:val="0"/>
              <w:spacing w:after="0" w:line="240" w:lineRule="auto"/>
              <w:rPr>
                <w:rFonts w:ascii="Times New Roman" w:hAnsi="Times New Roman" w:cs="Times New Roman"/>
                <w:sz w:val="13"/>
                <w:szCs w:val="13"/>
                <w:vertAlign w:val="superscript"/>
                <w:lang w:eastAsia="sk-SK"/>
              </w:rPr>
            </w:pPr>
            <w:r w:rsidRPr="00C15711">
              <w:rPr>
                <w:rFonts w:ascii="Times New Roman" w:hAnsi="Times New Roman" w:cs="Times New Roman"/>
                <w:sz w:val="20"/>
                <w:szCs w:val="20"/>
                <w:lang w:eastAsia="sk-SK"/>
              </w:rPr>
              <w:t xml:space="preserve">              MV SR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-6 863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6 863</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-27 452</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27 452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-27 452</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27 452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-27 452</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27 452</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Splácanie úrokov a ostatné platby súvisiace s úvermi, pôžičkami a NFV (650)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Kapitálové výdavky (700)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Obstarávanie kapitálových aktív (710)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Kapitálové transfery (720)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Výdavky z transakcií s finančnými aktívami a finančnými pasívami (800)</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Dopad na výdavky verejnej správy celkom</w:t>
            </w: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color w:val="FFFFFF"/>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z toho výdavky na ŠR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Bežné výdavky</w:t>
            </w:r>
            <w:r w:rsidRPr="00C15711">
              <w:rPr>
                <w:rFonts w:ascii="Times New Roman" w:hAnsi="Times New Roman" w:cs="Times New Roman"/>
                <w:b/>
                <w:bCs/>
                <w:sz w:val="20"/>
                <w:szCs w:val="20"/>
                <w:lang w:eastAsia="sk-SK"/>
              </w:rPr>
              <w:t xml:space="preserve"> </w:t>
            </w:r>
            <w:r w:rsidRPr="00C15711">
              <w:rPr>
                <w:rFonts w:ascii="Times New Roman" w:hAnsi="Times New Roman" w:cs="Times New Roman"/>
                <w:sz w:val="20"/>
                <w:szCs w:val="20"/>
                <w:lang w:eastAsia="sk-SK"/>
              </w:rPr>
              <w:t>(600)</w:t>
            </w:r>
            <w:r w:rsidRPr="00C15711">
              <w:rPr>
                <w:rFonts w:ascii="Times New Roman" w:hAnsi="Times New Roman" w:cs="Times New Roman"/>
                <w:b/>
                <w:bCs/>
                <w:sz w:val="20"/>
                <w:szCs w:val="20"/>
                <w:lang w:eastAsia="sk-SK"/>
              </w:rPr>
              <w:t xml:space="preserve">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w:t>
            </w:r>
            <w:r w:rsidRPr="00C15711">
              <w:rPr>
                <w:rFonts w:ascii="Times New Roman" w:hAnsi="Times New Roman" w:cs="Times New Roman"/>
                <w:sz w:val="20"/>
                <w:szCs w:val="20"/>
                <w:lang w:eastAsia="sk-SK"/>
              </w:rPr>
              <w:t>Mzdy, platy, služobné príjmy a ostatné osobné vyrovnania (610)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Kapitálové výdavky (700)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Výdavky z transakcií s finančnými aktívami a finančnými pasívami (800)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15"/>
        </w:trPr>
        <w:tc>
          <w:tcPr>
            <w:tcW w:w="6489"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2036"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sz w:val="20"/>
          <w:szCs w:val="20"/>
          <w:lang w:eastAsia="sk-SK"/>
        </w:rPr>
        <w:t>2 –  výdavky rozpísať až do položiek platnej ekonomickej klasifikácie</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w:t>
        <w:tab/>
        <w:tab/>
      </w:r>
      <w:r w:rsidRPr="00C15711">
        <w:rPr>
          <w:rFonts w:ascii="Times New Roman" w:hAnsi="Times New Roman" w:cs="Times New Roman"/>
          <w:sz w:val="24"/>
          <w:szCs w:val="24"/>
          <w:lang w:eastAsia="sk-SK"/>
        </w:rPr>
        <w:t>Tabuľka č. 5/e</w:t>
      </w:r>
    </w:p>
    <w:p w:rsidR="00C15711" w:rsidRPr="00C15711" w:rsidP="00C15711">
      <w:pPr>
        <w:tabs>
          <w:tab w:val="num" w:pos="1080"/>
        </w:tabs>
        <w:bidi w:val="0"/>
        <w:spacing w:after="0" w:line="240" w:lineRule="auto"/>
        <w:jc w:val="both"/>
        <w:rPr>
          <w:rFonts w:ascii="Times New Roman" w:hAnsi="Times New Roman" w:cs="Times New Roman"/>
          <w:b/>
          <w:bCs/>
          <w:sz w:val="24"/>
          <w:szCs w:val="20"/>
          <w:u w:val="single"/>
          <w:lang w:eastAsia="sk-SK"/>
        </w:rPr>
      </w:pPr>
      <w:r w:rsidRPr="00C15711">
        <w:rPr>
          <w:rFonts w:ascii="Times New Roman" w:hAnsi="Times New Roman" w:cs="Times New Roman"/>
          <w:b/>
          <w:bCs/>
          <w:sz w:val="24"/>
          <w:szCs w:val="20"/>
          <w:u w:val="single"/>
          <w:lang w:eastAsia="sk-SK"/>
        </w:rPr>
        <w:t>MINISTERSTVO VNÚTRA SR</w:t>
      </w:r>
    </w:p>
    <w:p w:rsidR="00C15711" w:rsidRPr="00C15711" w:rsidP="00C15711">
      <w:pPr>
        <w:bidi w:val="0"/>
        <w:spacing w:after="0" w:line="240" w:lineRule="auto"/>
        <w:jc w:val="both"/>
        <w:rPr>
          <w:rFonts w:ascii="Times New Roman" w:hAnsi="Times New Roman" w:cs="Times New Roman"/>
          <w:sz w:val="24"/>
          <w:szCs w:val="24"/>
          <w:lang w:eastAsia="sk-SK"/>
        </w:rPr>
      </w:pPr>
    </w:p>
    <w:tbl>
      <w:tblPr>
        <w:tblStyle w:val="TableNormal"/>
        <w:tblW w:w="14177" w:type="dxa"/>
        <w:tblInd w:w="-616" w:type="dxa"/>
        <w:tblCellMar>
          <w:left w:w="0" w:type="dxa"/>
          <w:right w:w="0" w:type="dxa"/>
        </w:tblCellMar>
      </w:tblPr>
      <w:tblGrid>
        <w:gridCol w:w="6489"/>
        <w:gridCol w:w="1413"/>
        <w:gridCol w:w="1413"/>
        <w:gridCol w:w="1413"/>
        <w:gridCol w:w="1413"/>
        <w:gridCol w:w="2036"/>
      </w:tblGrid>
      <w:tr>
        <w:tblPrEx>
          <w:tblW w:w="14177" w:type="dxa"/>
          <w:tblInd w:w="-616" w:type="dxa"/>
          <w:tblCellMar>
            <w:left w:w="0" w:type="dxa"/>
            <w:right w:w="0" w:type="dxa"/>
          </w:tblCellMar>
        </w:tblPrEx>
        <w:trPr>
          <w:trHeight w:val="259"/>
        </w:trPr>
        <w:tc>
          <w:tcPr>
            <w:tcW w:w="648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Vplyv na rozpočet verejnej správy</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4177" w:type="dxa"/>
          <w:tblInd w:w="-616" w:type="dxa"/>
          <w:tblCellMar>
            <w:left w:w="0" w:type="dxa"/>
            <w:right w:w="0" w:type="dxa"/>
          </w:tblCellMar>
        </w:tblPrEx>
        <w:trPr>
          <w:trHeight w:val="20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1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Bežné výdavky (600)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0"/>
                <w:szCs w:val="20"/>
                <w:lang w:eastAsia="sk-SK"/>
              </w:rPr>
            </w:pPr>
            <w:r w:rsidRPr="00C15711">
              <w:rPr>
                <w:rFonts w:ascii="Times New Roman" w:hAnsi="Times New Roman" w:cs="Times New Roman"/>
                <w:b/>
                <w:sz w:val="20"/>
                <w:szCs w:val="20"/>
                <w:lang w:eastAsia="sk-SK"/>
              </w:rPr>
              <w:t>13 104 605</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0"/>
                <w:szCs w:val="20"/>
                <w:lang w:eastAsia="sk-SK"/>
              </w:rPr>
            </w:pPr>
            <w:r w:rsidRPr="00C15711">
              <w:rPr>
                <w:rFonts w:ascii="Times New Roman" w:hAnsi="Times New Roman" w:cs="Times New Roman"/>
                <w:b/>
                <w:sz w:val="20"/>
                <w:szCs w:val="20"/>
                <w:lang w:eastAsia="sk-SK"/>
              </w:rPr>
              <w:t>50 772 080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0"/>
                <w:szCs w:val="20"/>
                <w:lang w:eastAsia="sk-SK"/>
              </w:rPr>
            </w:pPr>
            <w:r w:rsidRPr="00C15711">
              <w:rPr>
                <w:rFonts w:ascii="Times New Roman" w:hAnsi="Times New Roman" w:cs="Times New Roman"/>
                <w:b/>
                <w:sz w:val="20"/>
                <w:szCs w:val="20"/>
                <w:lang w:eastAsia="sk-SK"/>
              </w:rPr>
              <w:t>50 452 087</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0"/>
                <w:szCs w:val="20"/>
                <w:lang w:eastAsia="sk-SK"/>
              </w:rPr>
            </w:pPr>
            <w:r w:rsidRPr="00C15711">
              <w:rPr>
                <w:rFonts w:ascii="Times New Roman" w:hAnsi="Times New Roman" w:cs="Times New Roman"/>
                <w:b/>
                <w:sz w:val="20"/>
                <w:szCs w:val="20"/>
                <w:lang w:eastAsia="sk-SK"/>
              </w:rPr>
              <w:t>50 452 087</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  Mzdy, platy, služobné príjmy a ostatné osobné vyrovnania (610)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240" w:lineRule="auto"/>
              <w:jc w:val="right"/>
              <w:rPr>
                <w:rFonts w:ascii="Times New Roman" w:hAnsi="Times New Roman" w:cs="Times New Roman"/>
                <w:color w:val="000000"/>
                <w:sz w:val="20"/>
                <w:szCs w:val="20"/>
                <w:lang w:eastAsia="sk-SK"/>
              </w:rPr>
            </w:pPr>
            <w:r w:rsidRPr="00C15711">
              <w:rPr>
                <w:rFonts w:ascii="Times New Roman" w:hAnsi="Times New Roman" w:cs="Times New Roman"/>
                <w:color w:val="000000"/>
                <w:sz w:val="20"/>
                <w:szCs w:val="20"/>
                <w:lang w:eastAsia="sk-SK"/>
              </w:rPr>
              <w:t>7 765 039</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30 922 766</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30 922 765</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30 922 765</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Poistné a príspevok do poisťovní (620)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240" w:lineRule="auto"/>
              <w:jc w:val="right"/>
              <w:rPr>
                <w:rFonts w:ascii="Times New Roman" w:hAnsi="Times New Roman" w:cs="Times New Roman"/>
                <w:color w:val="000000"/>
                <w:sz w:val="20"/>
                <w:szCs w:val="20"/>
                <w:lang w:eastAsia="sk-SK"/>
              </w:rPr>
            </w:pPr>
            <w:r w:rsidRPr="00C15711">
              <w:rPr>
                <w:rFonts w:ascii="Times New Roman" w:hAnsi="Times New Roman" w:cs="Times New Roman"/>
                <w:color w:val="000000"/>
                <w:sz w:val="20"/>
                <w:szCs w:val="20"/>
                <w:lang w:eastAsia="sk-SK"/>
              </w:rPr>
              <w:t>2 731 456</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10 807 754</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10 807 762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10 807 762</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Tovary a služby (630)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240" w:lineRule="auto"/>
              <w:jc w:val="right"/>
              <w:rPr>
                <w:rFonts w:ascii="Times New Roman" w:hAnsi="Times New Roman" w:cs="Times New Roman"/>
                <w:color w:val="000000"/>
                <w:sz w:val="20"/>
                <w:szCs w:val="20"/>
                <w:lang w:eastAsia="sk-SK"/>
              </w:rPr>
            </w:pPr>
            <w:r w:rsidRPr="00C15711">
              <w:rPr>
                <w:rFonts w:ascii="Times New Roman" w:hAnsi="Times New Roman" w:cs="Times New Roman"/>
                <w:color w:val="000000"/>
                <w:sz w:val="20"/>
                <w:szCs w:val="20"/>
                <w:lang w:eastAsia="sk-SK"/>
              </w:rPr>
              <w:t>2 551 433</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8 880 944</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8 560 944</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8 560 944</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Bežné transfery (640)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240" w:lineRule="auto"/>
              <w:jc w:val="right"/>
              <w:rPr>
                <w:rFonts w:ascii="Times New Roman" w:hAnsi="Times New Roman" w:cs="Times New Roman"/>
                <w:color w:val="000000"/>
                <w:sz w:val="20"/>
                <w:szCs w:val="20"/>
                <w:lang w:eastAsia="sk-SK"/>
              </w:rPr>
            </w:pPr>
            <w:r w:rsidRPr="00C15711">
              <w:rPr>
                <w:rFonts w:ascii="Times New Roman" w:hAnsi="Times New Roman" w:cs="Times New Roman"/>
                <w:color w:val="000000"/>
                <w:sz w:val="20"/>
                <w:szCs w:val="20"/>
                <w:lang w:eastAsia="sk-SK"/>
              </w:rPr>
              <w:t>56 677</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240" w:lineRule="auto"/>
              <w:jc w:val="right"/>
              <w:rPr>
                <w:rFonts w:ascii="Times New Roman" w:hAnsi="Times New Roman" w:cs="Times New Roman"/>
                <w:color w:val="000000"/>
                <w:sz w:val="20"/>
                <w:szCs w:val="20"/>
                <w:lang w:eastAsia="sk-SK"/>
              </w:rPr>
            </w:pPr>
            <w:r w:rsidRPr="00C15711">
              <w:rPr>
                <w:rFonts w:ascii="Times New Roman" w:hAnsi="Times New Roman" w:cs="Times New Roman"/>
                <w:color w:val="000000"/>
                <w:sz w:val="20"/>
                <w:szCs w:val="20"/>
                <w:lang w:eastAsia="sk-SK"/>
              </w:rPr>
              <w:t>160 616</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240" w:lineRule="auto"/>
              <w:jc w:val="right"/>
              <w:rPr>
                <w:rFonts w:ascii="Times New Roman" w:hAnsi="Times New Roman" w:cs="Times New Roman"/>
                <w:color w:val="000000"/>
                <w:sz w:val="20"/>
                <w:szCs w:val="20"/>
                <w:lang w:eastAsia="sk-SK"/>
              </w:rPr>
            </w:pPr>
            <w:r w:rsidRPr="00C15711">
              <w:rPr>
                <w:rFonts w:ascii="Times New Roman" w:hAnsi="Times New Roman" w:cs="Times New Roman"/>
                <w:color w:val="000000"/>
                <w:sz w:val="20"/>
                <w:szCs w:val="20"/>
                <w:lang w:eastAsia="sk-SK"/>
              </w:rPr>
              <w:t>160 616</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240" w:lineRule="auto"/>
              <w:jc w:val="right"/>
              <w:rPr>
                <w:rFonts w:ascii="Times New Roman" w:hAnsi="Times New Roman" w:cs="Times New Roman"/>
                <w:color w:val="000000"/>
                <w:sz w:val="20"/>
                <w:szCs w:val="20"/>
                <w:lang w:eastAsia="sk-SK"/>
              </w:rPr>
            </w:pPr>
            <w:r w:rsidRPr="00C15711">
              <w:rPr>
                <w:rFonts w:ascii="Times New Roman" w:hAnsi="Times New Roman" w:cs="Times New Roman"/>
                <w:color w:val="000000"/>
                <w:sz w:val="20"/>
                <w:szCs w:val="20"/>
                <w:lang w:eastAsia="sk-SK"/>
              </w:rPr>
              <w:t>160 616</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Splácanie úrokov a ostatné platby súvisiace s úvermi, pôžičkami a NFV (650)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Kapitálové výdavky (700)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Obstarávanie kapitálových aktív (710)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Kapitálové transfery (720)</w:t>
            </w:r>
            <w:r w:rsidRPr="00C15711">
              <w:rPr>
                <w:rFonts w:ascii="Times New Roman" w:hAnsi="Times New Roman" w:cs="Times New Roman"/>
                <w:sz w:val="13"/>
                <w:szCs w:val="13"/>
                <w:vertAlign w:val="superscript"/>
                <w:lang w:eastAsia="sk-SK"/>
              </w:rPr>
              <w:t>2</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Výdavky z transakcií s finančnými aktívami a finančnými pasívami (800)</w:t>
            </w: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1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0"/>
                <w:szCs w:val="20"/>
                <w:lang w:eastAsia="sk-SK"/>
              </w:rPr>
              <w:t>Dopad na výdavky verejnej správy celkom</w:t>
            </w: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0</w:t>
            </w: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-2 241 889</w:t>
            </w: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-2 241 889</w:t>
            </w:r>
          </w:p>
        </w:tc>
        <w:tc>
          <w:tcPr>
            <w:tcW w:w="141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-2 241 889</w:t>
            </w:r>
          </w:p>
        </w:tc>
        <w:tc>
          <w:tcPr>
            <w:tcW w:w="2036"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color w:val="FFFFFF"/>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z toho výdavky na ŠR</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0</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-2 241 889</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-2 241 889</w:t>
            </w:r>
          </w:p>
        </w:tc>
        <w:tc>
          <w:tcPr>
            <w:tcW w:w="14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-2 241 889</w:t>
            </w:r>
          </w:p>
        </w:tc>
        <w:tc>
          <w:tcPr>
            <w:tcW w:w="203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Bežné výdavky</w:t>
            </w:r>
            <w:r w:rsidRPr="00C15711">
              <w:rPr>
                <w:rFonts w:ascii="Times New Roman" w:hAnsi="Times New Roman" w:cs="Times New Roman"/>
                <w:b/>
                <w:bCs/>
                <w:sz w:val="20"/>
                <w:szCs w:val="20"/>
                <w:lang w:eastAsia="sk-SK"/>
              </w:rPr>
              <w:t xml:space="preserve"> </w:t>
            </w:r>
            <w:r w:rsidRPr="00C15711">
              <w:rPr>
                <w:rFonts w:ascii="Times New Roman" w:hAnsi="Times New Roman" w:cs="Times New Roman"/>
                <w:sz w:val="20"/>
                <w:szCs w:val="20"/>
                <w:lang w:eastAsia="sk-SK"/>
              </w:rPr>
              <w:t>(600)</w:t>
            </w:r>
            <w:r w:rsidRPr="00C15711">
              <w:rPr>
                <w:rFonts w:ascii="Times New Roman" w:hAnsi="Times New Roman" w:cs="Times New Roman"/>
                <w:b/>
                <w:bCs/>
                <w:sz w:val="20"/>
                <w:szCs w:val="20"/>
                <w:lang w:eastAsia="sk-SK"/>
              </w:rPr>
              <w:t xml:space="preserve">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-2 241 889</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-2 241 889</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-2 241 889</w:t>
            </w: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0"/>
                <w:szCs w:val="20"/>
                <w:lang w:eastAsia="sk-SK"/>
              </w:rPr>
              <w:t>    </w:t>
            </w:r>
            <w:r w:rsidRPr="00C15711">
              <w:rPr>
                <w:rFonts w:ascii="Times New Roman" w:hAnsi="Times New Roman" w:cs="Times New Roman"/>
                <w:sz w:val="20"/>
                <w:szCs w:val="20"/>
                <w:lang w:eastAsia="sk-SK"/>
              </w:rPr>
              <w:t>Mzdy, platy, služobné príjmy a ostatné osobné vyrovnania (610)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-773 075</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-773 075</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-773 075</w:t>
            </w: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Kapitálové výdavky (700)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259"/>
        </w:trPr>
        <w:tc>
          <w:tcPr>
            <w:tcW w:w="6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Výdavky z transakcií s finančnými aktívami a finančnými pasívami (800)</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14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w:t>
            </w:r>
          </w:p>
        </w:tc>
        <w:tc>
          <w:tcPr>
            <w:tcW w:w="203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177" w:type="dxa"/>
          <w:tblInd w:w="-616" w:type="dxa"/>
          <w:tblCellMar>
            <w:left w:w="0" w:type="dxa"/>
            <w:right w:w="0" w:type="dxa"/>
          </w:tblCellMar>
        </w:tblPrEx>
        <w:trPr>
          <w:trHeight w:val="15"/>
        </w:trPr>
        <w:tc>
          <w:tcPr>
            <w:tcW w:w="6489"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2036"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sz w:val="20"/>
          <w:szCs w:val="20"/>
          <w:lang w:eastAsia="sk-SK"/>
        </w:rPr>
        <w:t>2 –  výdavky rozpísať až do položiek platnej ekonomickej klasifikácie</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both"/>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w:t>
      </w:r>
      <w:r w:rsidRPr="00C15711">
        <w:rPr>
          <w:rFonts w:ascii="Times New Roman" w:hAnsi="Times New Roman" w:cs="Times New Roman"/>
          <w:sz w:val="24"/>
          <w:szCs w:val="24"/>
          <w:lang w:eastAsia="sk-SK"/>
        </w:rPr>
        <w:t>              Tabuľka č. 6/a</w:t>
      </w:r>
    </w:p>
    <w:p w:rsidR="00C15711" w:rsidRPr="00C15711" w:rsidP="00C15711">
      <w:pPr>
        <w:tabs>
          <w:tab w:val="num" w:pos="1080"/>
        </w:tabs>
        <w:bidi w:val="0"/>
        <w:spacing w:after="0" w:line="240" w:lineRule="auto"/>
        <w:jc w:val="both"/>
        <w:rPr>
          <w:rFonts w:ascii="Times New Roman" w:hAnsi="Times New Roman" w:cs="Times New Roman"/>
          <w:b/>
          <w:bCs/>
          <w:sz w:val="24"/>
          <w:szCs w:val="20"/>
          <w:u w:val="single"/>
          <w:lang w:eastAsia="sk-SK"/>
        </w:rPr>
      </w:pPr>
      <w:r w:rsidRPr="00C15711">
        <w:rPr>
          <w:rFonts w:ascii="Times New Roman" w:hAnsi="Times New Roman" w:cs="Times New Roman"/>
          <w:b/>
          <w:bCs/>
          <w:sz w:val="24"/>
          <w:szCs w:val="20"/>
          <w:u w:val="single"/>
          <w:lang w:eastAsia="sk-SK"/>
        </w:rPr>
        <w:t xml:space="preserve">MINISTERSTVO PÔDOHOSPODÁRSTVA </w:t>
      </w:r>
      <w:r w:rsidRPr="00C15711">
        <w:rPr>
          <w:rFonts w:ascii="Times New Roman" w:hAnsi="Times New Roman" w:cs="Times New Roman"/>
          <w:b/>
          <w:bCs/>
          <w:caps/>
          <w:sz w:val="24"/>
          <w:szCs w:val="20"/>
          <w:u w:val="single"/>
          <w:lang w:eastAsia="sk-SK"/>
        </w:rPr>
        <w:t>A rozvoja vidieka SR</w:t>
      </w:r>
    </w:p>
    <w:p w:rsidR="00C15711" w:rsidRPr="00C15711" w:rsidP="00C15711">
      <w:pPr>
        <w:bidi w:val="0"/>
        <w:spacing w:after="0" w:line="240" w:lineRule="auto"/>
        <w:jc w:val="both"/>
        <w:rPr>
          <w:rFonts w:ascii="Times New Roman" w:hAnsi="Times New Roman" w:cs="Times New Roman"/>
          <w:sz w:val="24"/>
          <w:szCs w:val="24"/>
          <w:lang w:eastAsia="sk-SK"/>
        </w:rPr>
      </w:pPr>
    </w:p>
    <w:tbl>
      <w:tblPr>
        <w:tblStyle w:val="TableNormal"/>
        <w:tblpPr w:leftFromText="141" w:rightFromText="141" w:vertAnchor="text" w:horzAnchor="margin" w:tblpXSpec="center" w:tblpY="170"/>
        <w:tblW w:w="14379" w:type="dxa"/>
        <w:tblCellMar>
          <w:left w:w="0" w:type="dxa"/>
          <w:right w:w="0" w:type="dxa"/>
        </w:tblCellMar>
      </w:tblPr>
      <w:tblGrid>
        <w:gridCol w:w="5643"/>
        <w:gridCol w:w="1427"/>
        <w:gridCol w:w="1520"/>
        <w:gridCol w:w="537"/>
        <w:gridCol w:w="1418"/>
        <w:gridCol w:w="1475"/>
        <w:gridCol w:w="888"/>
        <w:gridCol w:w="1471"/>
      </w:tblGrid>
      <w:tr>
        <w:tblPrEx>
          <w:tblW w:w="14379" w:type="dxa"/>
          <w:tblCellMar>
            <w:left w:w="0" w:type="dxa"/>
            <w:right w:w="0" w:type="dxa"/>
          </w:tblCellMar>
        </w:tblPrEx>
        <w:trPr>
          <w:trHeight w:val="256"/>
        </w:trPr>
        <w:tc>
          <w:tcPr>
            <w:tcW w:w="564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4379" w:type="dxa"/>
          <w:tblCellMar>
            <w:left w:w="0" w:type="dxa"/>
            <w:right w:w="0" w:type="dxa"/>
          </w:tblCellMar>
        </w:tblPrEx>
        <w:trPr>
          <w:trHeight w:val="256"/>
        </w:trPr>
        <w:tc>
          <w:tcPr>
            <w:tcW w:w="5643" w:type="dxa"/>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42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52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Počet zamestnancov celkom</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V tom: MPaRV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-700</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700</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-700</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700</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-700</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700</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-700</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700</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Priemerný mzdový výdavok (v eurách)</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694,45</w:t>
            </w: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694,45</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694,45</w:t>
            </w: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694,45</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Osobné výdavky celkom (v eurách)</w:t>
            </w:r>
          </w:p>
        </w:tc>
        <w:tc>
          <w:tcPr>
            <w:tcW w:w="1427"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-1 968 041 </w:t>
            </w:r>
          </w:p>
        </w:tc>
        <w:tc>
          <w:tcPr>
            <w:tcW w:w="152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-7 872 165</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-7 872 165</w:t>
            </w:r>
          </w:p>
        </w:tc>
        <w:tc>
          <w:tcPr>
            <w:tcW w:w="14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-7 872 165</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Mzdy, platy, služobné príjmy a ostatné osobné vyrovnania (610)*</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V tom: MPaRV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 </w:t>
            </w:r>
          </w:p>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-1 458 348</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xml:space="preserve"> 1 458 348</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-5 833 393</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xml:space="preserve">  5 833 393</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-5 833 393</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xml:space="preserve">  5 833 393</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-5 833 393</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xml:space="preserve">  5 833 393</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Poistné a príspevok do poisťovní (620)</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-509 693</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-2 038 772</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-2 038 772</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-2 038 772</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27"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520"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5"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none" w:sz="0" w:space="0" w:color="auto"/>
              <w:bottom w:val="none" w:sz="0" w:space="0" w:color="auto"/>
              <w:right w:val="none" w:sz="0" w:space="0" w:color="auto"/>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Poznámky:</w:t>
            </w:r>
          </w:p>
        </w:tc>
        <w:tc>
          <w:tcPr>
            <w:tcW w:w="1427"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520"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5"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12020"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14379"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Poistné tvorí podiel osobných výdavkov vo výške v priemere 34,95% mzdových výdavkov.</w:t>
            </w:r>
          </w:p>
        </w:tc>
      </w:tr>
      <w:tr>
        <w:tblPrEx>
          <w:tblW w:w="14379" w:type="dxa"/>
          <w:tblCellMar>
            <w:left w:w="0" w:type="dxa"/>
            <w:right w:w="0" w:type="dxa"/>
          </w:tblCellMar>
        </w:tblPrEx>
        <w:trPr>
          <w:trHeight w:val="256"/>
        </w:trPr>
        <w:tc>
          <w:tcPr>
            <w:tcW w:w="9127" w:type="dxa"/>
            <w:gridSpan w:val="4"/>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Kategórie 610 a 620 sú z tejto prílohy automaticky prenášané do príslušných kategórií prílohy „výdavky“</w:t>
            </w:r>
          </w:p>
        </w:tc>
        <w:tc>
          <w:tcPr>
            <w:tcW w:w="1418"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15"/>
        </w:trPr>
        <w:tc>
          <w:tcPr>
            <w:tcW w:w="564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27"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2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537"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8"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75"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888"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71"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w:t>
      </w:r>
      <w:r w:rsidRPr="00C15711">
        <w:rPr>
          <w:rFonts w:ascii="Times New Roman" w:hAnsi="Times New Roman" w:cs="Times New Roman"/>
          <w:sz w:val="24"/>
          <w:szCs w:val="24"/>
          <w:lang w:eastAsia="sk-SK"/>
        </w:rPr>
        <w:t xml:space="preserve">                 </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Tabuľka č. 6/b</w:t>
      </w:r>
    </w:p>
    <w:p w:rsidR="00C15711" w:rsidRPr="00C15711" w:rsidP="00C15711">
      <w:pPr>
        <w:tabs>
          <w:tab w:val="num" w:pos="1080"/>
        </w:tabs>
        <w:bidi w:val="0"/>
        <w:spacing w:after="0" w:line="240" w:lineRule="auto"/>
        <w:jc w:val="both"/>
        <w:rPr>
          <w:rFonts w:ascii="Times New Roman" w:hAnsi="Times New Roman" w:cs="Times New Roman"/>
          <w:b/>
          <w:bCs/>
          <w:sz w:val="24"/>
          <w:szCs w:val="20"/>
          <w:u w:val="single"/>
          <w:lang w:eastAsia="sk-SK"/>
        </w:rPr>
      </w:pPr>
      <w:r w:rsidRPr="00C15711">
        <w:rPr>
          <w:rFonts w:ascii="Times New Roman" w:hAnsi="Times New Roman" w:cs="Times New Roman"/>
          <w:b/>
          <w:bCs/>
          <w:sz w:val="24"/>
          <w:szCs w:val="20"/>
          <w:u w:val="single"/>
          <w:lang w:eastAsia="sk-SK"/>
        </w:rPr>
        <w:t>MINISTERSTVO ŽIVOTNÉHO PROSTREDIA SR</w:t>
      </w:r>
    </w:p>
    <w:p w:rsidR="00C15711" w:rsidRPr="00C15711" w:rsidP="00C15711">
      <w:pPr>
        <w:bidi w:val="0"/>
        <w:spacing w:after="0" w:line="240" w:lineRule="auto"/>
        <w:jc w:val="both"/>
        <w:rPr>
          <w:rFonts w:ascii="Times New Roman" w:hAnsi="Times New Roman" w:cs="Times New Roman"/>
          <w:sz w:val="24"/>
          <w:szCs w:val="24"/>
          <w:lang w:eastAsia="sk-SK"/>
        </w:rPr>
      </w:pPr>
    </w:p>
    <w:tbl>
      <w:tblPr>
        <w:tblStyle w:val="TableNormal"/>
        <w:tblpPr w:leftFromText="141" w:rightFromText="141" w:vertAnchor="text" w:horzAnchor="margin" w:tblpXSpec="center" w:tblpY="170"/>
        <w:tblW w:w="14379" w:type="dxa"/>
        <w:tblCellMar>
          <w:left w:w="0" w:type="dxa"/>
          <w:right w:w="0" w:type="dxa"/>
        </w:tblCellMar>
      </w:tblPr>
      <w:tblGrid>
        <w:gridCol w:w="5643"/>
        <w:gridCol w:w="1427"/>
        <w:gridCol w:w="1520"/>
        <w:gridCol w:w="537"/>
        <w:gridCol w:w="1418"/>
        <w:gridCol w:w="1475"/>
        <w:gridCol w:w="888"/>
        <w:gridCol w:w="1471"/>
      </w:tblGrid>
      <w:tr>
        <w:tblPrEx>
          <w:tblW w:w="14379" w:type="dxa"/>
          <w:tblCellMar>
            <w:left w:w="0" w:type="dxa"/>
            <w:right w:w="0" w:type="dxa"/>
          </w:tblCellMar>
        </w:tblPrEx>
        <w:trPr>
          <w:trHeight w:val="256"/>
        </w:trPr>
        <w:tc>
          <w:tcPr>
            <w:tcW w:w="564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4379" w:type="dxa"/>
          <w:tblCellMar>
            <w:left w:w="0" w:type="dxa"/>
            <w:right w:w="0" w:type="dxa"/>
          </w:tblCellMar>
        </w:tblPrEx>
        <w:trPr>
          <w:trHeight w:val="256"/>
        </w:trPr>
        <w:tc>
          <w:tcPr>
            <w:tcW w:w="5643" w:type="dxa"/>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42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52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Počet zamestnancov celkom</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V tom: MŽP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-807</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807</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-807</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807</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-807</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807</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-807</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807</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Priemerný mzdový výdavok (v eurách)</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723,3</w:t>
            </w: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724,2</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724,2</w:t>
            </w: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724,2</w:t>
            </w:r>
            <w:r w:rsidRPr="00C15711">
              <w:rPr>
                <w:rFonts w:ascii="Times New Roman" w:hAnsi="Times New Roman" w:cs="Times New Roman"/>
                <w:b/>
                <w:bCs/>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Osobné výdavky celkom (v eurách)</w:t>
            </w:r>
          </w:p>
        </w:tc>
        <w:tc>
          <w:tcPr>
            <w:tcW w:w="1427" w:type="dxa"/>
            <w:tcBorders>
              <w:top w:val="none" w:sz="0" w:space="0" w:color="auto"/>
              <w:left w:val="none" w:sz="0" w:space="0" w:color="auto"/>
              <w:bottom w:val="single" w:sz="4" w:space="0" w:color="000000"/>
              <w:right w:val="single" w:sz="4" w:space="0" w:color="000000"/>
            </w:tcBorders>
            <w:shd w:val="clear" w:color="auto" w:fill="000000"/>
            <w:textDirection w:val="lrTb"/>
            <w:vAlign w:val="center"/>
          </w:tcPr>
          <w:p w:rsidR="00C15711" w:rsidRPr="00C15711" w:rsidP="00C15711">
            <w:pPr>
              <w:bidi w:val="0"/>
              <w:spacing w:after="0" w:line="240" w:lineRule="auto"/>
              <w:jc w:val="right"/>
              <w:rPr>
                <w:rFonts w:ascii="Times New Roman" w:hAnsi="Times New Roman" w:cs="Times New Roman"/>
                <w:color w:val="FFFFFF"/>
                <w:sz w:val="24"/>
                <w:szCs w:val="24"/>
                <w:lang w:eastAsia="sk-SK"/>
              </w:rPr>
            </w:pPr>
            <w:r w:rsidRPr="00C15711">
              <w:rPr>
                <w:rFonts w:ascii="Times New Roman" w:hAnsi="Times New Roman" w:cs="Times New Roman"/>
                <w:color w:val="FFFFFF"/>
                <w:sz w:val="24"/>
                <w:szCs w:val="24"/>
                <w:lang w:eastAsia="sk-SK"/>
              </w:rPr>
              <w:t>-2 383 664</w:t>
            </w:r>
          </w:p>
        </w:tc>
        <w:tc>
          <w:tcPr>
            <w:tcW w:w="1520" w:type="dxa"/>
            <w:tcBorders>
              <w:top w:val="none" w:sz="0" w:space="0" w:color="auto"/>
              <w:left w:val="none" w:sz="0" w:space="0" w:color="auto"/>
              <w:bottom w:val="single" w:sz="4" w:space="0" w:color="000000"/>
              <w:right w:val="single" w:sz="4" w:space="0" w:color="000000"/>
            </w:tcBorders>
            <w:shd w:val="clear" w:color="auto" w:fill="000000"/>
            <w:textDirection w:val="lrTb"/>
            <w:vAlign w:val="center"/>
          </w:tcPr>
          <w:p w:rsidR="00C15711" w:rsidRPr="00C15711" w:rsidP="00C15711">
            <w:pPr>
              <w:bidi w:val="0"/>
              <w:spacing w:after="0" w:line="240" w:lineRule="auto"/>
              <w:jc w:val="right"/>
              <w:rPr>
                <w:rFonts w:ascii="Times New Roman" w:hAnsi="Times New Roman" w:cs="Times New Roman"/>
                <w:color w:val="FFFFFF"/>
                <w:sz w:val="24"/>
                <w:szCs w:val="24"/>
                <w:lang w:eastAsia="sk-SK"/>
              </w:rPr>
            </w:pPr>
            <w:r w:rsidRPr="00C15711">
              <w:rPr>
                <w:rFonts w:ascii="Times New Roman" w:hAnsi="Times New Roman" w:cs="Times New Roman"/>
                <w:color w:val="FFFFFF"/>
                <w:sz w:val="24"/>
                <w:szCs w:val="24"/>
                <w:lang w:eastAsia="sk-SK"/>
              </w:rPr>
              <w:t>-9 464 612</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center"/>
          </w:tcPr>
          <w:p w:rsidR="00C15711" w:rsidRPr="00C15711" w:rsidP="00C15711">
            <w:pPr>
              <w:bidi w:val="0"/>
              <w:spacing w:after="0" w:line="240" w:lineRule="auto"/>
              <w:jc w:val="right"/>
              <w:rPr>
                <w:rFonts w:ascii="Times New Roman" w:hAnsi="Times New Roman" w:cs="Times New Roman"/>
                <w:color w:val="FFFFFF"/>
                <w:sz w:val="24"/>
                <w:szCs w:val="24"/>
                <w:lang w:eastAsia="sk-SK"/>
              </w:rPr>
            </w:pPr>
            <w:r w:rsidRPr="00C15711">
              <w:rPr>
                <w:rFonts w:ascii="Times New Roman" w:hAnsi="Times New Roman" w:cs="Times New Roman"/>
                <w:color w:val="FFFFFF"/>
                <w:sz w:val="24"/>
                <w:szCs w:val="24"/>
                <w:lang w:eastAsia="sk-SK"/>
              </w:rPr>
              <w:t>-9 464 612</w:t>
            </w:r>
          </w:p>
        </w:tc>
        <w:tc>
          <w:tcPr>
            <w:tcW w:w="14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right"/>
              <w:rPr>
                <w:rFonts w:ascii="Times New Roman" w:hAnsi="Times New Roman" w:cs="Times New Roman"/>
                <w:color w:val="FFFFFF"/>
                <w:sz w:val="24"/>
                <w:szCs w:val="24"/>
                <w:lang w:eastAsia="sk-SK"/>
              </w:rPr>
            </w:pPr>
            <w:r w:rsidRPr="00C15711">
              <w:rPr>
                <w:rFonts w:ascii="Times New Roman" w:hAnsi="Times New Roman" w:cs="Times New Roman"/>
                <w:color w:val="FFFFFF"/>
                <w:sz w:val="24"/>
                <w:szCs w:val="24"/>
                <w:lang w:eastAsia="sk-SK"/>
              </w:rPr>
              <w:t>-9 464 612</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Mzdy, platy, služobné príjmy a ostatné osobné vyrovnania (610)</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V tom: MŽP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-1 753 355</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1 753 355</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-7 013 421</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7 013 421</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-7 013 421</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7 013 421</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-7 013 421</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7 013 421</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Poistné a príspevok do poisťovní (620)</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-630 309</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-2 451 191</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-2 451 191</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-2 451 191</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27"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520"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5"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none" w:sz="0" w:space="0" w:color="auto"/>
              <w:bottom w:val="none" w:sz="0" w:space="0" w:color="auto"/>
              <w:right w:val="none" w:sz="0" w:space="0" w:color="auto"/>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Poznámky:</w:t>
            </w:r>
          </w:p>
        </w:tc>
        <w:tc>
          <w:tcPr>
            <w:tcW w:w="1427"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520"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5"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12020"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14379"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Poistné tvorí podiel osobných výdavkov vo výške v priemere 34,95% mzdových výdavkov.</w:t>
            </w:r>
          </w:p>
        </w:tc>
      </w:tr>
      <w:tr>
        <w:tblPrEx>
          <w:tblW w:w="14379" w:type="dxa"/>
          <w:tblCellMar>
            <w:left w:w="0" w:type="dxa"/>
            <w:right w:w="0" w:type="dxa"/>
          </w:tblCellMar>
        </w:tblPrEx>
        <w:trPr>
          <w:trHeight w:val="256"/>
        </w:trPr>
        <w:tc>
          <w:tcPr>
            <w:tcW w:w="9127" w:type="dxa"/>
            <w:gridSpan w:val="4"/>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Kategórie 610 a 620 sú z tejto prílohy automaticky prenášané do príslušných kategórií prílohy „výdavky“</w:t>
            </w:r>
          </w:p>
        </w:tc>
        <w:tc>
          <w:tcPr>
            <w:tcW w:w="1418"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15"/>
        </w:trPr>
        <w:tc>
          <w:tcPr>
            <w:tcW w:w="564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27"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2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537"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8"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75"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888"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71"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p w:rsidR="00C15711" w:rsidRPr="00C15711" w:rsidP="00C15711">
      <w:pPr>
        <w:bidi w:val="0"/>
        <w:spacing w:after="0" w:line="240" w:lineRule="auto"/>
        <w:rPr>
          <w:rFonts w:ascii="Times New Roman" w:hAnsi="Times New Roman" w:cs="Times New Roman"/>
          <w:b/>
          <w:bCs/>
          <w:sz w:val="24"/>
          <w:szCs w:val="24"/>
          <w:lang w:eastAsia="sk-SK"/>
        </w:rPr>
      </w:pPr>
    </w:p>
    <w:p w:rsidR="00C15711" w:rsidRPr="00C15711" w:rsidP="00C15711">
      <w:pPr>
        <w:bidi w:val="0"/>
        <w:spacing w:after="0" w:line="240" w:lineRule="auto"/>
        <w:rPr>
          <w:rFonts w:ascii="Times New Roman" w:hAnsi="Times New Roman" w:cs="Times New Roman"/>
          <w:b/>
          <w:bCs/>
          <w:sz w:val="24"/>
          <w:szCs w:val="24"/>
          <w:lang w:eastAsia="sk-SK"/>
        </w:rPr>
      </w:pPr>
    </w:p>
    <w:p w:rsidR="00C15711" w:rsidRPr="00C15711" w:rsidP="00C15711">
      <w:pPr>
        <w:bidi w:val="0"/>
        <w:spacing w:after="0" w:line="240" w:lineRule="auto"/>
        <w:rPr>
          <w:rFonts w:ascii="Times New Roman" w:hAnsi="Times New Roman" w:cs="Times New Roman"/>
          <w:b/>
          <w:bCs/>
          <w:sz w:val="24"/>
          <w:szCs w:val="24"/>
          <w:lang w:eastAsia="sk-SK"/>
        </w:rPr>
      </w:pPr>
    </w:p>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 </w:t>
      </w: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w:t>
      </w:r>
      <w:r w:rsidRPr="00C15711">
        <w:rPr>
          <w:rFonts w:ascii="Times New Roman" w:hAnsi="Times New Roman" w:cs="Times New Roman"/>
          <w:sz w:val="24"/>
          <w:szCs w:val="24"/>
          <w:lang w:eastAsia="sk-SK"/>
        </w:rPr>
        <w:t>              </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Tabuľka č. 6/c</w:t>
      </w:r>
    </w:p>
    <w:p w:rsidR="00C15711" w:rsidRPr="00C15711" w:rsidP="00C15711">
      <w:pPr>
        <w:tabs>
          <w:tab w:val="num" w:pos="1080"/>
        </w:tabs>
        <w:bidi w:val="0"/>
        <w:spacing w:after="0" w:line="240" w:lineRule="auto"/>
        <w:jc w:val="both"/>
        <w:rPr>
          <w:rFonts w:ascii="Times New Roman" w:hAnsi="Times New Roman" w:cs="Times New Roman"/>
          <w:b/>
          <w:bCs/>
          <w:sz w:val="24"/>
          <w:szCs w:val="20"/>
          <w:u w:val="single"/>
          <w:lang w:eastAsia="sk-SK"/>
        </w:rPr>
      </w:pPr>
      <w:r w:rsidRPr="00C15711">
        <w:rPr>
          <w:rFonts w:ascii="Times New Roman" w:hAnsi="Times New Roman" w:cs="Times New Roman"/>
          <w:b/>
          <w:bCs/>
          <w:sz w:val="24"/>
          <w:szCs w:val="20"/>
          <w:u w:val="single"/>
          <w:lang w:eastAsia="sk-SK"/>
        </w:rPr>
        <w:t>ÚRAD GEODÉZIE, KARTOGRAFIE A KATASTRA SR</w:t>
      </w:r>
    </w:p>
    <w:p w:rsidR="00C15711" w:rsidRPr="00C15711" w:rsidP="00C15711">
      <w:pPr>
        <w:bidi w:val="0"/>
        <w:spacing w:after="0" w:line="240" w:lineRule="auto"/>
        <w:jc w:val="both"/>
        <w:rPr>
          <w:rFonts w:ascii="Times New Roman" w:hAnsi="Times New Roman" w:cs="Times New Roman"/>
          <w:sz w:val="24"/>
          <w:szCs w:val="24"/>
          <w:lang w:eastAsia="sk-SK"/>
        </w:rPr>
      </w:pPr>
    </w:p>
    <w:tbl>
      <w:tblPr>
        <w:tblStyle w:val="TableNormal"/>
        <w:tblpPr w:leftFromText="141" w:rightFromText="141" w:vertAnchor="text" w:horzAnchor="margin" w:tblpXSpec="center" w:tblpY="170"/>
        <w:tblW w:w="14379" w:type="dxa"/>
        <w:tblCellMar>
          <w:left w:w="0" w:type="dxa"/>
          <w:right w:w="0" w:type="dxa"/>
        </w:tblCellMar>
      </w:tblPr>
      <w:tblGrid>
        <w:gridCol w:w="5643"/>
        <w:gridCol w:w="1427"/>
        <w:gridCol w:w="1520"/>
        <w:gridCol w:w="537"/>
        <w:gridCol w:w="1418"/>
        <w:gridCol w:w="1475"/>
        <w:gridCol w:w="888"/>
        <w:gridCol w:w="1471"/>
      </w:tblGrid>
      <w:tr>
        <w:tblPrEx>
          <w:tblW w:w="14379" w:type="dxa"/>
          <w:tblCellMar>
            <w:left w:w="0" w:type="dxa"/>
            <w:right w:w="0" w:type="dxa"/>
          </w:tblCellMar>
        </w:tblPrEx>
        <w:trPr>
          <w:trHeight w:val="256"/>
        </w:trPr>
        <w:tc>
          <w:tcPr>
            <w:tcW w:w="564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4379" w:type="dxa"/>
          <w:tblCellMar>
            <w:left w:w="0" w:type="dxa"/>
            <w:right w:w="0" w:type="dxa"/>
          </w:tblCellMar>
        </w:tblPrEx>
        <w:trPr>
          <w:trHeight w:val="256"/>
        </w:trPr>
        <w:tc>
          <w:tcPr>
            <w:tcW w:w="5643" w:type="dxa"/>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42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52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Počet zamestnancov celkom</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V tom: ÚGKaK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-2 153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2 153</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-2 153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2 153</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-2 153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2 153</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-2 153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 xml:space="preserve"> 2 153</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Priemerný mzdový výdavok (v eurách)</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579</w:t>
            </w: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573</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573</w:t>
            </w: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573</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Osobné výdavky celkom (v eurách)</w:t>
            </w:r>
          </w:p>
        </w:tc>
        <w:tc>
          <w:tcPr>
            <w:tcW w:w="1427"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-5 043 750</w:t>
            </w:r>
          </w:p>
        </w:tc>
        <w:tc>
          <w:tcPr>
            <w:tcW w:w="152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-19 989 582</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-19 989 582</w:t>
            </w:r>
          </w:p>
        </w:tc>
        <w:tc>
          <w:tcPr>
            <w:tcW w:w="14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-19 989 582</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 xml:space="preserve">Mzdy, platy, služobné príjmy a ostatné osobné vyrovnania (610) </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V tom: ÚGKaK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b/>
                <w:bCs/>
                <w:sz w:val="20"/>
                <w:szCs w:val="20"/>
                <w:lang w:eastAsia="sk-SK"/>
              </w:rPr>
            </w:pPr>
            <w:r w:rsidRPr="00C15711">
              <w:rPr>
                <w:rFonts w:ascii="Times New Roman" w:hAnsi="Times New Roman" w:cs="Times New Roman"/>
                <w:b/>
                <w:bCs/>
                <w:sz w:val="20"/>
                <w:szCs w:val="20"/>
                <w:lang w:eastAsia="sk-SK"/>
              </w:rPr>
              <w:t> -3 737 495</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xml:space="preserve">  3 737 495</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b/>
                <w:sz w:val="20"/>
                <w:szCs w:val="20"/>
                <w:lang w:eastAsia="sk-SK"/>
              </w:rPr>
            </w:pPr>
          </w:p>
          <w:p w:rsidR="00C15711" w:rsidRPr="00C15711" w:rsidP="00C15711">
            <w:pPr>
              <w:bidi w:val="0"/>
              <w:spacing w:after="0" w:line="240" w:lineRule="auto"/>
              <w:jc w:val="right"/>
              <w:rPr>
                <w:rFonts w:ascii="Times New Roman" w:hAnsi="Times New Roman" w:cs="Times New Roman"/>
                <w:b/>
                <w:sz w:val="20"/>
                <w:szCs w:val="20"/>
                <w:lang w:eastAsia="sk-SK"/>
              </w:rPr>
            </w:pPr>
          </w:p>
          <w:p w:rsidR="00C15711" w:rsidRPr="00C15711" w:rsidP="00C15711">
            <w:pPr>
              <w:bidi w:val="0"/>
              <w:spacing w:after="0" w:line="240" w:lineRule="auto"/>
              <w:jc w:val="right"/>
              <w:rPr>
                <w:rFonts w:ascii="Times New Roman" w:hAnsi="Times New Roman" w:cs="Times New Roman"/>
                <w:b/>
                <w:bCs/>
                <w:sz w:val="20"/>
                <w:szCs w:val="20"/>
                <w:lang w:eastAsia="sk-SK"/>
              </w:rPr>
            </w:pPr>
            <w:r w:rsidRPr="00C15711">
              <w:rPr>
                <w:rFonts w:ascii="Times New Roman" w:hAnsi="Times New Roman" w:cs="Times New Roman"/>
                <w:b/>
                <w:sz w:val="20"/>
                <w:szCs w:val="20"/>
                <w:lang w:eastAsia="sk-SK"/>
              </w:rPr>
              <w:t>-14 812 584 </w:t>
            </w:r>
            <w:r w:rsidRPr="00C15711">
              <w:rPr>
                <w:rFonts w:ascii="Times New Roman" w:hAnsi="Times New Roman" w:cs="Times New Roman"/>
                <w:b/>
                <w:bCs/>
                <w:sz w:val="20"/>
                <w:szCs w:val="20"/>
                <w:lang w:eastAsia="sk-SK"/>
              </w:rPr>
              <w:t> </w:t>
            </w:r>
          </w:p>
          <w:p w:rsidR="00C15711" w:rsidRPr="00C15711" w:rsidP="00C15711">
            <w:pPr>
              <w:bidi w:val="0"/>
              <w:spacing w:after="0" w:line="240" w:lineRule="auto"/>
              <w:jc w:val="right"/>
              <w:rPr>
                <w:rFonts w:ascii="Times New Roman" w:hAnsi="Times New Roman" w:cs="Times New Roman"/>
                <w:b/>
                <w:sz w:val="20"/>
                <w:szCs w:val="20"/>
                <w:lang w:eastAsia="sk-SK"/>
              </w:rPr>
            </w:pPr>
            <w:r w:rsidRPr="00C15711">
              <w:rPr>
                <w:rFonts w:ascii="Times New Roman" w:hAnsi="Times New Roman" w:cs="Times New Roman"/>
                <w:b/>
                <w:sz w:val="20"/>
                <w:szCs w:val="20"/>
                <w:lang w:eastAsia="sk-SK"/>
              </w:rPr>
              <w:t xml:space="preserve">  14 812 584 </w:t>
            </w:r>
            <w:r w:rsidRPr="00C15711">
              <w:rPr>
                <w:rFonts w:ascii="Times New Roman" w:hAnsi="Times New Roman" w:cs="Times New Roman"/>
                <w:b/>
                <w:bCs/>
                <w:sz w:val="20"/>
                <w:szCs w:val="20"/>
                <w:lang w:eastAsia="sk-SK"/>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b/>
                <w:sz w:val="20"/>
                <w:szCs w:val="20"/>
                <w:lang w:eastAsia="sk-SK"/>
              </w:rPr>
            </w:pPr>
          </w:p>
          <w:p w:rsidR="00C15711" w:rsidRPr="00C15711" w:rsidP="00C15711">
            <w:pPr>
              <w:bidi w:val="0"/>
              <w:spacing w:after="0" w:line="240" w:lineRule="auto"/>
              <w:jc w:val="right"/>
              <w:rPr>
                <w:rFonts w:ascii="Times New Roman" w:hAnsi="Times New Roman" w:cs="Times New Roman"/>
                <w:b/>
                <w:sz w:val="20"/>
                <w:szCs w:val="20"/>
                <w:lang w:eastAsia="sk-SK"/>
              </w:rPr>
            </w:pPr>
          </w:p>
          <w:p w:rsidR="00C15711" w:rsidRPr="00C15711" w:rsidP="00C15711">
            <w:pPr>
              <w:bidi w:val="0"/>
              <w:spacing w:after="0" w:line="240" w:lineRule="auto"/>
              <w:jc w:val="right"/>
              <w:rPr>
                <w:rFonts w:ascii="Times New Roman" w:hAnsi="Times New Roman" w:cs="Times New Roman"/>
                <w:b/>
                <w:bCs/>
                <w:sz w:val="20"/>
                <w:szCs w:val="20"/>
                <w:lang w:eastAsia="sk-SK"/>
              </w:rPr>
            </w:pPr>
            <w:r w:rsidRPr="00C15711">
              <w:rPr>
                <w:rFonts w:ascii="Times New Roman" w:hAnsi="Times New Roman" w:cs="Times New Roman"/>
                <w:b/>
                <w:sz w:val="20"/>
                <w:szCs w:val="20"/>
                <w:lang w:eastAsia="sk-SK"/>
              </w:rPr>
              <w:t>-14 812 584 </w:t>
            </w:r>
            <w:r w:rsidRPr="00C15711">
              <w:rPr>
                <w:rFonts w:ascii="Times New Roman" w:hAnsi="Times New Roman" w:cs="Times New Roman"/>
                <w:b/>
                <w:bCs/>
                <w:sz w:val="20"/>
                <w:szCs w:val="20"/>
                <w:lang w:eastAsia="sk-SK"/>
              </w:rPr>
              <w:t> </w:t>
            </w:r>
          </w:p>
          <w:p w:rsidR="00C15711" w:rsidRPr="00C15711" w:rsidP="00C15711">
            <w:pPr>
              <w:bidi w:val="0"/>
              <w:spacing w:after="0" w:line="240" w:lineRule="auto"/>
              <w:jc w:val="right"/>
              <w:rPr>
                <w:rFonts w:ascii="Times New Roman" w:hAnsi="Times New Roman" w:cs="Times New Roman"/>
                <w:b/>
                <w:sz w:val="20"/>
                <w:szCs w:val="20"/>
                <w:lang w:eastAsia="sk-SK"/>
              </w:rPr>
            </w:pPr>
            <w:r w:rsidRPr="00C15711">
              <w:rPr>
                <w:rFonts w:ascii="Times New Roman" w:hAnsi="Times New Roman" w:cs="Times New Roman"/>
                <w:b/>
                <w:sz w:val="20"/>
                <w:szCs w:val="20"/>
                <w:lang w:eastAsia="sk-SK"/>
              </w:rPr>
              <w:t xml:space="preserve">  14 812 584 </w:t>
            </w:r>
            <w:r w:rsidRPr="00C15711">
              <w:rPr>
                <w:rFonts w:ascii="Times New Roman" w:hAnsi="Times New Roman" w:cs="Times New Roman"/>
                <w:b/>
                <w:bCs/>
                <w:sz w:val="20"/>
                <w:szCs w:val="20"/>
                <w:lang w:eastAsia="sk-SK"/>
              </w:rPr>
              <w:t> </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b/>
                <w:sz w:val="20"/>
                <w:szCs w:val="20"/>
                <w:lang w:eastAsia="sk-SK"/>
              </w:rPr>
            </w:pPr>
            <w:r w:rsidRPr="00C15711">
              <w:rPr>
                <w:rFonts w:ascii="Times New Roman" w:hAnsi="Times New Roman" w:cs="Times New Roman"/>
                <w:b/>
                <w:bCs/>
                <w:sz w:val="20"/>
                <w:szCs w:val="20"/>
                <w:lang w:eastAsia="sk-SK"/>
              </w:rPr>
              <w:t> </w:t>
            </w:r>
          </w:p>
          <w:p w:rsidR="00C15711" w:rsidRPr="00C15711" w:rsidP="00C15711">
            <w:pPr>
              <w:bidi w:val="0"/>
              <w:spacing w:after="0" w:line="240" w:lineRule="auto"/>
              <w:jc w:val="right"/>
              <w:rPr>
                <w:rFonts w:ascii="Times New Roman" w:hAnsi="Times New Roman" w:cs="Times New Roman"/>
                <w:b/>
                <w:sz w:val="20"/>
                <w:szCs w:val="20"/>
                <w:lang w:eastAsia="sk-SK"/>
              </w:rPr>
            </w:pPr>
          </w:p>
          <w:p w:rsidR="00C15711" w:rsidRPr="00C15711" w:rsidP="00C15711">
            <w:pPr>
              <w:bidi w:val="0"/>
              <w:spacing w:after="0" w:line="240" w:lineRule="auto"/>
              <w:jc w:val="right"/>
              <w:rPr>
                <w:rFonts w:ascii="Times New Roman" w:hAnsi="Times New Roman" w:cs="Times New Roman"/>
                <w:b/>
                <w:bCs/>
                <w:sz w:val="20"/>
                <w:szCs w:val="20"/>
                <w:lang w:eastAsia="sk-SK"/>
              </w:rPr>
            </w:pPr>
            <w:r w:rsidRPr="00C15711">
              <w:rPr>
                <w:rFonts w:ascii="Times New Roman" w:hAnsi="Times New Roman" w:cs="Times New Roman"/>
                <w:b/>
                <w:sz w:val="20"/>
                <w:szCs w:val="20"/>
                <w:lang w:eastAsia="sk-SK"/>
              </w:rPr>
              <w:t>-14 812 584 </w:t>
            </w:r>
            <w:r w:rsidRPr="00C15711">
              <w:rPr>
                <w:rFonts w:ascii="Times New Roman" w:hAnsi="Times New Roman" w:cs="Times New Roman"/>
                <w:b/>
                <w:bCs/>
                <w:sz w:val="20"/>
                <w:szCs w:val="20"/>
                <w:lang w:eastAsia="sk-SK"/>
              </w:rPr>
              <w:t> </w:t>
            </w:r>
          </w:p>
          <w:p w:rsidR="00C15711" w:rsidRPr="00C15711" w:rsidP="00C15711">
            <w:pPr>
              <w:bidi w:val="0"/>
              <w:spacing w:after="0" w:line="240" w:lineRule="auto"/>
              <w:jc w:val="right"/>
              <w:rPr>
                <w:rFonts w:ascii="Times New Roman" w:hAnsi="Times New Roman" w:cs="Times New Roman"/>
                <w:b/>
                <w:sz w:val="20"/>
                <w:szCs w:val="20"/>
                <w:lang w:eastAsia="sk-SK"/>
              </w:rPr>
            </w:pPr>
            <w:r w:rsidRPr="00C15711">
              <w:rPr>
                <w:rFonts w:ascii="Times New Roman" w:hAnsi="Times New Roman" w:cs="Times New Roman"/>
                <w:b/>
                <w:sz w:val="20"/>
                <w:szCs w:val="20"/>
                <w:lang w:eastAsia="sk-SK"/>
              </w:rPr>
              <w:t xml:space="preserve">  14 812 584 </w:t>
            </w:r>
            <w:r w:rsidRPr="00C15711">
              <w:rPr>
                <w:rFonts w:ascii="Times New Roman" w:hAnsi="Times New Roman" w:cs="Times New Roman"/>
                <w:b/>
                <w:bCs/>
                <w:sz w:val="20"/>
                <w:szCs w:val="20"/>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Poistné a príspevok do poisťovní (620)</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 -1 306 255</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-5 176 998 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-5 176 998  </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b/>
                <w:bCs/>
                <w:sz w:val="20"/>
                <w:szCs w:val="20"/>
                <w:lang w:eastAsia="sk-SK"/>
              </w:rPr>
              <w:t>-5 176 998  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27"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520"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5"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none" w:sz="0" w:space="0" w:color="auto"/>
              <w:bottom w:val="none" w:sz="0" w:space="0" w:color="auto"/>
              <w:right w:val="none" w:sz="0" w:space="0" w:color="auto"/>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Poznámky:</w:t>
            </w:r>
          </w:p>
        </w:tc>
        <w:tc>
          <w:tcPr>
            <w:tcW w:w="1427"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520"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5"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12020"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14379"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Poistné tvorí podiel osobných výdavkov vo výške v priemere 34,95% mzdových výdavkov.</w:t>
            </w:r>
          </w:p>
        </w:tc>
      </w:tr>
      <w:tr>
        <w:tblPrEx>
          <w:tblW w:w="14379" w:type="dxa"/>
          <w:tblCellMar>
            <w:left w:w="0" w:type="dxa"/>
            <w:right w:w="0" w:type="dxa"/>
          </w:tblCellMar>
        </w:tblPrEx>
        <w:trPr>
          <w:trHeight w:val="256"/>
        </w:trPr>
        <w:tc>
          <w:tcPr>
            <w:tcW w:w="9127" w:type="dxa"/>
            <w:gridSpan w:val="4"/>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Kategórie 610 a 620 sú z tejto prílohy automaticky prenášané do príslušných kategórií prílohy „výdavky“</w:t>
            </w:r>
          </w:p>
        </w:tc>
        <w:tc>
          <w:tcPr>
            <w:tcW w:w="1418"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15"/>
        </w:trPr>
        <w:tc>
          <w:tcPr>
            <w:tcW w:w="564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27"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2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537"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8"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75"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888"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71"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 </w:t>
      </w:r>
    </w:p>
    <w:p w:rsidR="00C15711" w:rsidRPr="00C15711" w:rsidP="00C15711">
      <w:pPr>
        <w:bidi w:val="0"/>
        <w:spacing w:after="0" w:line="240" w:lineRule="auto"/>
        <w:rPr>
          <w:rFonts w:ascii="Times New Roman" w:hAnsi="Times New Roman" w:cs="Times New Roman"/>
          <w:b/>
          <w:bCs/>
          <w:sz w:val="24"/>
          <w:szCs w:val="24"/>
          <w:lang w:eastAsia="sk-SK"/>
        </w:rPr>
      </w:pPr>
    </w:p>
    <w:p w:rsidR="00C15711" w:rsidRPr="00C15711" w:rsidP="00C15711">
      <w:pPr>
        <w:bidi w:val="0"/>
        <w:spacing w:after="0" w:line="240" w:lineRule="auto"/>
        <w:rPr>
          <w:rFonts w:ascii="Times New Roman" w:hAnsi="Times New Roman" w:cs="Times New Roman"/>
          <w:b/>
          <w:bCs/>
          <w:sz w:val="24"/>
          <w:szCs w:val="24"/>
          <w:lang w:eastAsia="sk-SK"/>
        </w:rPr>
      </w:pPr>
    </w:p>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rPr>
          <w:rFonts w:ascii="Times New Roman" w:hAnsi="Times New Roman" w:cs="Times New Roman"/>
          <w:b/>
          <w:bCs/>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w:t>
      </w:r>
      <w:r w:rsidRPr="00C15711">
        <w:rPr>
          <w:rFonts w:ascii="Times New Roman" w:hAnsi="Times New Roman" w:cs="Times New Roman"/>
          <w:sz w:val="24"/>
          <w:szCs w:val="24"/>
          <w:lang w:eastAsia="sk-SK"/>
        </w:rPr>
        <w:t>              Tabuľka č. 6/d</w:t>
      </w:r>
    </w:p>
    <w:p w:rsidR="00C15711" w:rsidRPr="00C15711" w:rsidP="00C15711">
      <w:pPr>
        <w:tabs>
          <w:tab w:val="num" w:pos="1080"/>
        </w:tabs>
        <w:bidi w:val="0"/>
        <w:spacing w:after="0" w:line="240" w:lineRule="auto"/>
        <w:jc w:val="both"/>
        <w:rPr>
          <w:rFonts w:ascii="Times New Roman" w:hAnsi="Times New Roman" w:cs="Times New Roman"/>
          <w:b/>
          <w:bCs/>
          <w:caps/>
          <w:sz w:val="24"/>
          <w:szCs w:val="20"/>
          <w:u w:val="single"/>
          <w:lang w:eastAsia="sk-SK"/>
        </w:rPr>
      </w:pPr>
      <w:r w:rsidRPr="00C15711">
        <w:rPr>
          <w:rFonts w:ascii="Times New Roman" w:hAnsi="Times New Roman" w:cs="Times New Roman"/>
          <w:b/>
          <w:bCs/>
          <w:caps/>
          <w:sz w:val="24"/>
          <w:szCs w:val="20"/>
          <w:u w:val="single"/>
          <w:lang w:eastAsia="sk-SK"/>
        </w:rPr>
        <w:t>ministerstvo dopravy, výstavby a regionálneho rozvoja SR</w:t>
      </w:r>
    </w:p>
    <w:p w:rsidR="00C15711" w:rsidRPr="00C15711" w:rsidP="00C15711">
      <w:pPr>
        <w:bidi w:val="0"/>
        <w:spacing w:after="0" w:line="240" w:lineRule="auto"/>
        <w:jc w:val="both"/>
        <w:rPr>
          <w:rFonts w:ascii="Times New Roman" w:hAnsi="Times New Roman" w:cs="Times New Roman"/>
          <w:sz w:val="24"/>
          <w:szCs w:val="24"/>
          <w:lang w:eastAsia="sk-SK"/>
        </w:rPr>
      </w:pPr>
    </w:p>
    <w:tbl>
      <w:tblPr>
        <w:tblStyle w:val="TableNormal"/>
        <w:tblpPr w:leftFromText="141" w:rightFromText="141" w:vertAnchor="text" w:horzAnchor="margin" w:tblpXSpec="center" w:tblpY="170"/>
        <w:tblW w:w="14379" w:type="dxa"/>
        <w:tblCellMar>
          <w:left w:w="0" w:type="dxa"/>
          <w:right w:w="0" w:type="dxa"/>
        </w:tblCellMar>
      </w:tblPr>
      <w:tblGrid>
        <w:gridCol w:w="5643"/>
        <w:gridCol w:w="1427"/>
        <w:gridCol w:w="1520"/>
        <w:gridCol w:w="537"/>
        <w:gridCol w:w="1418"/>
        <w:gridCol w:w="1475"/>
        <w:gridCol w:w="888"/>
        <w:gridCol w:w="1471"/>
      </w:tblGrid>
      <w:tr>
        <w:tblPrEx>
          <w:tblW w:w="14379" w:type="dxa"/>
          <w:tblCellMar>
            <w:left w:w="0" w:type="dxa"/>
            <w:right w:w="0" w:type="dxa"/>
          </w:tblCellMar>
        </w:tblPrEx>
        <w:trPr>
          <w:trHeight w:val="256"/>
        </w:trPr>
        <w:tc>
          <w:tcPr>
            <w:tcW w:w="564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4379" w:type="dxa"/>
          <w:tblCellMar>
            <w:left w:w="0" w:type="dxa"/>
            <w:right w:w="0" w:type="dxa"/>
          </w:tblCellMar>
        </w:tblPrEx>
        <w:trPr>
          <w:trHeight w:val="256"/>
        </w:trPr>
        <w:tc>
          <w:tcPr>
            <w:tcW w:w="5643" w:type="dxa"/>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42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52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Počet zamestnancov celkom</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V tom: MDVaRR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-363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363</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-363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363</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-363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363</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-363</w:t>
            </w:r>
          </w:p>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363</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Priemerný mzdový výdavok (v eurách)</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747,1</w:t>
            </w: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749,2</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749,2</w:t>
            </w: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749,2</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Osobné výdavky celkom (v eurách)</w:t>
            </w:r>
          </w:p>
        </w:tc>
        <w:tc>
          <w:tcPr>
            <w:tcW w:w="1427"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 -1 101 040</w:t>
            </w:r>
          </w:p>
        </w:tc>
        <w:tc>
          <w:tcPr>
            <w:tcW w:w="152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 -4 404 161</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-4 404 168</w:t>
            </w:r>
          </w:p>
        </w:tc>
        <w:tc>
          <w:tcPr>
            <w:tcW w:w="14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-4 404 168</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Mzdy, platy, služobné príjmy a ostatné osobné vyrovnania (610)</w:t>
            </w:r>
          </w:p>
          <w:p w:rsidR="00C15711" w:rsidRPr="00C15711" w:rsidP="00C15711">
            <w:pPr>
              <w:bidi w:val="0"/>
              <w:spacing w:after="0" w:line="240" w:lineRule="auto"/>
              <w:rPr>
                <w:rFonts w:ascii="Times New Roman" w:hAnsi="Times New Roman" w:cs="Times New Roman"/>
                <w:sz w:val="20"/>
                <w:szCs w:val="20"/>
                <w:lang w:eastAsia="sk-SK"/>
              </w:rPr>
            </w:pPr>
            <w:r w:rsidRPr="00C15711">
              <w:rPr>
                <w:rFonts w:ascii="Times New Roman" w:hAnsi="Times New Roman" w:cs="Times New Roman"/>
                <w:sz w:val="20"/>
                <w:szCs w:val="20"/>
                <w:lang w:eastAsia="sk-SK"/>
              </w:rPr>
              <w:t>V tom:  MDVaRR SR</w:t>
            </w:r>
          </w:p>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MV SR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 -815 841</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xml:space="preserve">   815 841</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 -3 263 368</w:t>
            </w:r>
          </w:p>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 xml:space="preserve">  3 263 368</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-3 263 367</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xml:space="preserve">  3 263 367 </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-3 263 367</w:t>
            </w: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xml:space="preserve">  3 263 367 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Poistné a príspevok do poisťovní (620)</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-285 199</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-1 140 793 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-1 140 801 </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-1 140 801 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4"/>
                <w:szCs w:val="24"/>
                <w:lang w:eastAsia="sk-SK"/>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27"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520"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5"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none" w:sz="0" w:space="0" w:color="auto"/>
              <w:bottom w:val="none" w:sz="0" w:space="0" w:color="auto"/>
              <w:right w:val="none" w:sz="0" w:space="0" w:color="auto"/>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Poznámky:</w:t>
            </w:r>
          </w:p>
        </w:tc>
        <w:tc>
          <w:tcPr>
            <w:tcW w:w="1427"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520"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5"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12020"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14379"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Poistné tvorí podiel osobných výdavkov vo výške v priemere 34,95% mzdových výdavkov.</w:t>
            </w:r>
          </w:p>
        </w:tc>
      </w:tr>
      <w:tr>
        <w:tblPrEx>
          <w:tblW w:w="14379" w:type="dxa"/>
          <w:tblCellMar>
            <w:left w:w="0" w:type="dxa"/>
            <w:right w:w="0" w:type="dxa"/>
          </w:tblCellMar>
        </w:tblPrEx>
        <w:trPr>
          <w:trHeight w:val="256"/>
        </w:trPr>
        <w:tc>
          <w:tcPr>
            <w:tcW w:w="9127" w:type="dxa"/>
            <w:gridSpan w:val="4"/>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Kategórie 610 a 620 sú z tejto prílohy automaticky prenášané do príslušných kategórií prílohy „výdavky“</w:t>
            </w:r>
          </w:p>
        </w:tc>
        <w:tc>
          <w:tcPr>
            <w:tcW w:w="1418"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15"/>
        </w:trPr>
        <w:tc>
          <w:tcPr>
            <w:tcW w:w="564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27"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2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537"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8"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75"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888"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71"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bCs/>
          <w:sz w:val="24"/>
          <w:szCs w:val="24"/>
          <w:lang w:eastAsia="sk-SK"/>
        </w:rPr>
      </w:pPr>
      <w:r w:rsidRPr="00C15711">
        <w:rPr>
          <w:rFonts w:ascii="Times New Roman" w:hAnsi="Times New Roman" w:cs="Times New Roman"/>
          <w:bCs/>
          <w:sz w:val="24"/>
          <w:szCs w:val="24"/>
          <w:lang w:eastAsia="sk-SK"/>
        </w:rPr>
        <w:t>Príloha č. 13.a</w:t>
      </w:r>
    </w:p>
    <w:p w:rsidR="00C15711" w:rsidRPr="00C15711" w:rsidP="00C15711">
      <w:pPr>
        <w:bidi w:val="0"/>
        <w:spacing w:after="0" w:line="240" w:lineRule="auto"/>
        <w:jc w:val="right"/>
        <w:rPr>
          <w:rFonts w:ascii="Times New Roman" w:hAnsi="Times New Roman" w:cs="Times New Roman"/>
          <w:sz w:val="24"/>
          <w:szCs w:val="24"/>
          <w:lang w:eastAsia="sk-SK"/>
        </w:rPr>
      </w:pPr>
    </w:p>
    <w:p w:rsidR="00C15711" w:rsidRPr="00C15711" w:rsidP="00C15711">
      <w:pPr>
        <w:bidi w:val="0"/>
        <w:spacing w:after="0" w:line="240" w:lineRule="auto"/>
        <w:jc w:val="right"/>
        <w:rPr>
          <w:rFonts w:ascii="Times New Roman" w:hAnsi="Times New Roman" w:cs="Times New Roman"/>
          <w:sz w:val="24"/>
          <w:szCs w:val="24"/>
          <w:lang w:eastAsia="sk-SK"/>
        </w:rPr>
      </w:pPr>
      <w:r w:rsidRPr="00C15711">
        <w:rPr>
          <w:rFonts w:ascii="Times New Roman" w:hAnsi="Times New Roman" w:cs="Times New Roman"/>
          <w:sz w:val="20"/>
          <w:szCs w:val="20"/>
          <w:lang w:eastAsia="sk-SK"/>
        </w:rPr>
        <w:t xml:space="preserve">                                                                                                                                                                                                                       </w:t>
      </w:r>
      <w:r w:rsidRPr="00C15711">
        <w:rPr>
          <w:rFonts w:ascii="Times New Roman" w:hAnsi="Times New Roman" w:cs="Times New Roman"/>
          <w:sz w:val="24"/>
          <w:szCs w:val="24"/>
          <w:lang w:eastAsia="sk-SK"/>
        </w:rPr>
        <w:t>              Tabuľka č. 6/e</w:t>
      </w:r>
    </w:p>
    <w:p w:rsidR="00C15711" w:rsidRPr="00C15711" w:rsidP="00C15711">
      <w:pPr>
        <w:tabs>
          <w:tab w:val="num" w:pos="1080"/>
        </w:tabs>
        <w:bidi w:val="0"/>
        <w:spacing w:after="0" w:line="240" w:lineRule="auto"/>
        <w:jc w:val="both"/>
        <w:rPr>
          <w:rFonts w:ascii="Times New Roman" w:hAnsi="Times New Roman" w:cs="Times New Roman"/>
          <w:b/>
          <w:bCs/>
          <w:sz w:val="24"/>
          <w:szCs w:val="20"/>
          <w:u w:val="single"/>
          <w:lang w:eastAsia="sk-SK"/>
        </w:rPr>
      </w:pPr>
      <w:r w:rsidRPr="00C15711">
        <w:rPr>
          <w:rFonts w:ascii="Times New Roman" w:hAnsi="Times New Roman" w:cs="Times New Roman"/>
          <w:b/>
          <w:bCs/>
          <w:sz w:val="24"/>
          <w:szCs w:val="20"/>
          <w:u w:val="single"/>
          <w:lang w:eastAsia="sk-SK"/>
        </w:rPr>
        <w:t>MINISTERSTVO VNÚTRA SR</w:t>
      </w:r>
    </w:p>
    <w:p w:rsidR="00C15711" w:rsidRPr="00C15711" w:rsidP="00C15711">
      <w:pPr>
        <w:bidi w:val="0"/>
        <w:spacing w:after="0" w:line="240" w:lineRule="auto"/>
        <w:jc w:val="both"/>
        <w:rPr>
          <w:rFonts w:ascii="Times New Roman" w:hAnsi="Times New Roman" w:cs="Times New Roman"/>
          <w:sz w:val="24"/>
          <w:szCs w:val="24"/>
          <w:lang w:eastAsia="sk-SK"/>
        </w:rPr>
      </w:pPr>
    </w:p>
    <w:tbl>
      <w:tblPr>
        <w:tblStyle w:val="TableNormal"/>
        <w:tblpPr w:leftFromText="141" w:rightFromText="141" w:vertAnchor="text" w:horzAnchor="margin" w:tblpXSpec="center" w:tblpY="170"/>
        <w:tblW w:w="14379" w:type="dxa"/>
        <w:tblCellMar>
          <w:left w:w="0" w:type="dxa"/>
          <w:right w:w="0" w:type="dxa"/>
        </w:tblCellMar>
      </w:tblPr>
      <w:tblGrid>
        <w:gridCol w:w="5643"/>
        <w:gridCol w:w="1427"/>
        <w:gridCol w:w="1520"/>
        <w:gridCol w:w="537"/>
        <w:gridCol w:w="1418"/>
        <w:gridCol w:w="1475"/>
        <w:gridCol w:w="888"/>
        <w:gridCol w:w="1471"/>
      </w:tblGrid>
      <w:tr>
        <w:tblPrEx>
          <w:tblW w:w="14379" w:type="dxa"/>
          <w:tblCellMar>
            <w:left w:w="0" w:type="dxa"/>
            <w:right w:w="0" w:type="dxa"/>
          </w:tblCellMar>
        </w:tblPrEx>
        <w:trPr>
          <w:trHeight w:val="256"/>
        </w:trPr>
        <w:tc>
          <w:tcPr>
            <w:tcW w:w="564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poznámka</w:t>
            </w:r>
          </w:p>
        </w:tc>
      </w:tr>
      <w:tr>
        <w:tblPrEx>
          <w:tblW w:w="14379" w:type="dxa"/>
          <w:tblCellMar>
            <w:left w:w="0" w:type="dxa"/>
            <w:right w:w="0" w:type="dxa"/>
          </w:tblCellMar>
        </w:tblPrEx>
        <w:trPr>
          <w:trHeight w:val="256"/>
        </w:trPr>
        <w:tc>
          <w:tcPr>
            <w:tcW w:w="5643" w:type="dxa"/>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c>
          <w:tcPr>
            <w:tcW w:w="142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2013</w:t>
            </w:r>
          </w:p>
        </w:tc>
        <w:tc>
          <w:tcPr>
            <w:tcW w:w="152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2014</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2015</w:t>
            </w:r>
          </w:p>
        </w:tc>
        <w:tc>
          <w:tcPr>
            <w:tcW w:w="14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5711" w:rsidRPr="00C15711" w:rsidP="00C15711">
            <w:pPr>
              <w:bidi w:val="0"/>
              <w:spacing w:after="0" w:line="70" w:lineRule="atLeast"/>
              <w:jc w:val="center"/>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2016</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C15711" w:rsidRPr="00C15711" w:rsidP="00C15711">
            <w:pPr>
              <w:bidi w:val="0"/>
              <w:spacing w:after="0" w:line="240" w:lineRule="auto"/>
              <w:rPr>
                <w:rFonts w:ascii="Times New Roman" w:hAnsi="Times New Roman" w:cs="Times New Roman"/>
                <w:sz w:val="24"/>
                <w:szCs w:val="24"/>
                <w:lang w:eastAsia="sk-SK"/>
              </w:rPr>
            </w:pP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Počet zamestnancov celkom</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4 023</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4 023</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4 023</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4 023</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0</w:t>
            </w: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0</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0</w:t>
            </w: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0</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Priemerný mzdový výdavok (v eurách)</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641</w:t>
            </w: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641</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641</w:t>
            </w: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jc w:val="right"/>
              <w:rPr>
                <w:rFonts w:ascii="Times New Roman" w:hAnsi="Times New Roman" w:cs="Times New Roman"/>
                <w:sz w:val="24"/>
                <w:szCs w:val="24"/>
                <w:lang w:eastAsia="sk-SK"/>
              </w:rPr>
            </w:pPr>
            <w:r w:rsidRPr="00C15711">
              <w:rPr>
                <w:rFonts w:ascii="Times New Roman" w:hAnsi="Times New Roman" w:cs="Times New Roman"/>
                <w:sz w:val="24"/>
                <w:szCs w:val="24"/>
                <w:lang w:eastAsia="sk-SK"/>
              </w:rPr>
              <w:t>641</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center"/>
              <w:rPr>
                <w:rFonts w:ascii="Times New Roman" w:hAnsi="Times New Roman" w:cs="Times New Roman"/>
                <w:sz w:val="20"/>
                <w:szCs w:val="20"/>
                <w:lang w:eastAsia="sk-SK"/>
              </w:rPr>
            </w:pPr>
          </w:p>
        </w:tc>
        <w:tc>
          <w:tcPr>
            <w:tcW w:w="1520" w:type="dxa"/>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-14</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-14</w:t>
            </w:r>
          </w:p>
        </w:tc>
        <w:tc>
          <w:tcPr>
            <w:tcW w:w="14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-14</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Osobné výdavky celkom (v eurách)</w:t>
            </w:r>
          </w:p>
        </w:tc>
        <w:tc>
          <w:tcPr>
            <w:tcW w:w="1427"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jc w:val="right"/>
              <w:rPr>
                <w:rFonts w:ascii="Times New Roman" w:hAnsi="Times New Roman" w:cs="Times New Roman"/>
                <w:b/>
                <w:sz w:val="20"/>
                <w:szCs w:val="20"/>
                <w:lang w:eastAsia="sk-SK"/>
              </w:rPr>
            </w:pPr>
            <w:r w:rsidRPr="00C15711">
              <w:rPr>
                <w:rFonts w:ascii="Times New Roman" w:hAnsi="Times New Roman" w:cs="Times New Roman"/>
                <w:b/>
                <w:sz w:val="20"/>
                <w:szCs w:val="20"/>
                <w:lang w:eastAsia="sk-SK"/>
              </w:rPr>
              <w:t>10 496 495</w:t>
            </w:r>
          </w:p>
        </w:tc>
        <w:tc>
          <w:tcPr>
            <w:tcW w:w="152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40 687 257</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40 687 264</w:t>
            </w:r>
          </w:p>
        </w:tc>
        <w:tc>
          <w:tcPr>
            <w:tcW w:w="14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40 687 264</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color w:val="FFFFFF"/>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 xml:space="preserve">Mzdy, platy, služobné príjmy a ostatné osobné vyrovnania (610) </w:t>
            </w:r>
          </w:p>
        </w:tc>
        <w:tc>
          <w:tcPr>
            <w:tcW w:w="1427" w:type="dxa"/>
            <w:tcBorders>
              <w:top w:val="none" w:sz="0" w:space="0" w:color="auto"/>
              <w:left w:val="none" w:sz="0" w:space="0" w:color="auto"/>
              <w:bottom w:val="single" w:sz="4" w:space="0" w:color="000000"/>
              <w:right w:val="single" w:sz="4" w:space="0" w:color="000000"/>
            </w:tcBorders>
            <w:textDirection w:val="lrTb"/>
            <w:vAlign w:val="center"/>
          </w:tcPr>
          <w:p w:rsidR="00C15711" w:rsidRPr="00C15711" w:rsidP="00C15711">
            <w:pPr>
              <w:bidi w:val="0"/>
              <w:spacing w:after="0"/>
              <w:jc w:val="right"/>
              <w:rPr>
                <w:rFonts w:ascii="Times New Roman" w:hAnsi="Times New Roman" w:cs="Times New Roman"/>
                <w:color w:val="000000"/>
                <w:sz w:val="20"/>
                <w:szCs w:val="20"/>
                <w:lang w:eastAsia="sk-SK"/>
              </w:rPr>
            </w:pPr>
            <w:r w:rsidRPr="00C15711">
              <w:rPr>
                <w:rFonts w:ascii="Times New Roman" w:hAnsi="Times New Roman" w:cs="Times New Roman"/>
                <w:color w:val="000000"/>
                <w:sz w:val="20"/>
                <w:szCs w:val="20"/>
                <w:lang w:eastAsia="sk-SK"/>
              </w:rPr>
              <w:t>7 765 039</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30 922 766</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30 922 765</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30 922 765</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-773 075</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-773 075</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-773 075</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Poistné a príspevok do poisťovní (620)</w:t>
            </w:r>
          </w:p>
        </w:tc>
        <w:tc>
          <w:tcPr>
            <w:tcW w:w="1427" w:type="dxa"/>
            <w:tcBorders>
              <w:top w:val="none" w:sz="0" w:space="0" w:color="auto"/>
              <w:left w:val="none" w:sz="0" w:space="0" w:color="auto"/>
              <w:bottom w:val="single" w:sz="4" w:space="0" w:color="000000"/>
              <w:right w:val="single" w:sz="4" w:space="0" w:color="000000"/>
            </w:tcBorders>
            <w:textDirection w:val="lrTb"/>
            <w:vAlign w:val="center"/>
          </w:tcPr>
          <w:p w:rsidR="00C15711" w:rsidRPr="00C15711" w:rsidP="00C15711">
            <w:pPr>
              <w:bidi w:val="0"/>
              <w:spacing w:after="0"/>
              <w:jc w:val="right"/>
              <w:rPr>
                <w:rFonts w:ascii="Times New Roman" w:hAnsi="Times New Roman" w:cs="Times New Roman"/>
                <w:color w:val="000000"/>
                <w:sz w:val="20"/>
                <w:szCs w:val="20"/>
                <w:lang w:eastAsia="sk-SK"/>
              </w:rPr>
            </w:pPr>
            <w:r w:rsidRPr="00C15711">
              <w:rPr>
                <w:rFonts w:ascii="Times New Roman" w:hAnsi="Times New Roman" w:cs="Times New Roman"/>
                <w:color w:val="000000"/>
                <w:sz w:val="20"/>
                <w:szCs w:val="20"/>
                <w:lang w:eastAsia="sk-SK"/>
              </w:rPr>
              <w:t>2 731 456</w:t>
            </w: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10 807 754</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10 807 762</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10 807 762</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single" w:sz="4" w:space="0" w:color="000000"/>
              <w:bottom w:val="single" w:sz="4" w:space="0" w:color="000000"/>
              <w:right w:val="single" w:sz="4" w:space="0" w:color="000000"/>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   z toho vplyv na ŠR</w:t>
            </w:r>
          </w:p>
        </w:tc>
        <w:tc>
          <w:tcPr>
            <w:tcW w:w="1427"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p>
        </w:tc>
        <w:tc>
          <w:tcPr>
            <w:tcW w:w="1520" w:type="dxa"/>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-270 190</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-270 190</w:t>
            </w:r>
          </w:p>
        </w:tc>
        <w:tc>
          <w:tcPr>
            <w:tcW w:w="14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C15711" w:rsidRPr="00C15711" w:rsidP="00C15711">
            <w:pPr>
              <w:bidi w:val="0"/>
              <w:spacing w:after="0" w:line="240" w:lineRule="auto"/>
              <w:jc w:val="right"/>
              <w:rPr>
                <w:rFonts w:ascii="Times New Roman" w:hAnsi="Times New Roman" w:cs="Times New Roman"/>
                <w:sz w:val="20"/>
                <w:szCs w:val="20"/>
                <w:lang w:eastAsia="sk-SK"/>
              </w:rPr>
            </w:pPr>
            <w:r w:rsidRPr="00C15711">
              <w:rPr>
                <w:rFonts w:ascii="Times New Roman" w:hAnsi="Times New Roman" w:cs="Times New Roman"/>
                <w:sz w:val="20"/>
                <w:szCs w:val="20"/>
                <w:lang w:eastAsia="sk-SK"/>
              </w:rPr>
              <w:t>-270 190</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27"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520"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5"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5643" w:type="dxa"/>
            <w:tcBorders>
              <w:top w:val="none" w:sz="0" w:space="0" w:color="auto"/>
              <w:left w:val="none" w:sz="0" w:space="0" w:color="auto"/>
              <w:bottom w:val="none" w:sz="0" w:space="0" w:color="auto"/>
              <w:right w:val="none" w:sz="0" w:space="0" w:color="auto"/>
            </w:tcBorders>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b/>
                <w:bCs/>
                <w:sz w:val="24"/>
                <w:szCs w:val="24"/>
                <w:lang w:eastAsia="sk-SK"/>
              </w:rPr>
              <w:t>Poznámky:</w:t>
            </w:r>
          </w:p>
        </w:tc>
        <w:tc>
          <w:tcPr>
            <w:tcW w:w="1427"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520" w:type="dxa"/>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5"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12020"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256"/>
        </w:trPr>
        <w:tc>
          <w:tcPr>
            <w:tcW w:w="14379"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Poistné tvorí podiel osobných výdavkov vo výške v priemere 34,95% mzdových výdavkov.</w:t>
            </w:r>
          </w:p>
        </w:tc>
      </w:tr>
      <w:tr>
        <w:tblPrEx>
          <w:tblW w:w="14379" w:type="dxa"/>
          <w:tblCellMar>
            <w:left w:w="0" w:type="dxa"/>
            <w:right w:w="0" w:type="dxa"/>
          </w:tblCellMar>
        </w:tblPrEx>
        <w:trPr>
          <w:trHeight w:val="256"/>
        </w:trPr>
        <w:tc>
          <w:tcPr>
            <w:tcW w:w="9127" w:type="dxa"/>
            <w:gridSpan w:val="4"/>
            <w:tcBorders>
              <w:top w:val="none" w:sz="0" w:space="0" w:color="auto"/>
              <w:left w:val="none" w:sz="0" w:space="0" w:color="auto"/>
              <w:bottom w:val="none" w:sz="0" w:space="0" w:color="auto"/>
              <w:right w:val="none" w:sz="0" w:space="0" w:color="auto"/>
            </w:tcBorders>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Kategórie 610 a 620 sú z tejto prílohy automaticky prenášané do príslušných kategórií prílohy „výdavky“</w:t>
            </w:r>
          </w:p>
        </w:tc>
        <w:tc>
          <w:tcPr>
            <w:tcW w:w="1418"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c>
          <w:tcPr>
            <w:tcW w:w="147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C15711" w:rsidRPr="00C15711" w:rsidP="00C15711">
            <w:pPr>
              <w:bidi w:val="0"/>
              <w:spacing w:after="0" w:line="240" w:lineRule="auto"/>
              <w:rPr>
                <w:rFonts w:ascii="Times New Roman" w:hAnsi="Times New Roman" w:cs="Times New Roman"/>
                <w:sz w:val="24"/>
                <w:szCs w:val="24"/>
                <w:lang w:eastAsia="sk-SK"/>
              </w:rPr>
            </w:pPr>
            <w:r w:rsidRPr="00C15711">
              <w:rPr>
                <w:rFonts w:ascii="Times New Roman" w:hAnsi="Times New Roman" w:cs="Times New Roman"/>
                <w:sz w:val="24"/>
                <w:szCs w:val="24"/>
                <w:lang w:eastAsia="sk-SK"/>
              </w:rPr>
              <w:t> </w:t>
            </w:r>
          </w:p>
        </w:tc>
      </w:tr>
      <w:tr>
        <w:tblPrEx>
          <w:tblW w:w="14379" w:type="dxa"/>
          <w:tblCellMar>
            <w:left w:w="0" w:type="dxa"/>
            <w:right w:w="0" w:type="dxa"/>
          </w:tblCellMar>
        </w:tblPrEx>
        <w:trPr>
          <w:trHeight w:val="15"/>
        </w:trPr>
        <w:tc>
          <w:tcPr>
            <w:tcW w:w="5643"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27"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520"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537"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18"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75"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888"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c>
          <w:tcPr>
            <w:tcW w:w="1471" w:type="dxa"/>
            <w:tcBorders>
              <w:top w:val="nil"/>
              <w:left w:val="nil"/>
              <w:bottom w:val="nil"/>
              <w:right w:val="nil"/>
            </w:tcBorders>
            <w:textDirection w:val="lrTb"/>
            <w:vAlign w:val="center"/>
          </w:tcPr>
          <w:p w:rsidR="00C15711" w:rsidRPr="00C15711" w:rsidP="00C15711">
            <w:pPr>
              <w:bidi w:val="0"/>
              <w:spacing w:after="0" w:line="240" w:lineRule="auto"/>
              <w:rPr>
                <w:rFonts w:ascii="Times New Roman" w:hAnsi="Times New Roman" w:cs="Times New Roman"/>
                <w:sz w:val="2"/>
                <w:szCs w:val="24"/>
                <w:lang w:eastAsia="sk-SK"/>
              </w:rPr>
            </w:pPr>
          </w:p>
        </w:tc>
      </w:tr>
    </w:tbl>
    <w:p w:rsidR="00C15711" w:rsidRPr="00C15711" w:rsidP="00C15711">
      <w:pPr>
        <w:bidi w:val="0"/>
        <w:spacing w:after="0" w:line="240" w:lineRule="auto"/>
        <w:jc w:val="both"/>
        <w:rPr>
          <w:rFonts w:ascii="Times New Roman" w:hAnsi="Times New Roman" w:cs="Times New Roman"/>
          <w:sz w:val="24"/>
          <w:szCs w:val="24"/>
          <w:lang w:eastAsia="sk-SK"/>
        </w:rPr>
        <w:sectPr w:rsidSect="00C15711">
          <w:pgSz w:w="15840" w:h="12240" w:orient="landscape"/>
          <w:pgMar w:top="1418" w:right="1418" w:bottom="1418" w:left="1418" w:header="709" w:footer="709" w:gutter="0"/>
          <w:lnNumType w:distance="0"/>
          <w:cols w:space="708"/>
          <w:noEndnote w:val="0"/>
          <w:bidi w:val="0"/>
        </w:sectPr>
      </w:pPr>
    </w:p>
    <w:p w:rsidR="00C15711" w:rsidRPr="00C15711" w:rsidP="00C15711">
      <w:pPr>
        <w:keepNext/>
        <w:tabs>
          <w:tab w:val="left" w:pos="0"/>
        </w:tabs>
        <w:autoSpaceDE w:val="0"/>
        <w:autoSpaceDN w:val="0"/>
        <w:bidi w:val="0"/>
        <w:spacing w:after="0" w:line="240" w:lineRule="auto"/>
        <w:jc w:val="center"/>
        <w:outlineLvl w:val="1"/>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DOLOŽKA ZLUČITEĽNOSTI</w:t>
      </w:r>
    </w:p>
    <w:p w:rsidR="00C15711" w:rsidRPr="00C15711" w:rsidP="00C15711">
      <w:pPr>
        <w:tabs>
          <w:tab w:val="left" w:pos="4766"/>
        </w:tabs>
        <w:bidi w:val="0"/>
        <w:spacing w:after="0" w:line="240" w:lineRule="auto"/>
        <w:jc w:val="center"/>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právneho predpisu s právom Európskej únie</w:t>
      </w:r>
    </w:p>
    <w:p w:rsidR="00C15711" w:rsidRPr="00C15711" w:rsidP="00C15711">
      <w:pPr>
        <w:tabs>
          <w:tab w:val="left" w:pos="4766"/>
        </w:tabs>
        <w:bidi w:val="0"/>
        <w:spacing w:after="0" w:line="240" w:lineRule="auto"/>
        <w:jc w:val="center"/>
        <w:rPr>
          <w:rFonts w:ascii="Times New Roman" w:hAnsi="Times New Roman" w:cs="Times New Roman"/>
          <w:b/>
          <w:bCs/>
          <w:sz w:val="24"/>
          <w:szCs w:val="24"/>
          <w:lang w:eastAsia="sk-SK"/>
        </w:rPr>
      </w:pPr>
    </w:p>
    <w:p w:rsidR="00C15711" w:rsidRPr="00C15711" w:rsidP="00C15711">
      <w:pPr>
        <w:tabs>
          <w:tab w:val="left" w:pos="4766"/>
        </w:tabs>
        <w:bidi w:val="0"/>
        <w:spacing w:after="0" w:line="240" w:lineRule="auto"/>
        <w:jc w:val="center"/>
        <w:rPr>
          <w:rFonts w:ascii="Times New Roman" w:hAnsi="Times New Roman" w:cs="Times New Roman"/>
          <w:b/>
          <w:bCs/>
          <w:sz w:val="24"/>
          <w:szCs w:val="24"/>
          <w:lang w:eastAsia="sk-SK"/>
        </w:rPr>
      </w:pPr>
    </w:p>
    <w:p w:rsidR="00C15711" w:rsidRPr="00C15711" w:rsidP="00C15711">
      <w:pPr>
        <w:tabs>
          <w:tab w:val="left" w:pos="4766"/>
        </w:tabs>
        <w:bidi w:val="0"/>
        <w:spacing w:after="0" w:line="240" w:lineRule="auto"/>
        <w:jc w:val="center"/>
        <w:rPr>
          <w:rFonts w:ascii="Times New Roman" w:hAnsi="Times New Roman" w:cs="Times New Roman"/>
          <w:b/>
          <w:bCs/>
          <w:sz w:val="24"/>
          <w:szCs w:val="24"/>
          <w:lang w:eastAsia="sk-SK"/>
        </w:rPr>
      </w:pPr>
    </w:p>
    <w:p w:rsidR="00C15711" w:rsidRPr="00C15711" w:rsidP="00C15711">
      <w:pPr>
        <w:tabs>
          <w:tab w:val="left" w:pos="4766"/>
        </w:tabs>
        <w:bidi w:val="0"/>
        <w:spacing w:after="0" w:line="240" w:lineRule="auto"/>
        <w:jc w:val="both"/>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1. Predkladateľ právneho predpisu:</w:t>
      </w:r>
    </w:p>
    <w:p w:rsidR="00C15711" w:rsidRPr="00C15711" w:rsidP="00C15711">
      <w:pPr>
        <w:tabs>
          <w:tab w:val="left" w:pos="4766"/>
        </w:tabs>
        <w:bidi w:val="0"/>
        <w:spacing w:after="0" w:line="240" w:lineRule="auto"/>
        <w:ind w:firstLine="284"/>
        <w:jc w:val="both"/>
        <w:rPr>
          <w:rFonts w:ascii="Times New Roman" w:hAnsi="Times New Roman" w:cs="Times New Roman"/>
          <w:b/>
          <w:bCs/>
          <w:sz w:val="24"/>
          <w:szCs w:val="24"/>
          <w:lang w:eastAsia="sk-SK"/>
        </w:rPr>
      </w:pPr>
    </w:p>
    <w:p w:rsidR="00C15711" w:rsidRPr="00C15711" w:rsidP="00C15711">
      <w:pPr>
        <w:keepNext/>
        <w:tabs>
          <w:tab w:val="left" w:pos="4766"/>
        </w:tabs>
        <w:autoSpaceDE w:val="0"/>
        <w:autoSpaceDN w:val="0"/>
        <w:bidi w:val="0"/>
        <w:spacing w:after="0" w:line="240" w:lineRule="auto"/>
        <w:ind w:firstLine="284"/>
        <w:jc w:val="both"/>
        <w:outlineLvl w:val="2"/>
        <w:rPr>
          <w:rFonts w:ascii="Times New Roman" w:hAnsi="Times New Roman" w:cs="Times New Roman"/>
          <w:sz w:val="24"/>
          <w:szCs w:val="24"/>
          <w:lang w:eastAsia="sk-SK"/>
        </w:rPr>
      </w:pPr>
      <w:r w:rsidRPr="00C15711">
        <w:rPr>
          <w:rFonts w:ascii="Times New Roman" w:hAnsi="Times New Roman" w:cs="Times New Roman"/>
          <w:sz w:val="24"/>
          <w:szCs w:val="24"/>
          <w:lang w:eastAsia="sk-SK"/>
        </w:rPr>
        <w:t>Vláda Slovenskej republiky</w:t>
      </w:r>
    </w:p>
    <w:p w:rsidR="00C15711" w:rsidRPr="00C15711" w:rsidP="00C15711">
      <w:pPr>
        <w:keepNext/>
        <w:autoSpaceDE w:val="0"/>
        <w:autoSpaceDN w:val="0"/>
        <w:bidi w:val="0"/>
        <w:spacing w:after="0" w:line="240" w:lineRule="auto"/>
        <w:jc w:val="both"/>
        <w:outlineLvl w:val="2"/>
        <w:rPr>
          <w:rFonts w:ascii="Times New Roman" w:hAnsi="Times New Roman" w:cs="Times New Roman"/>
          <w:sz w:val="24"/>
          <w:szCs w:val="24"/>
          <w:lang w:eastAsia="sk-SK"/>
        </w:rPr>
      </w:pPr>
    </w:p>
    <w:p w:rsidR="00C15711" w:rsidRPr="00C15711" w:rsidP="00C15711">
      <w:pPr>
        <w:tabs>
          <w:tab w:val="left" w:pos="4766"/>
        </w:tabs>
        <w:bidi w:val="0"/>
        <w:spacing w:after="0" w:line="240" w:lineRule="auto"/>
        <w:jc w:val="both"/>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2. Názov návrhu právneho predpisu:</w:t>
      </w:r>
    </w:p>
    <w:p w:rsidR="00C15711" w:rsidRPr="00C15711" w:rsidP="00C15711">
      <w:pPr>
        <w:tabs>
          <w:tab w:val="left" w:pos="4766"/>
        </w:tabs>
        <w:bidi w:val="0"/>
        <w:spacing w:after="0" w:line="240" w:lineRule="auto"/>
        <w:ind w:firstLine="284"/>
        <w:jc w:val="both"/>
        <w:rPr>
          <w:rFonts w:ascii="Times New Roman" w:hAnsi="Times New Roman" w:cs="Times New Roman"/>
          <w:bCs/>
          <w:sz w:val="24"/>
          <w:szCs w:val="24"/>
          <w:lang w:eastAsia="sk-SK"/>
        </w:rPr>
      </w:pPr>
    </w:p>
    <w:p w:rsidR="00C15711" w:rsidRPr="00C15711" w:rsidP="00C15711">
      <w:pPr>
        <w:bidi w:val="0"/>
        <w:spacing w:after="0" w:line="240" w:lineRule="auto"/>
        <w:ind w:firstLine="284"/>
        <w:jc w:val="both"/>
        <w:rPr>
          <w:rFonts w:ascii="Times New Roman" w:hAnsi="Times New Roman" w:cs="Times New Roman"/>
          <w:bCs/>
          <w:sz w:val="24"/>
          <w:szCs w:val="24"/>
          <w:lang w:eastAsia="sk-SK"/>
        </w:rPr>
      </w:pPr>
      <w:r w:rsidRPr="00C15711">
        <w:rPr>
          <w:rFonts w:ascii="Times New Roman" w:hAnsi="Times New Roman" w:cs="Times New Roman"/>
          <w:sz w:val="24"/>
          <w:szCs w:val="24"/>
          <w:lang w:eastAsia="sk-SK"/>
        </w:rPr>
        <w:t>Návrh zákona o organizácii miestnej štátnej správy a o zmene a doplnení niektorých zákonov</w:t>
      </w:r>
    </w:p>
    <w:p w:rsidR="00C15711" w:rsidRPr="00C15711" w:rsidP="00C15711">
      <w:pPr>
        <w:bidi w:val="0"/>
        <w:spacing w:after="0" w:line="240" w:lineRule="auto"/>
        <w:ind w:left="360" w:hanging="360"/>
        <w:jc w:val="both"/>
        <w:rPr>
          <w:rFonts w:ascii="Times New Roman" w:hAnsi="Times New Roman" w:cs="Times New Roman"/>
          <w:sz w:val="24"/>
          <w:szCs w:val="24"/>
          <w:lang w:eastAsia="sk-SK"/>
        </w:rPr>
      </w:pPr>
    </w:p>
    <w:p w:rsidR="00C15711" w:rsidRPr="00C15711" w:rsidP="00C15711">
      <w:pPr>
        <w:tabs>
          <w:tab w:val="left" w:pos="4766"/>
        </w:tabs>
        <w:bidi w:val="0"/>
        <w:spacing w:after="0" w:line="240" w:lineRule="auto"/>
        <w:jc w:val="both"/>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3. Problematika návrhu právneho predpisu:</w:t>
      </w:r>
    </w:p>
    <w:p w:rsidR="00C15711" w:rsidRPr="00C15711" w:rsidP="00C15711">
      <w:pPr>
        <w:tabs>
          <w:tab w:val="left" w:pos="4766"/>
        </w:tabs>
        <w:bidi w:val="0"/>
        <w:spacing w:after="0" w:line="240" w:lineRule="auto"/>
        <w:ind w:firstLine="284"/>
        <w:jc w:val="both"/>
        <w:rPr>
          <w:rFonts w:ascii="Times New Roman" w:hAnsi="Times New Roman" w:cs="Times New Roman"/>
          <w:bCs/>
          <w:sz w:val="16"/>
          <w:szCs w:val="16"/>
          <w:lang w:eastAsia="sk-SK"/>
        </w:rPr>
      </w:pPr>
    </w:p>
    <w:p w:rsidR="00C15711" w:rsidRPr="00C15711" w:rsidP="00C15711">
      <w:pPr>
        <w:tabs>
          <w:tab w:val="left" w:pos="4766"/>
        </w:tabs>
        <w:bidi w:val="0"/>
        <w:spacing w:after="0" w:line="240" w:lineRule="auto"/>
        <w:ind w:firstLine="284"/>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a) nie je upravená v práve Európskej únie</w:t>
      </w:r>
    </w:p>
    <w:p w:rsidR="00C15711" w:rsidRPr="00C15711" w:rsidP="00C15711">
      <w:pPr>
        <w:tabs>
          <w:tab w:val="left" w:pos="4766"/>
        </w:tabs>
        <w:bidi w:val="0"/>
        <w:spacing w:after="0" w:line="240" w:lineRule="auto"/>
        <w:ind w:left="180" w:firstLine="104"/>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b) nie je obsiahnutá v judikatúre Súdneho dvora Európskej únie</w:t>
      </w:r>
    </w:p>
    <w:p w:rsidR="00C15711" w:rsidRPr="00C15711" w:rsidP="00C15711">
      <w:pPr>
        <w:tabs>
          <w:tab w:val="left" w:pos="4766"/>
        </w:tabs>
        <w:bidi w:val="0"/>
        <w:spacing w:after="0" w:line="240" w:lineRule="auto"/>
        <w:ind w:left="180" w:firstLine="246"/>
        <w:jc w:val="both"/>
        <w:rPr>
          <w:rFonts w:ascii="Times New Roman" w:hAnsi="Times New Roman" w:cs="Times New Roman"/>
          <w:sz w:val="32"/>
          <w:szCs w:val="32"/>
          <w:lang w:eastAsia="sk-SK"/>
        </w:rPr>
      </w:pPr>
    </w:p>
    <w:p w:rsidR="00C15711" w:rsidRPr="00C15711" w:rsidP="00C15711">
      <w:pPr>
        <w:bidi w:val="0"/>
        <w:spacing w:after="0" w:line="240" w:lineRule="auto"/>
        <w:ind w:firstLine="360"/>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Vzhľadom na skutočnosť, že problematika návrhu právneho predpisu nie je upravená v práve Európskej únie, je bezpredmetné vyjadrovať sa k bodom 4., 5. a 6. doložky zlučiteľnosti.</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br w:type="page"/>
      </w: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B. Osobitná časť</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I</w:t>
      </w:r>
    </w:p>
    <w:p w:rsidR="00C15711" w:rsidRPr="00C15711" w:rsidP="00C15711">
      <w:pPr>
        <w:bidi w:val="0"/>
        <w:spacing w:after="0" w:line="240" w:lineRule="auto"/>
        <w:ind w:firstLine="567"/>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Vymedzuje sa predmet úpravy zákona vzhľadom na jeho obsah.</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 2</w:t>
      </w:r>
    </w:p>
    <w:p w:rsidR="00C15711" w:rsidRPr="00C15711" w:rsidP="00C15711">
      <w:pPr>
        <w:bidi w:val="0"/>
        <w:spacing w:after="0" w:line="240" w:lineRule="atLeast"/>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Ustanovuje sa postavenie okresného úradu ako samostatného miestneho orgánu štátnej správy, ktorý z hľadiska právnej formy bude len preddavkovou organizáciou financovanou    z rozpočtu ministerstva vnútra. Týmto sa zohľadňuje racionalizácia a efektivita vo verejnej správe tak, aby integrovaný okresný úrad zabezpečoval výkon štátnej správy na jednotlivých úsekoch vo svojom územnom obvode a nebol zaťažovaný inými najmä obslužnými činnosťami.</w:t>
      </w:r>
    </w:p>
    <w:p w:rsidR="00C15711" w:rsidRPr="00C15711" w:rsidP="00C15711">
      <w:pPr>
        <w:bidi w:val="0"/>
        <w:spacing w:after="0" w:line="240" w:lineRule="atLeast"/>
        <w:ind w:firstLine="567"/>
        <w:jc w:val="both"/>
        <w:rPr>
          <w:rFonts w:ascii="Times New Roman" w:hAnsi="Times New Roman" w:cs="Times New Roman"/>
          <w:sz w:val="16"/>
          <w:szCs w:val="16"/>
          <w:lang w:eastAsia="sk-SK"/>
        </w:rPr>
      </w:pPr>
    </w:p>
    <w:p w:rsidR="00C15711" w:rsidRPr="00C15711" w:rsidP="00C15711">
      <w:pPr>
        <w:bidi w:val="0"/>
        <w:spacing w:after="0" w:line="240" w:lineRule="atLeast"/>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Prednostu okresného úradu bude vymenúvať a odvolávať vláda na návrh ministra vnútra, keďže ide o správny úrad s pôsobnosťou na viacerých úsekoch štátnej správy. Vymenovanie vedúceho odboru okresného úradu sa z dôvodu zabezpečenia odbornosti zveruje prednostovi na základe návrhu ministra alebo vedúceho toho ústredného orgánu štátnej správy, ktorý riadi a kontroluje príslušný úsek štátnej správy.</w:t>
      </w:r>
    </w:p>
    <w:p w:rsidR="00C15711" w:rsidRPr="00C15711" w:rsidP="00C15711">
      <w:pPr>
        <w:bidi w:val="0"/>
        <w:spacing w:after="0" w:line="240" w:lineRule="atLeast"/>
        <w:ind w:firstLine="567"/>
        <w:jc w:val="both"/>
        <w:rPr>
          <w:rFonts w:ascii="Times New Roman" w:hAnsi="Times New Roman" w:cs="Times New Roman"/>
          <w:sz w:val="16"/>
          <w:szCs w:val="16"/>
          <w:lang w:eastAsia="sk-SK"/>
        </w:rPr>
      </w:pPr>
    </w:p>
    <w:p w:rsidR="00C15711" w:rsidRPr="00C15711" w:rsidP="00C15711">
      <w:pPr>
        <w:bidi w:val="0"/>
        <w:spacing w:after="0" w:line="240" w:lineRule="atLeast"/>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Štátnu správu v mene okresného úradu bude vykonávať príslušný odbor alebo iný organizačný útvar okresného úradu podľa jeho vnútorného členenia. Ide o riešenie a vyjadrenie samostatnej rozhodovacej právomoci príslušného organizačného útvaru okresného úradu na predmetnom úseku štátnej správy, ktoré sa osvedčilo v minulosti              a zohľadňujúce skutočnosť, že tento úrad vykonáva štátnu správu na viacerých úsekoch štátnej správy odvetvovo riadených príslušnými ústrednými orgánmi štátnej správy. Aj z tohto dôvodu sa ustanovuje spolupráca týchto rezortov s ministerstvom vnútra pri určovaní organizačnej štruktúry okresných úradov.</w:t>
      </w:r>
    </w:p>
    <w:p w:rsidR="00C15711" w:rsidRPr="00C15711" w:rsidP="00C15711">
      <w:pPr>
        <w:bidi w:val="0"/>
        <w:spacing w:after="0" w:line="240" w:lineRule="atLeast"/>
        <w:ind w:firstLine="567"/>
        <w:jc w:val="both"/>
        <w:rPr>
          <w:rFonts w:ascii="Times New Roman" w:hAnsi="Times New Roman" w:cs="Times New Roman"/>
          <w:sz w:val="16"/>
          <w:szCs w:val="16"/>
          <w:lang w:eastAsia="sk-SK"/>
        </w:rPr>
      </w:pPr>
    </w:p>
    <w:p w:rsidR="00C15711" w:rsidRPr="00C15711" w:rsidP="00C15711">
      <w:pPr>
        <w:bidi w:val="0"/>
        <w:spacing w:after="0" w:line="240" w:lineRule="atLeast"/>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Vzhľadom na skutočnosť, že okresný úrad nemá postavenie právnickej osoby, z racionálnych dôvodov je potrebné upraviť, aby v rozsahu ustanovenej pôsobnosti mal postavenie účastníka súdneho a exekučného konania a zároveň aby mohol vlastnými úkonmi v týchto konaniach nadobúdať procesné práva a povinnosti.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Každý miestny orgán štátnej správy musí mať vymedzené sídlo a územný obvod, v ktorom vykonáva svoju pôsobnosť a právomoc. Navrhuje sa, aby okresné úrady mali ustanovené sídla v 72 mestách s územnými obvodmi podľa prílohy č. 1, v ktorých budú vykonávať štátnu správu na taxatívne vymedzených úsekoch. Toto riešenie zabezpečí väčšiu kompatibilitu výkonu miestnej štátnej správy v územných obvodoch jednotlivých okresov v súlade so zákonom o územnom a správnom usporiadaní štátu, a to najmä                            vo frekventovaných agendách katastra nehnuteľností a starostlivosti o životné prostredie.</w:t>
      </w:r>
    </w:p>
    <w:p w:rsidR="00C15711" w:rsidRPr="00C15711" w:rsidP="00C15711">
      <w:pPr>
        <w:bidi w:val="0"/>
        <w:spacing w:after="0" w:line="240" w:lineRule="auto"/>
        <w:ind w:firstLine="567"/>
        <w:jc w:val="both"/>
        <w:rPr>
          <w:rFonts w:ascii="Times New Roman" w:hAnsi="Times New Roman" w:cs="Times New Roman"/>
          <w:sz w:val="16"/>
          <w:szCs w:val="16"/>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Na ďalších taxatívne vymedzených úsekoch štátnej správy postačuje zabezpečiť výkon štátnej správy 49 okresnými úradmi z uvedených 72 okresných úradov, a to v sídlach              a územných obvodoch podľa prílohy č. 2. Táto racionálna lokalizácia okresných úradov vychádza v podstate z doterajšej právnej úpravy organizácie štátnej správy na príslušných úsekoch.</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Z praktického dôvodu sa ustanovuje všeobecne platné pravidlo o územnom obvode okresného úradu, ktorý má sídlo v meste, ktoré je sídlom kraja, ak výlučne len tomuto orgánu zveruje pôsobnosť tento alebo osobitný zákon. V tomto prípade je územným obvodom na výkon pôsobnosti okresného úradu v sídle kraja celé územie kraja v súlade s vymedzeným územným obvodom kraja podľa zákona o územnom a správnom usporiadaní štátu. Výnimkou je Okresný úrad Košice – okolie, ktorý má síce sídlo v krajskom meste Košice, ale vykonáva štátnu správu len v územnom obvode okresu Košice – okolie.</w:t>
      </w:r>
    </w:p>
    <w:p w:rsidR="00C15711" w:rsidRPr="00C15711" w:rsidP="00C15711">
      <w:pPr>
        <w:bidi w:val="0"/>
        <w:spacing w:after="0" w:line="240" w:lineRule="auto"/>
        <w:ind w:firstLine="567"/>
        <w:jc w:val="both"/>
        <w:rPr>
          <w:rFonts w:ascii="Times New Roman" w:hAnsi="Times New Roman" w:cs="Times New Roman"/>
          <w:sz w:val="16"/>
          <w:szCs w:val="16"/>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Umožňuje sa okresnému úradu po predchádzajúcom súhlase ministerstva vnútra zriadiť expozitúru okresného úradu s prihliadnutím na miestne pomery, a to v meste, ktoré je sídlom okresného úradu alebo mimo tohto sídla, ako aj určiť jej územný obvod.</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 4</w:t>
      </w:r>
    </w:p>
    <w:p w:rsidR="00C15711" w:rsidRPr="00C15711" w:rsidP="00C15711">
      <w:pPr>
        <w:bidi w:val="0"/>
        <w:spacing w:after="0" w:line="240" w:lineRule="auto"/>
        <w:ind w:left="142" w:firstLine="425"/>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Odkazuje sa na zákony, ktoré v rámci úpravy organizácie verejnej správy ustanovujú vecnú pôsobnosť okresných úradov. Ide napríklad o zákon č. 135/1961 Zb. o pozemných komunikáciách (cestný zákon) v znení neskorších predpisov, zákon Slovenskej národnej rady č. 330/1991 Zb. o pozemkových úpravách, usporiadaní pozemkového vlastníctva, pozemkových úradoch, pozemkovom fonde a o pozemkových spoločenstvách v znení neskorších predpisov, zákon č. 455/1991 Zb. o živnostenskom podnikaní (živnostenský zákon) v znení neskorších predpisov, zákon Národnej rady Slovenskej republiky č. 40/1993 Z. z. o štátnom občianstve Slovenskej republiky v znení neskorších predpisov, zákon Národnej rady Slovenskej republiky č. 278/1993 Z. z. o správe majetku štátu v znení neskorších predpisov, zákon Národnej rady Slovenskej republiky č. 42/1994 Z. z. o civilnej ochrane obyvateľstva v znení neskorších predpisov, zákon Národnej rady Slovenskej republiky č. 162/1995 Z. z. o katastri nehnuteľností a o zápise vlastníckych a iných práv k nehnuteľnostiam (katastrálny zákon) v znení neskorších predpisov, zákon Národnej rady Slovenskej republiky č. 10/1996 Z. z. o kontrole v štátnej správe v znení neskorších predpisov, zákon č. 319/2002 Z. z. o obrane Slovenskej republiky v znení neskorších predpisov, zákon č. 525/2003 Z. z. o štátnej správe starostlivosti o životné prostredie a o zmene a doplnení niektorých zákonov v znení neskorších predpisov, zákon č. 596/2003 Z. z. o štátnej správe v školstve a školskej samospráve a o zmene a doplnení niektorých zákonov v znení neskorších predpisov, zákon č. 326/2005 Z. z. o lesoch v znení neskorších predpisov, zákon č. 7/2010 Z. z. o ochrane pred povodňami, zákon č. 179/2011  Z. z. o hospodárskej mobilizácii a o zmene a doplnení zákona č. 387/2002 Z. z. o riadení štátu v krízových situáciách mimo času vojny a vojnového stavu v znení neskorších predpisov, zákon č. 56/2012 Z. z. o cestnej doprave v znení neskorších predpisov.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Ustanovuje sa pôsobnosť okresného úradu v sídle kraja, ktorú vykonáva na jednotlivých úsekoch štátnej správy tak, aby sa nemusela vymedziť v každom z týchto osobitných zákonov. Koncipuje sa pôsobnosť okresného úradu v sídle kraja ako riadiaceho, kontrolného, koordinačného a preskúmavacieho orgánu vo vzťahu k všetkým okresným úradom so sídlom v územnom obvode kraja. V správnom konaní sa uplatňuje v súlade s § 58 ods. 1 správneho poriadku základný princíp, že odvolacím orgánom, ktorý rozhoduje o opravnom prostriedku proti rozhodnutiu okresného úradu, bude okresný úrad v sídle kraja, ak osobitný zákon neustanovuje iný preskúmavací orgán, napríklad ústredný orgán štátnej správy alebo súd. Zároveň sa v súlade s uvedeným ustanovením správneho poriadku umožňuje ustanoviť v osobitnom zákone, že odvolacím orgánom, ktorý rozhoduje o opravnom prostriedku proti rozhodnutiu okresného úradu v sídle kraja ako prvostupňového orgánu, bude opäť okresný úrad v sídle kraja. V platnom právnom poriadku ide len o výnimočné prípady odôvodnené obsahom správnej agendy v niektorých veciach na úseku štátnej správy cestnej dopravy a pozemných komunikácií, kde výkon odvolacieho konania nemožno zabezpečiť inak. S ohľadom na maximálnu nezávislosť a objektivitu konania a rozhodovania v druhom stupni sa v internom predpise ministerstva vnútra (§ 2 ods. 6 návrhu zákona) zriadi v organizačnej štruktúre okresného úradu v sídle kraja osobitný organizačný útvar.</w:t>
      </w:r>
    </w:p>
    <w:p w:rsidR="00C15711" w:rsidRPr="00C15711" w:rsidP="00C15711">
      <w:pPr>
        <w:bidi w:val="0"/>
        <w:spacing w:after="0" w:line="240" w:lineRule="auto"/>
        <w:ind w:firstLine="567"/>
        <w:jc w:val="both"/>
        <w:rPr>
          <w:rFonts w:ascii="Times New Roman" w:hAnsi="Times New Roman" w:cs="Times New Roman"/>
          <w:sz w:val="16"/>
          <w:szCs w:val="16"/>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Okresný úrad ako miestny orgán štátnej správy môže v rozsahu ustanovenej pôsobnosti vo vlastnom mene vstupovať rôznymi formami správnej činnosti do vzťahov v rámci vnútroštátnej i medzinárodnej spolupráce s obdobnými orgánmi.</w:t>
      </w:r>
    </w:p>
    <w:p w:rsidR="00C15711" w:rsidRPr="00C15711" w:rsidP="00C15711">
      <w:pPr>
        <w:bidi w:val="0"/>
        <w:spacing w:after="0" w:line="240" w:lineRule="auto"/>
        <w:ind w:firstLine="567"/>
        <w:jc w:val="both"/>
        <w:rPr>
          <w:rFonts w:ascii="Times New Roman" w:hAnsi="Times New Roman" w:cs="Times New Roman"/>
          <w:sz w:val="16"/>
          <w:szCs w:val="16"/>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Integrovaný okresný úrad bude vykonávať štátnu správu na viacerých úsekoch, ktoré v súlade s kompetenčným zákonom i osobitnými zákonmi upravujúcimi výkon štátnej správy na jednotlivých úsekoch, zostávajú v odvetvovej riadiacej a kontrolnej právomoci príslušných ministerstiev a ostatných ústredných orgánov štátnej správy.</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 5</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Z čl. 123 ústavy vyplýva, že miestne orgány štátnej správy na základe zákonov a v ich medziach môžu vydávať všeobecne záväzné právne predpisy, ak sú na to splnomocnené zákonom, pričom spôsob ich vyhlásenia ustanoví zákon.</w:t>
      </w:r>
    </w:p>
    <w:p w:rsidR="00C15711" w:rsidRPr="00C15711" w:rsidP="00C15711">
      <w:pPr>
        <w:bidi w:val="0"/>
        <w:spacing w:after="0" w:line="240" w:lineRule="auto"/>
        <w:ind w:firstLine="567"/>
        <w:jc w:val="both"/>
        <w:rPr>
          <w:rFonts w:ascii="Times New Roman" w:hAnsi="Times New Roman" w:cs="Times New Roman"/>
          <w:sz w:val="16"/>
          <w:szCs w:val="16"/>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návrhu zákona sa v nadväznosti na uvedenú ústavnú úpravu a zákon NR SR č. 1/1993 Z. z. o Zbierke zákonov Slovenskej republiky v znení neskorších predpisov konkrétne ustanovuje, že všeobecne záväzné právne predpisy nielen okresných úradov, ale aj iných miestnych orgánov štátnej správy, majú jednotný názov vyhláška. Vyhlášku možno vydať len za podmienok ustanovených v osobitnom zákone upravujúcom výkon štátnej správy na príslušnom úseku.</w:t>
      </w:r>
    </w:p>
    <w:p w:rsidR="00C15711" w:rsidRPr="00C15711" w:rsidP="00C15711">
      <w:pPr>
        <w:bidi w:val="0"/>
        <w:spacing w:after="0" w:line="240" w:lineRule="auto"/>
        <w:ind w:firstLine="567"/>
        <w:jc w:val="both"/>
        <w:rPr>
          <w:rFonts w:ascii="Times New Roman" w:hAnsi="Times New Roman" w:cs="Times New Roman"/>
          <w:sz w:val="16"/>
          <w:szCs w:val="16"/>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Podmienkou nadobudnutia platnosti a účinnosti vyhlášky je vyhlásenie jej úplného znenia vo Vestníku vlády Slovenskej republiky. Toto praktické riešenie umožňuje citovaný zákon, keďže nie je dôvodné zaťažovať Zbierku zákonov právnymi predpismi nižšej právnej sily. To nevylučuje následné uverejnenie vyhlášky v rezortnom publikačnom prostriedku bez vplyvu na jej platnosť a účinnosť.</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 6</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Ústredné orgány štátnej správy riadia úseky štátnej správy vo svojej odvetvovej pôsobnosti aj rôznymi internými predpismi. Podmienkou nadobudnutia platnosti a účinnosti tejto skupiny interných predpisov vzhľadom na ich význam je vyhlásenie oznámenia o ich vydaní vo Vestníku vlády Slovenskej republiky; taxatívnym spôsobom sa ustanovujú náležitosti tohto oznámenia.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 7</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Podľa § 73 správneho poriadku výkon rozhodnutia uskutočňuje správny orgán, ktorý vo veci rozhodol v prvom stupni, ak osobitný zákon neustanovuje inak. V nadväznosti na uvedené ustanovenie sa navrhuje zveriť výkon rozhodnutia okresného úradu ministerstvu vnútra, ktoré má aj na túto činnosť zriadené príslušné organizačné útvary. Okresné úrady totiž nie sú na výkon predmetnej rozsiahlej agendy personálne vybavené.</w:t>
      </w:r>
    </w:p>
    <w:p w:rsidR="00C15711" w:rsidRPr="00C15711" w:rsidP="00C15711">
      <w:pPr>
        <w:bidi w:val="0"/>
        <w:spacing w:after="0" w:line="240" w:lineRule="auto"/>
        <w:ind w:firstLine="567"/>
        <w:jc w:val="both"/>
        <w:rPr>
          <w:rFonts w:ascii="Times New Roman" w:hAnsi="Times New Roman" w:cs="Times New Roman"/>
          <w:sz w:val="16"/>
          <w:szCs w:val="16"/>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Ďalej sa umožňuje ministerstvu vnútra na zmluvnom princípe zabezpečiť vymáhanie pohľadávky štátu prostredníctvom právnickej osoby v úplnej majetkovej pôsobnosti štátu, ako aj postúpiť túto pohľadávku takejto právnickej osobe. Zároveň sa vylučujú príslušné ustanovenia Občianskeho zákonníka, keďže predmetná zmluva sa bude uzatvárať podľa tohto zákona.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 8</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Miestne orgány štátnej správy dotknuté integráciou boli zriadené zákonom, a preto je nevyhnutné zrušiť ich tiež zákonom.</w:t>
      </w:r>
    </w:p>
    <w:p w:rsidR="00C15711" w:rsidRPr="00C15711" w:rsidP="00C15711">
      <w:pPr>
        <w:bidi w:val="0"/>
        <w:spacing w:after="0" w:line="240" w:lineRule="auto"/>
        <w:ind w:firstLine="567"/>
        <w:jc w:val="both"/>
        <w:rPr>
          <w:rFonts w:ascii="Times New Roman" w:hAnsi="Times New Roman" w:cs="Times New Roman"/>
          <w:sz w:val="16"/>
          <w:szCs w:val="16"/>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Základom vymedzenia územných obvodov obvodných úradov majú byť výlučne okresy ako správne celky zriadené podľa zákona NR SR č. 221/1996 Z. z. o územnom a správnom usporiadaní Slovenskej republiky. V okrese Nové Zámky sú však zriadené až dva obvodné úrady, a to Obvodný úrad Nové Zámky a Obvodný úrad Štúrovo, ktorých územné obvody netvorí ucelený okres, ale len jeho časti vymedzené obcami. Toto riešenie nie je žiaduce ani opodstatnené, a preto sa odstraňuje. Na zabezpečenie niektorých úloh štátnej správy možno Obvodný úrad Štúrovo modifikovať na pracovisko Okresného úradu Nové Zámky.</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 9</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Z hľadiska právnej istoty sa vyjadruje kontinuita postavenia obvodných úradov s okresnými úradmi. Navrhuje sa totiž len zmena názvu týchto miestnych orgánov štátnej správy, ktorá logicky zohľadňuje názov správneho celku (okresu), ktorý je podľa zákona o územnom a správnom usporiadaní štátu prioritne ustanovený na výkon pôsobnosti štátnych orgánov na miestnej úrovni.</w:t>
      </w:r>
    </w:p>
    <w:p w:rsidR="00C15711" w:rsidRPr="00C15711" w:rsidP="00C15711">
      <w:pPr>
        <w:bidi w:val="0"/>
        <w:spacing w:after="0" w:line="240" w:lineRule="auto"/>
        <w:ind w:firstLine="567"/>
        <w:jc w:val="both"/>
        <w:rPr>
          <w:rFonts w:ascii="Times New Roman" w:hAnsi="Times New Roman" w:cs="Times New Roman"/>
          <w:sz w:val="16"/>
          <w:szCs w:val="16"/>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Upravuje sa prechod práv a povinností zo štátnozamestnaneckých, pracovnoprávnych   a majetkovoprávnych vzťahov zo zrušovaných miestnych orgánov štátnej správy                  na ministerstvo vnútra a ďalej zo správnych (administratívnoprávnych) vzťahov okrem výkonu rozhodnutí na okresné úrady.</w:t>
      </w:r>
    </w:p>
    <w:p w:rsidR="00C15711" w:rsidRPr="00C15711" w:rsidP="00C15711">
      <w:pPr>
        <w:bidi w:val="0"/>
        <w:spacing w:after="0" w:line="240" w:lineRule="auto"/>
        <w:ind w:firstLine="567"/>
        <w:jc w:val="both"/>
        <w:rPr>
          <w:rFonts w:ascii="Times New Roman" w:hAnsi="Times New Roman" w:cs="Times New Roman"/>
          <w:sz w:val="16"/>
          <w:szCs w:val="16"/>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Všeobecnými ustanoveniami sa menia názvy miestnych orgánov štátnej správy v tých právnych predpisoch, v ktorých nie je potrebné vykonať priame novely.</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 10</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Zrušujú sa zákonné úpravy, ktoré nadobudnutím účinnosti tohto zákona stratia opodstatnenie.</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II a III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terminologickú úpravu ustanovení Občianskeho súdneho poriadku a Občianskeho zákonníka, podľa ktorých bola zakotvená príslušnosť katastrálneho úradu a správy katastra, ktoré sa zrušujú, resp. boli zrušené a obvodného úradu v sídle kraja, ktorým je podľa navrhovanej právnej úpravy okresný úrad v sídle kraja.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IV</w:t>
      </w:r>
    </w:p>
    <w:p w:rsidR="00C15711" w:rsidRPr="00C15711" w:rsidP="00C15711">
      <w:pPr>
        <w:bidi w:val="0"/>
        <w:spacing w:after="0" w:line="240" w:lineRule="auto"/>
        <w:ind w:firstLine="567"/>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1, 3 a 4</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zrušenie obvodných úradov pre cestnú dopravu a pozemné komunikácie a ustanovenie postavenia a pôsobnosti okresného úradu, na ktorý sa presúva ich pôsobnosť podľa čl. 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nadväznosti na zrušenie zákona č. 534/2003 Z. z. sa do platného znenia zákona dopĺňa pôsobnosť Ministerstva dopravy, výstavby a regionálneho rozvoja na tomto úseku štátnej správy.</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5 a 6</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súlade so zmenami podľa bodov 2 a 3 návrhu sa primerane upravujú vnútorné odkazy.</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7</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nahrádzajú názvy zrušovaných miestnych orgánov štátnej správy názvami úradov, na ktoré sa presúva ich pôsobnosť.</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zrušenie obvodného pozemkového úradu a presun jeho pôsobnosti na okresný úrad podľa čl. 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zrušovaného miestneho orgánu štátnej správy názvom úradu, na ktorý sa presúva jeho pôsobnosť.</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VI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Vzhľadom na skutočnosť, že pôsobnosť obvodného pozemkového úradu, obvodného lesného úradu a správy katastra sa presúva do pôsobnosti okresného úradu ako integrovaného miestneho orgánu štátnej správy, na čele ktorého je prednosta, primerane sa upravuje zloženie komisie a označenie subjektu, ktorý menuje a odvoláva jej predsedu.</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 až 8</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zrušenie obvodných pozemkových úradov a ustanovenie postavenia, pôsobnosti a sídiel okresných úradov, na ktoré sa presúva ich pôsobnosť       podľa čl. 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9 a 10</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nahrádzajú názvy zrušovaných miestnych orgánov štátnej správy názvami úradov, na ktoré sa presúva ich pôsobnosť.</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VII</w:t>
      </w:r>
    </w:p>
    <w:p w:rsidR="00C15711" w:rsidRPr="00C15711" w:rsidP="00C15711">
      <w:pPr>
        <w:bidi w:val="0"/>
        <w:spacing w:after="0" w:line="240" w:lineRule="auto"/>
        <w:ind w:firstLine="567"/>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Účelom navrhovanej zmeny je priblížiť zahraničným osobám výkon štátnej správy na úseku živnostenského podnikania, uľahčiť im prístup k začatiu podnikania živnostenským spôsobom na území Slovenskej republiky a odstrániť doterajšiu rozdielnu príslušnosť živnostenských úradov v postavení jednotných kontaktných miest pre zahraničné fyzické a právnické osoby.</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widowControl w:val="0"/>
        <w:autoSpaceDE w:val="0"/>
        <w:autoSpaceDN w:val="0"/>
        <w:bidi w:val="0"/>
        <w:adjustRightInd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Navrhovaným riešením sa má zamedziť zániku živnostenského oprávnenia fyzických osôb zo špekulačných dôvodov na základe oznámenia o ukončení podnikania v čase po začatí správneho konania o uložení sankčného postihu.</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Zámerom je skvalitniť, zefektívniť, posilniť nezávislosť a účinnosť kontrolnej činnosti na úseku živnostenského podnikania obmedzením miestnych vplyvov a pomerov na výkon kontroly a jej výsledky.</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4</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Predmetné ustanovenie sa spresňuje vzhľadom na bod 2, kde sa živnostenskému úradu v sídle kraja zveruje výkon kontroly a sankčná právomoc, ako aj s ohľadom na § 66d písm. e) platného živnostenského zákona, ktorý ustanovuje pôsobnosť ministerstva vnútra ako prvostupňového orgánu štátnej správy.</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5</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Ustanovenie sa vypúšťa ako nepresné a nadbytočné, pretože túto pôsobnosť vykonáva podľa § 66b ods. 4 písm. a) platného živnostenského zákona každý živnostenský úrad.</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6</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čl. I, podľa ktorého sa mení názov obvodný úrad na názov okresný úrad.</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XIII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1 a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Označenie doterajšieho vedúceho funkcionára obvodného pozemkového úradu sa nahrádza označením vedúceho funkcionára okresného úradu, keďže obvodný pozemkový úrad sa podľa čl. I zrušuje a jeho pôsobnosť sa presúva na okresný úrad.</w:t>
      </w:r>
    </w:p>
    <w:p w:rsidR="00C15711" w:rsidRPr="00C15711" w:rsidP="00C15711">
      <w:pPr>
        <w:bidi w:val="0"/>
        <w:spacing w:after="0" w:line="240" w:lineRule="auto"/>
        <w:ind w:firstLine="567"/>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zrušovaného miestneho orgánu štátnej správy názvom úradu, na ktorý sa presúva jeho pôsobnosť.</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IX</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1 až 5 a 24</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zrušenie správ katastra a ustanovenie postavenia a pôsobnosti okresného úradu, na ktorý sa presúva ich pôsobnosť podľa čl. 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6 až 16 a 18 až 23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dotknutých ustanovení je nevyhnutná z dôvodu, že dosiahnutie správneho gramatického tvaru textu nemožno dosiahnuť len paušálnym nahradením názvu doterajšieho orgánu.</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17</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Vzhľadom na skutočnosť, že pôsobnosť správy katastra sa presúva do pôsobnosti okresného úradu, ustanovenie vypúšťaného písmena c) stráca svoje opodstatnenie.</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25</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nadväznosti na vypustenie ustanovenia § 16 z textu zákona sa vzhľadom na špecifickosť agendy a potrebu osobitnej úpravy v oblasti organizácie práce a registratúry na úseku katastra nehnuteľností v splnomocňovacom ustanovení dopĺňa pôsobnosť Úradu geodézie, kartografie a katastra Slovenskej republiky.</w:t>
      </w: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26 a 27</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nahrádzajú názvy zrušovaných miestnych orgánov štátnej správy názvami úradov, na ktoré sa presúva ich pôsobnosť.</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zrušenie obvodného pozemkového úradu v čl. 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Vzhľadom na skutočnosť, že okresný úrad ako integrovaný miestny orgán štátnej správy bude uskutočňovať štátnu správu v pôsobnosti zrušených (katastrálnych úradov) a zrušovaných miestnych orgánov štátnej správy (pozemkových úradov), primerane sa upravuje zloženie komisie. </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zrušenie katastrálnych úradov podľa zákona č. 345/2012 Z. z. a zrušenie správ katastra v čl. 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4</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1 až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zrušenie katastrálnych úradov podľa zákona č. 345/2012 Z. z. a zrušenie správ katastra a presun ich pôsobnosti na okresné úrady podľa čl. 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4, 6 a 7</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dotknutých ustanovení je nevyhnutná z dôvodu, že dosiahnutie správneho gramatického tvaru textu nemožno dosiahnuť len paušálnym nahradením názvu doterajšieho orgánu.</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5</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Navrhovaným riešením sa v súlade so zákonom o informačných systémoch verejnej správy zabezpečí, aby správcom príslušného informačného systému bol úrad a prevádzkovateľom úrad alebo ním zriadená právnická osoba.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8 až 10</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XII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1, 4, 6 a 8</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dotknutých ustanovení je nevyhnutná z dôvodu, že dosiahnutie správneho gramatického tvaru textu nemožno dosiahnuť len paušálnym nahradením názvu doterajšieho orgánu.</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 3, 5, 7 a 9</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zrušenie katastrálnych úradov podľa zákona č. 345/2012 Z. z. a zrušenie správ katastra a presun ich pôsobnosti na okresné úrady podľa čl. I.</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XIII</w:t>
      </w:r>
    </w:p>
    <w:p w:rsidR="00C15711" w:rsidRPr="00C15711" w:rsidP="00C15711">
      <w:pPr>
        <w:bidi w:val="0"/>
        <w:spacing w:after="0" w:line="240" w:lineRule="auto"/>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nadväznosti na úpravu obsiahnutú v čl. I sa primerane upravuje názov všeobecne záväzného právneho predpisu vydávaného miestnym orgánom štátnej správy tak, aby jeho názov bol jednotný v celej sfére miestnej štátnej správy. Súčasne sa v predmetnom ustanovení v súlade s čl. I nahrádza názov zrušovaného úradu názvom úradu, na ktorý bola presunutá jeho pôsobnosť.</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 až 4</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XIV</w:t>
      </w:r>
    </w:p>
    <w:p w:rsidR="00C15711" w:rsidRPr="00C15711" w:rsidP="00C15711">
      <w:pPr>
        <w:bidi w:val="0"/>
        <w:spacing w:after="0" w:line="240" w:lineRule="auto"/>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Z dôvodu odchylnej úpravy podľa čl. I § 7 ods. 1 sa ustanovenie o určení subjektu vymáhajúceho pokuty vypúšťa.</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v súlade s čl. I mení názov obvodného úradu na názov okresný úrad.</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čl. I, podľa ktorého sa mení názov obvodný úrad na názov okresný úrad.</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dotknutého ustanovenia je nevyhnutná z dôvodu, že dosiahnutie správneho gramatického tvaru textu nemožno dosiahnuť len paušálnym nahradením názvu doterajšieho orgánu.</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zrušenie katastrálnych úradov podľa zákona č. 345/2012 Z. z. a zrušenie správ katastra a presun ich pôsobnosti na okresné úrady podľa čl. I. Vzhľadom na skutočnosť, že platné ustanovenie zákona o zasielaní príslušného rozhodnutia nezodpovedá aplikačnej praxi (podľa platného znenia by sa rozhodnutie malo doručovať iba správam katastra v sídlach krajov) a doručuje sa všetkým správam katastra, názov príslušného orgánu sa primerane mení, čím sa zosúlaďuje právny stav s faktickým.</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XVI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čl. I, kde sa ustanovuje pôsobnosť okresného úradu v sídle kraja pri rozhodovaní o opravných prostriedkoch proti rozhodnutiam okresných úradov, na ktoré prechádza pôsobnosť zrušovaných obvodných úradov životného prostredia.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 a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XVII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čl. I, kde sa ustanovuje pôsobnosť okresného úradu v sídle kraja pri rozhodovaní o opravných prostriedkoch proti rozhodnutiam okresných úradov, na ktoré prechádza pôsobnosť zrušovaných obvodných úradov životného prostredia.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 a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XVIII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čl. I, kde sa ustanovuje pôsobnosť okresného úradu v sídle kraja pri rozhodovaní o opravných prostriedkoch proti rozhodnutiam okresných úradov, na ktoré prechádza pôsobnosť zrušovaných obvodných úradov životného prostredia.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 a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XIX</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zrušenie katastrálnych úradov podľa zákona č. 345/2012 Z. z. a zrušenie správ katastra a presun ich pôsobnosti na okresné úrady podľa čl. I. Vzhľadom na skutočnosť, že platné ustanovenie zákona o zasielaní výzvy nezodpovedá aplikačnej praxi (podľa platného znenia by výzvu zasielali iba správy katastra v sídlach krajov) a výzvy zasielajú všetky správy katastra, názov príslušného orgánu sa primerane mení, čím sa zosúlaďuje právny stav s faktickým.</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 až 4</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dotknutých ustanovení je nevyhnutná z dôvodu, že dosiahnutie správneho gramatického tvaru textu nemožno dosiahnuť len paušálnym nahradením názvu doterajšieho orgánu.</w:t>
      </w:r>
    </w:p>
    <w:p w:rsidR="00C15711" w:rsidRPr="00C15711" w:rsidP="00C15711">
      <w:pPr>
        <w:bidi w:val="0"/>
        <w:spacing w:after="0" w:line="240" w:lineRule="auto"/>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1 až 6</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nadväznosti na úpravu obsiahnutú v čl. I sa primerane upravujú názvy všeobecne záväzných právnych predpisov vydávaných miestnymi orgánmi štátnej správy tak, aby ich názov bol jednotný v celej sfére miestnej štátnej správy. Súčasne sa v predmetných ustanoveniach v súlade so zákonom č. 345/2012 Z. z. a čl. I nahrádzajú názvy zrušených úradov názvami úradov, na ktoré bola presunutá ich pôsobnosť.</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7</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Predmetné ustanovenie sa vypúšťa v nadväznosti na úpravu obsiahnutú v čl. I, podľa ktorej sa ustanovuje riadiaca a kontrolná činnosť okresného úradu v sídle kraja vo vzťahu k výkonu štátnej správy uskutočňovanému okresným úradom.</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8 a 9</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Ustanovenia o vymáhaní sankcií sa vypúšťajú vzhľadom na novo navrhovanú právnu úpravu v čl. I, podľa ktorej výkon rozhodnutia okresného úradu a s tým súvisiace vymáhanie uloženej sankcie za priestupok a iný správny delikt bude uskutočňovať ministerstvo vnútra.</w:t>
      </w:r>
    </w:p>
    <w:p w:rsidR="00C15711" w:rsidRPr="00C15711" w:rsidP="00C15711">
      <w:pPr>
        <w:bidi w:val="0"/>
        <w:spacing w:after="0" w:line="240" w:lineRule="auto"/>
        <w:ind w:firstLine="567"/>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10</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v nadväznosti na úpravu obsiahnutú v čl. I nahrádza označenie všeobecne záväzných právnych predpisov vydávaných miestnymi orgánmi štátnej správy tak, aby ich názov bol jednotný v celej sfére miestnej štátnej správy.</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11 a 12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1 až 8</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úpravy nadväzujúce na zrušenie krajských úradov životného prostredia podľa zákona č. 345/2012 Z. z. a obvodných úradov životného prostredia a ustanovenie postavenia, pôsobnosti a sídiel okresných úradov, na ktoré sa presúva ich pôsobnosť podľa čl. 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9 a 10</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nahrádzajú názvy zrušovaných miestnych orgánov štátnej správy názvami úradov, na ktoré sa presúva ich pôsobnosť.</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XXII</w:t>
      </w:r>
    </w:p>
    <w:p w:rsidR="00C15711" w:rsidRPr="00C15711" w:rsidP="00C15711">
      <w:pPr>
        <w:bidi w:val="0"/>
        <w:spacing w:after="0" w:line="240" w:lineRule="auto"/>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b/>
          <w:sz w:val="24"/>
          <w:szCs w:val="24"/>
          <w:lang w:eastAsia="sk-SK"/>
        </w:rPr>
      </w:pPr>
      <w:r w:rsidRPr="00C15711">
        <w:rPr>
          <w:rFonts w:ascii="Times New Roman" w:hAnsi="Times New Roman" w:cs="Times New Roman"/>
          <w:sz w:val="24"/>
          <w:szCs w:val="24"/>
          <w:lang w:eastAsia="sk-SK"/>
        </w:rPr>
        <w:t>V nadväznosti na úpravu obsiahnutú v čl. I sa primerane upravuje názov všeobecne záväzného právneho predpisu vydávaného miestnym orgánom štátnej správy tak, aby jeho názov bol jednotný v celej sfére miestnej štátnej správy.</w:t>
      </w:r>
    </w:p>
    <w:p w:rsidR="00C15711" w:rsidRPr="00C15711" w:rsidP="00C15711">
      <w:pPr>
        <w:bidi w:val="0"/>
        <w:spacing w:after="0" w:line="240" w:lineRule="auto"/>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 a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XXIII</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dotknutého ustanovenia je nevyhnutná z dôvodu, že úpravu textu nemožno vzhľadom na zavedenú legislatívnu skratku dosiahnuť len paušálnym nahradením názvov doterajších orgánov.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čl. I, kde sa ustanovuje pôsobnosť okresného úradu v sídle kraja pri riadení a kontrole výkonu štátnej správy uskutočňovanom okresným úradom a pri rozhodovaní o opravných prostriedkoch proti rozhodnutiam okresných úradov, na ktoré prechádza pôsobnosť zrušovaných obvodných úradov pre cestnú dopravu a pozemné komunikácie.</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3 a 5</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nahrádzajú názvy zrušovaných miestnych orgánov štátnej správy názvami úradov, na ktoré sa presúva ich pôsobnosť.</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XXIV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čl. I, podľa ktorého sa mení názov obvodný úrad na názov okresný úrad.</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 a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úpravy nadväzujúce na čl. I, kde sa ustanovuje územná pôsobnosť okresného úradu a okresného úradu v sídle kraja a pôsobnosť okresného úradu v sídle kraja pri rozhodovaní o opravných prostriedkoch proti rozhodnutiam okresných úradov, na ktoré prechádza pôsobnosť zrušovaných obvodných úradov životného prostredia.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4 a 5</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Ustanovenia o vymáhaní sankcií sa vypúšťajú vzhľadom na novo navrhovanú právnu úpravu v čl. I, podľa ktorej výkon rozhodnutia okresného úradu a s tým súvisiace vymáhanie uloženej sankcie za priestupok a iný správny delikt bude uskutočňovať ministerstvo vnútra.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6 a 7</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dotknutého ustanovenia je nevyhnutná z dôvodu, že úpravu textu nemožno vzhľadom na zavedenú legislatívnu skratku dosiahnuť len paušálnym nahradením názvov doterajších orgánov.</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čl. I, kde sa ustanovuje pôsobnosť okresného úradu v sídle kraja pri rozhodovaní o opravných prostriedkoch proti rozhodnutiam okresných úradov, na ktoré prechádza pôsobnosť zrušovaných obvodných úradov pre cestnú dopravu a pozemné komunikácie a povinnosť zriadiť na tento účel v okresnom úrade v sídle kraja osobitný organizačný útvar.</w:t>
      </w:r>
    </w:p>
    <w:p w:rsidR="00C15711" w:rsidRPr="00C15711" w:rsidP="00C15711">
      <w:pPr>
        <w:bidi w:val="0"/>
        <w:spacing w:after="0" w:line="240" w:lineRule="auto"/>
        <w:ind w:firstLine="567"/>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zrušenie obvodných úradov pre cestnú dopravu a pozemné komunikácie a presun ich pôsobnosti na okresné úrady podľa čl. 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4</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zrušovaného miestneho orgánu štátnej správy názvom úradu, na ktorý sa presúva jeho pôsobnosť.</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XXVI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1 a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úpravy nadväzujúce na zrušenie obvodných lesných úradov a ustanovenie postavenia a pôsobnosti okresných úradov, na ktoré sa presúva ich pôsobnosť podľa čl. I. Vzhľadom na vypustenie dotknutých ustanovení a z toho vyplývajúce nové znenie paragrafu sa primerane upravuje nadpis nad paragrafom.</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3 až 7</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úpravy nadväzujúce na čl. I, kde sa ustanovuje odvetvová riadiaca a kontrolná činnosť príslušných ústredných orgánov štátnej správy, územná pôsobnosť okresného úradu a okresného úradu v sídle kraja, pôsobnosť okresného úradu v sídle kraja pri rozhodovaní o opravných prostriedkoch proti rozhodnutiam okresných úradov, na ktoré prechádza pôsobnosť zrušovaných obvodných lesných úradov a povinnosť zriadiť na tento účel v okresnom úrade v sídle kraja osobitný organizačný útvar.</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8 a 9</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nahrádzajú názvy zrušovaných miestnych orgánov štátnej správy názvami úradov, na ktoré sa presúva ich pôsobnosť.</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XXVII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dotknutého ustanovenia je nevyhnutná z dôvodu, že úpravu textu nemožno vzhľadom na zavedenú legislatívnu skratku dosiahnuť len paušálnym nahradením názvov doterajších orgánov.</w:t>
      </w:r>
    </w:p>
    <w:p w:rsidR="00C15711" w:rsidRPr="00C15711" w:rsidP="00C15711">
      <w:pPr>
        <w:bidi w:val="0"/>
        <w:spacing w:after="0" w:line="240" w:lineRule="auto"/>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čl. I, kde sa ustanovuje pôsobnosť okresného úradu v sídle kraja pri rozhodovaní o opravných prostriedkoch proti rozhodnutiam okresných úradov, na ktoré prechádza pôsobnosť zrušovaných obvodných úradov životného prostredia.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3 a 4</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nahrádzajú názvy zrušovaných miestnych orgánov štátnej správy názvami úradov, na ktoré sa presúva ich pôsobnosť.</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XXVIII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dotknutého ustanovenia je nevyhnutná z dôvodu, že úpravu textu nemožno vzhľadom na zavedenú legislatívnu skratku dosiahnuť len paušálnym nahradením názvov doterajších orgánov.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Označenie doterajšieho vedúceho funkcionára obvodného úradu pre cestnú dopravu a pozemné komunikácie v sídle kraja sa nahrádza, keďže obvodný úrad pre cestnú dopravu a pozemné komunikácie sa podľa čl. I zrušuje a jeho pôsobnosť sa presúva na okresný úrad. Potvrdenie o získaní základnej kvalifikácie bude popri predsedovi skúšobnej komisie podpisovať vedúci organizačného útvaru pre cestnú dopravu okresného úradu v sídle kraja, keďže zodpovedným za výkon štátnej správy je v okresnom úrade príslušný organizačný útvar konajúci a rozhodujúci na príslušnom úseku štátnej správy.</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čl. I, kde sa ustanovuje povinnosť zriadiť v okresnom úrade v sídle kraja na účel výkonu vymedzených pôsobností osobitný organizačný útvar.</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4</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zrušovaného miestneho orgánu štátnej správy názvom úradu, na ktorý sa presúva jeho pôsobnosť.</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XXIX</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dotknutého ustanovenia je nevyhnutná z dôvodu, že úpravu textu nemožno vzhľadom na zavedenú legislatívnu skratku dosiahnuť len paušálnym nahradením názvov doterajších orgánov.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zrušovaného miestneho orgánu štátnej správy názvom úradu, na ktorý sa presúva jeho pôsobnosť.</w:t>
      </w: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XXX</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čl. I, kde sa ustanovuje pôsobnosť okresného úradu v sídle kraja pri rozhodovaní o opravných prostriedkoch proti rozhodnutiam okresných úradov, na ktoré prechádza pôsobnosť zrušovaných obvodných úradov životného prostredia.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 a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XXXI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čl. I, kde sa ustanovuje pôsobnosť okresného úradu v sídle kraja pri rozhodovaní o opravných prostriedkoch proti rozhodnutiam okresných úradov, na ktoré prechádza pôsobnosť zrušovaných obvodných úradov životného prostredia.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 a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XXXII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1 a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čl. I, podľa ktorého sa mení názov obvodný úrad na názov okresný úrad.</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dotknutého ustanovenia je nevyhnutná z dôvodu, že úpravu textu nemožno vzhľadom na zavedenú legislatívnu skratku dosiahnuť len paušálnym nahradením názvov doterajších orgánov.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4</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zrušovaného miestneho orgánu štátnej správy názvom úradu, na ktorý sa presúva jeho pôsobnosť.</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XXXIII</w:t>
      </w:r>
    </w:p>
    <w:p w:rsidR="00C15711" w:rsidRPr="00C15711" w:rsidP="00C15711">
      <w:pPr>
        <w:bidi w:val="0"/>
        <w:spacing w:after="0" w:line="240" w:lineRule="auto"/>
        <w:ind w:firstLine="567"/>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1, 3 a 4</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dotknutých ustanovení je nevyhnutná z dôvodu, že úpravu textu nemožno dosiahnuť len paušálnym nahradením názvov doterajších orgánov.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Vzhľadom na skutočnosť, že okresný úrad ako integrovaný miestny orgán štátnej správy bude uskutočňovať štátnu správu na úseku lesného hospodárstva, aj na úseku starostlivosti o životné prostredie, predmetné ustanovenie sa stáva nadbytočným, z toho dôvodu sa vypúšťa.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5</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úpravy nadväzujúce na čl. I, kde sa ustanovuje územná pôsobnosť okresného úradu v sídle kraja a jeho pôsobnosť pri rozhodovaní o opravných prostriedkoch proti rozhodnutiam okresných úradov, na ktoré prechádza pôsobnosť zrušovaných obvodných lesných úradov.</w:t>
      </w:r>
    </w:p>
    <w:p w:rsidR="00C15711" w:rsidRPr="00C15711" w:rsidP="00C15711">
      <w:pPr>
        <w:bidi w:val="0"/>
        <w:spacing w:after="0" w:line="240" w:lineRule="auto"/>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6</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Ustanovenie o vymáhaní sankcie sa vypúšťa vzhľadom na novo navrhovanú právnu úpravu v čl. I, podľa ktorej výkon rozhodnutia okresného úradu a s tým súvisiace vymáhanie uloženej sankcie za priestupok bude uskutočňovať ministerstvo vnútra.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7 a 8</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XXXIV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dotknutého ustanovenia je nevyhnutná z dôvodu, že úpravu textu nemožno vzhľadom na zavedenú legislatívnu skratku dosiahnuť len paušálnym nahradením názvov doterajších orgánov.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zrušovaného miestneho orgánu štátnej správy názvom úradu, na ktorý sa presúva jeho pôsobnosť.</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XXXV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úpravu nadväzujúcu na zrušenie krajských stavebných úradov podľa zákona         č. 345/2012 Z. z.</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 a 3</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Podľa platného právneho stavu obvodné úrady a obvodné úrady v sídlach krajov vypracúvajú povodňové plány záchranných prác obvodov a krajov. Obvodné úrady životného prostredia a obvodné úrady životného prostredia v sídlach krajov z povodňových plánov zabezpečovacích prác správcov vodných tokov a z povodňových plánov záchranných prác obvodov a krajov vypracúvajú povodňové plány obvodov a povodňové plány krajov. V súlade s § 10 ods. 1 tohto zákona sa vyhotoví na úrovni okresu a tiež na úrovni kraja jeden komplexný povodňový plán ako dokument organizačného a technického charakteru, ktorý bude obsahovať navzájom zosúladené časti týkajúce sa prípravy a vykonávania zásahov povodňových zabezpečovacích prác a povodňových záchranných prác na príslušnom území.</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p>
    <w:p w:rsidR="00C15711" w:rsidRPr="00C15711" w:rsidP="00C15711">
      <w:pPr>
        <w:bidi w:val="0"/>
        <w:spacing w:after="0" w:line="240" w:lineRule="auto"/>
        <w:jc w:val="both"/>
        <w:rPr>
          <w:rFonts w:ascii="Times New Roman" w:hAnsi="Times New Roman" w:cs="Times New Roman"/>
          <w:b/>
          <w:color w:val="000000"/>
          <w:sz w:val="24"/>
          <w:szCs w:val="24"/>
          <w:lang w:eastAsia="sk-SK"/>
        </w:rPr>
      </w:pPr>
      <w:r w:rsidRPr="00C15711">
        <w:rPr>
          <w:rFonts w:ascii="Times New Roman" w:hAnsi="Times New Roman" w:cs="Times New Roman"/>
          <w:b/>
          <w:color w:val="000000"/>
          <w:sz w:val="24"/>
          <w:szCs w:val="24"/>
          <w:lang w:eastAsia="sk-SK"/>
        </w:rPr>
        <w:t>K bodu 4</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Mimoriadnu situáciu vyhlasuje podľa platného právneho stavu obvodný úrad na návrh územne príslušného orgánu ochrany pred povodňami (obvodného úradu životného prostredia) počas III. stupňa povodňovej aktivity, ak hrozí bezprostredné ohrozenie životov, zdravia, majetku, kultúrneho dedičstva alebo životného prostredia povodňou. Pôsobnosť vyhlasovať stupne povodňovej aktivity a pôsobnosť vyhlasovať mimoriadnu situáciu v súlade s čl. I prechádza na okresné úrady ako integrované miestne orgány štátnej správy, z toho dôvodu nie je potrebné predkladať návrh na vyhlásenie mimoriadnej situácie.</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p>
    <w:p w:rsidR="00C15711" w:rsidRPr="00C15711" w:rsidP="00C15711">
      <w:pPr>
        <w:bidi w:val="0"/>
        <w:spacing w:after="0" w:line="240" w:lineRule="auto"/>
        <w:jc w:val="both"/>
        <w:rPr>
          <w:rFonts w:ascii="Times New Roman" w:hAnsi="Times New Roman" w:cs="Times New Roman"/>
          <w:b/>
          <w:color w:val="000000"/>
          <w:sz w:val="24"/>
          <w:szCs w:val="24"/>
          <w:lang w:eastAsia="sk-SK"/>
        </w:rPr>
      </w:pPr>
      <w:r w:rsidRPr="00C15711">
        <w:rPr>
          <w:rFonts w:ascii="Times New Roman" w:hAnsi="Times New Roman" w:cs="Times New Roman"/>
          <w:b/>
          <w:color w:val="000000"/>
          <w:sz w:val="24"/>
          <w:szCs w:val="24"/>
          <w:lang w:eastAsia="sk-SK"/>
        </w:rPr>
        <w:t xml:space="preserve">K bodom 5, </w:t>
      </w:r>
      <w:r w:rsidRPr="00C15711">
        <w:rPr>
          <w:rFonts w:ascii="Times New Roman" w:hAnsi="Times New Roman" w:cs="Times New Roman"/>
          <w:b/>
          <w:sz w:val="24"/>
          <w:szCs w:val="24"/>
          <w:lang w:eastAsia="sk-SK"/>
        </w:rPr>
        <w:t>48 a 50 až 55</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Legislatívno-technické úpravy, keďže orgánom ochrany pred povodňami bude okresný úrad ako integrovaný miestny orgán štátnej správy v súlade s čl. I.</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p>
    <w:p w:rsidR="00C15711" w:rsidRPr="00C15711" w:rsidP="00C15711">
      <w:pPr>
        <w:bidi w:val="0"/>
        <w:spacing w:after="0" w:line="240" w:lineRule="auto"/>
        <w:jc w:val="both"/>
        <w:rPr>
          <w:rFonts w:ascii="Times New Roman" w:hAnsi="Times New Roman" w:cs="Times New Roman"/>
          <w:b/>
          <w:color w:val="000000"/>
          <w:sz w:val="24"/>
          <w:szCs w:val="24"/>
          <w:lang w:eastAsia="sk-SK"/>
        </w:rPr>
      </w:pPr>
      <w:r w:rsidRPr="00C15711">
        <w:rPr>
          <w:rFonts w:ascii="Times New Roman" w:hAnsi="Times New Roman" w:cs="Times New Roman"/>
          <w:b/>
          <w:color w:val="000000"/>
          <w:sz w:val="24"/>
          <w:szCs w:val="24"/>
          <w:lang w:eastAsia="sk-SK"/>
        </w:rPr>
        <w:t>K bodu 6</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Navrhovanou úpravou sa spresňuje okruh prijímateľov mimoriadneho hydrologického spravodajstva počas povodňovej situácie.</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p>
    <w:p w:rsidR="00C15711" w:rsidRPr="00C15711" w:rsidP="00C15711">
      <w:pPr>
        <w:bidi w:val="0"/>
        <w:spacing w:after="0" w:line="240" w:lineRule="auto"/>
        <w:jc w:val="both"/>
        <w:rPr>
          <w:rFonts w:ascii="Times New Roman" w:hAnsi="Times New Roman" w:cs="Times New Roman"/>
          <w:b/>
          <w:color w:val="000000"/>
          <w:sz w:val="24"/>
          <w:szCs w:val="24"/>
          <w:lang w:eastAsia="sk-SK"/>
        </w:rPr>
      </w:pPr>
      <w:r w:rsidRPr="00C15711">
        <w:rPr>
          <w:rFonts w:ascii="Times New Roman" w:hAnsi="Times New Roman" w:cs="Times New Roman"/>
          <w:b/>
          <w:color w:val="000000"/>
          <w:sz w:val="24"/>
          <w:szCs w:val="24"/>
          <w:lang w:eastAsia="sk-SK"/>
        </w:rPr>
        <w:t>K bodu 7</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Ide o úpravu nadväzujúcu na zrušenie obvodných úradov životného prostredia a presun ich pôsobnosti na okresné úrady v súlade s čl. I. Pôsobnosť zabezpečovať hlásnu povodňovú službu bude vykonávať okresný úrad ako integrovaný miestny orgán štátnej správy.</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p>
    <w:p w:rsidR="00C15711" w:rsidRPr="00C15711" w:rsidP="00C15711">
      <w:pPr>
        <w:bidi w:val="0"/>
        <w:spacing w:after="0" w:line="240" w:lineRule="auto"/>
        <w:jc w:val="both"/>
        <w:rPr>
          <w:rFonts w:ascii="Times New Roman" w:hAnsi="Times New Roman" w:cs="Times New Roman"/>
          <w:b/>
          <w:color w:val="000000"/>
          <w:sz w:val="24"/>
          <w:szCs w:val="24"/>
          <w:lang w:eastAsia="sk-SK"/>
        </w:rPr>
      </w:pPr>
      <w:r w:rsidRPr="00C15711">
        <w:rPr>
          <w:rFonts w:ascii="Times New Roman" w:hAnsi="Times New Roman" w:cs="Times New Roman"/>
          <w:b/>
          <w:color w:val="000000"/>
          <w:sz w:val="24"/>
          <w:szCs w:val="24"/>
          <w:lang w:eastAsia="sk-SK"/>
        </w:rPr>
        <w:t>K bodom 8 až 12</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Zmeny dotknutých ustanovení § 19 vyplývajú z potreby úpravy systému predkladania správ o priebehu a následkoch povodní a vyhodnocovania výdavkov a povodňových škôd. Ide o úpravy nadväzujúce na zrušenie obvodných úradov životného prostredia a presun ich pôsobnosti na okresné úrady v súlade s čl. I, ktoré budú orgánmi ochrany pred povodňami.</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p>
    <w:p w:rsidR="00C15711" w:rsidRPr="00C15711" w:rsidP="00C15711">
      <w:pPr>
        <w:bidi w:val="0"/>
        <w:spacing w:after="0" w:line="240" w:lineRule="auto"/>
        <w:jc w:val="both"/>
        <w:rPr>
          <w:rFonts w:ascii="Times New Roman" w:hAnsi="Times New Roman" w:cs="Times New Roman"/>
          <w:b/>
          <w:color w:val="000000"/>
          <w:sz w:val="24"/>
          <w:szCs w:val="24"/>
          <w:lang w:eastAsia="sk-SK"/>
        </w:rPr>
      </w:pPr>
      <w:r w:rsidRPr="00C15711">
        <w:rPr>
          <w:rFonts w:ascii="Times New Roman" w:hAnsi="Times New Roman" w:cs="Times New Roman"/>
          <w:b/>
          <w:color w:val="000000"/>
          <w:sz w:val="24"/>
          <w:szCs w:val="24"/>
          <w:lang w:eastAsia="sk-SK"/>
        </w:rPr>
        <w:t>K bodom 13 až 20 a 38</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xml:space="preserve">Ide o úpravy nadväzujúce na zrušenie obvodných úradov životného prostredia a presun ich pôsobnosti na okresné úrady v súlade s čl. I. </w:t>
      </w:r>
      <w:r w:rsidRPr="00C15711">
        <w:rPr>
          <w:rFonts w:ascii="Times New Roman" w:hAnsi="Times New Roman" w:cs="Times New Roman"/>
          <w:sz w:val="24"/>
          <w:szCs w:val="24"/>
          <w:lang w:eastAsia="sk-SK"/>
        </w:rPr>
        <w:t>Navrhovanými úpravami sa spájajú povinnosti, ktoré doteraz v oblasti protipovodňovej ochrany plnili obvodný úrad životného prostredia v sídle kraja ako orgán ochrany pred povodňami a obvodný úrad v sídle kraja. Pôsobnosť v oblasti manažmentu povodňových rizík bude uskutočňovať okresný úrad v sídle kraja ako integrovaný miestny orgán štátnej správy.</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p>
    <w:p w:rsidR="00C15711" w:rsidRPr="00C15711" w:rsidP="00C15711">
      <w:pPr>
        <w:bidi w:val="0"/>
        <w:spacing w:after="0" w:line="240" w:lineRule="auto"/>
        <w:jc w:val="both"/>
        <w:rPr>
          <w:rFonts w:ascii="Times New Roman" w:hAnsi="Times New Roman" w:cs="Times New Roman"/>
          <w:b/>
          <w:color w:val="000000"/>
          <w:sz w:val="24"/>
          <w:szCs w:val="24"/>
          <w:lang w:eastAsia="sk-SK"/>
        </w:rPr>
      </w:pPr>
      <w:r w:rsidRPr="00C15711">
        <w:rPr>
          <w:rFonts w:ascii="Times New Roman" w:hAnsi="Times New Roman" w:cs="Times New Roman"/>
          <w:b/>
          <w:color w:val="000000"/>
          <w:sz w:val="24"/>
          <w:szCs w:val="24"/>
          <w:lang w:eastAsia="sk-SK"/>
        </w:rPr>
        <w:t>K bodom 21 až 28 a 44</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xml:space="preserve">Ide o úpravy nadväzujúce na zrušenie obvodných úradov životného prostredia a presun ich pôsobnosti na okresné úrady v súlade s čl. I. </w:t>
      </w:r>
      <w:r w:rsidRPr="00C15711">
        <w:rPr>
          <w:rFonts w:ascii="Times New Roman" w:hAnsi="Times New Roman" w:cs="Times New Roman"/>
          <w:sz w:val="24"/>
          <w:szCs w:val="24"/>
          <w:lang w:eastAsia="sk-SK"/>
        </w:rPr>
        <w:t>Navrhovanými úpravami sa spájajú povinnosti, ktoré doteraz v oblasti protipovodňovej ochrany plnili obvodný úrad životného prostredia ako orgán ochrany pred povodňami a obvodný úrad. Pôsobnosť v oblasti manažmentu povodňových rizík bude uskutočňovať okresný úrad ako integrovaný miestny orgán štátnej správy.</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29, 31 až 33, 42 a 43</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r w:rsidRPr="00C15711">
        <w:rPr>
          <w:rFonts w:ascii="Times New Roman" w:hAnsi="Times New Roman" w:cs="Times New Roman"/>
          <w:color w:val="000000"/>
          <w:sz w:val="24"/>
          <w:szCs w:val="24"/>
          <w:lang w:eastAsia="sk-SK"/>
        </w:rPr>
        <w:t>Legislatívno-technické úpravy nadväzujúce na zrušenie obvodných úradov životného prostredia a presun ich pôsobnosti na okresné úrady ako integrované miestne orgány štátnej správy podľa čl. I.</w:t>
      </w: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p>
    <w:p w:rsidR="00C15711" w:rsidRPr="00C15711" w:rsidP="00C15711">
      <w:pPr>
        <w:bidi w:val="0"/>
        <w:spacing w:after="0" w:line="240" w:lineRule="auto"/>
        <w:ind w:firstLine="567"/>
        <w:jc w:val="both"/>
        <w:rPr>
          <w:rFonts w:ascii="Times New Roman" w:hAnsi="Times New Roman" w:cs="Times New Roman"/>
          <w:color w:val="000000"/>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30 a 36</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Podľa platnej právnej úpravy obec zabezpečuje plnenie úloh na úseku ochrany prostredníctvom krízového štábu alebo povodňovej komisie obce. Navrhovaná úprava zjednocuje prístup k ochrane pred povodňami v obciach. Každá obec zriaďuje povodňovú komisiu obce ako orgán, ktorý koordinuje a kontroluje prípravu a plnenie úloh pri ochrane pred povodňami.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34 a 35</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Ustanovuje sa, že tajomníkom krajskej povodňovej komisie a obvodnej povodňovej komisie bude v novom integrovanom miestnom orgáne štátnej správy zástupca organizačného útvaru štátnej vodnej správy okresného úradu. Cieľom návrhu je zachovať náležitú odbornú úroveň činnosti povodňových komisií v krajoch a okresoch. Súčasne sa navrhovanými úpravami zosúlaďuje znenie ustanovenia vzhľadom na pôsobnosť okresného úradu, ktorý bude uskutočňovať výkon štátnej správy aj na úsekoch presunutých zo zrušovaných obvodných úradov pre cestnú dopravu a pozemné komunikácie a obvodných lesných úradov.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37</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Správy o vykonávaní povodňových záchranných prác a o</w:t>
      </w:r>
      <w:r w:rsidRPr="00C15711">
        <w:rPr>
          <w:rFonts w:ascii="Times New Roman" w:hAnsi="Times New Roman" w:cs="Times New Roman"/>
          <w:sz w:val="24"/>
          <w:szCs w:val="24"/>
          <w:lang w:eastAsia="sk-SK"/>
        </w:rPr>
        <w:t> </w:t>
      </w:r>
      <w:r w:rsidRPr="00C15711">
        <w:rPr>
          <w:rFonts w:ascii="Times New Roman" w:hAnsi="Times New Roman" w:cs="Times New Roman"/>
          <w:sz w:val="24"/>
          <w:szCs w:val="24"/>
          <w:lang w:eastAsia="sk-SK"/>
        </w:rPr>
        <w:t>výdavkoch na povodňové záchranné práce v okresoch a krajoch už nebude potrebné spracovávať samostatne ministerstvom vnútra, keďže tieto budú súčasťou správ o priebehu a následkoch povodní spracovaných okresnými úradmi a okresnými úradmi v sídlach krajov podľa ustanovenia § 19 tohto zákona.</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39 až 41 a 45 až 47</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color w:val="000000"/>
          <w:sz w:val="24"/>
          <w:szCs w:val="24"/>
          <w:lang w:eastAsia="sk-SK"/>
        </w:rPr>
        <w:t xml:space="preserve">Ide o úpravy nadväzujúce na zrušenie obvodných úradov životného prostredia a presun ich pôsobnosti na okresné úrady ako integrované miestne orgány štátnej správy v súlade         s čl. I. </w:t>
      </w:r>
      <w:r w:rsidRPr="00C15711">
        <w:rPr>
          <w:rFonts w:ascii="Times New Roman" w:hAnsi="Times New Roman" w:cs="Times New Roman"/>
          <w:sz w:val="24"/>
          <w:szCs w:val="24"/>
          <w:lang w:eastAsia="sk-SK"/>
        </w:rPr>
        <w:t>Partnermi krajských riaditeľstiev Hasičského a záchranného zboru budú okresné úrady v sídlach krajov a okresných riaditeľstiev Hasičského a záchranného zboru okresné úrady ako orgány ochrany pred povodňami na príslušných územiach.</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49</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Partnerom mestských, obecných a závodných hasičských jednotiek v oblasti zásahov povodňových záchranných prác budú po zmenách organizácie miestnej štátnej správy podľa čl. I okresné úrady ako orgány ochrany pred povodňami počas III. stupňa povodňovej aktivity, ako aj počas mimoriadnej situácie.</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56 až 59</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nahrádzajú názvy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XXXVI</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nadväznosti na úpravu obsiahnutú v čl. I sa primerane upravuje názov všeobecne záväzného právneho predpisu vydávaného miestnym orgánom štátnej správy tak, aby jeho názov bol jednotný v celej sfére miestnej štátnej správy. Súčasne sa v predmetnom ustanovení v nadväznosti na zákon č. 345/2012 Z. z. a v súlade s čl. I nahrádza názov zrušeného úradu názvom úradu, na ktorý bola presunutá jeho pôsobnosť.</w:t>
      </w: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bodom 2 a 3</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b/>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XXXVII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Ide o úpravy nadväzujúce na čl. I, kde sa ustanovuje pôsobnosť okresného úradu v sídle kraja pri rozhodovaní o opravných prostriedkoch proti rozhodnutiam okresných úradov, na ktoré prechádza pôsobnosť zrušovaných obvodných lesných úradov.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Ustanovenie o ukladaní a vymáhaní sankcií sa vypúšťa. Vzhľadom na novo navrhovanú právnu úpravu v čl. I výkon rozhodnutia okresného úradu a s tým súvisiace vymáhanie uloženej sankcie bude uskutočňovať ministerstvo vnútra. Z ustanovenia § 23 písm. f) tohto zákona je zrejmé, že orgán, ktorý prejednáva priestupky a iné správne delikty, zároveň ukladá za ne pokuty, z toho dôvodu nie je nevyhnuté túto skutočnosť zdôrazňovať v osobitnom ustanovení.</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mallCaps/>
          <w:sz w:val="24"/>
          <w:szCs w:val="24"/>
          <w:lang w:eastAsia="sk-SK"/>
        </w:rPr>
      </w:pPr>
      <w:r w:rsidRPr="00C15711">
        <w:rPr>
          <w:rFonts w:ascii="Times New Roman" w:hAnsi="Times New Roman" w:cs="Times New Roman"/>
          <w:b/>
          <w:sz w:val="24"/>
          <w:szCs w:val="24"/>
          <w:lang w:eastAsia="sk-SK"/>
        </w:rPr>
        <w:t>K bodom 3 a 4</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zrušeného a zrušovaného miestneho orgánu štátnej správy názvom úradu, na ktorý bola presunutá jeho pôsobnosť. Táto zmena je vyvolaná zmenou pôsobnosti a ustanovením novej štruktúry miestnej štátnej správy podľa zákona č. 345/2012 Z. z. a podľa čl. I.</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XXXVIII</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dotknutého ustanovenia je nevyhnutná z dôvodu, že úpravu textu nemožno vzhľadom na zavedenú legislatívnu skratku dosiahnuť len paušálnym nahradením názvov doterajších orgánov.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zrušovaného miestneho orgánu štátnej správy názvom úradu, na ktorý sa presúva jeho pôsobnosť.</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XXXIX</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Úprava dotknutého ustanovenia je nevyhnutná z dôvodu, že úpravu textu nemožno vzhľadom na zavedenú legislatívnu skratku dosiahnuť len paušálnym nahradením názvov doterajších orgánov.</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bodu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Všeobecným ustanovením sa nahrádza názov zrušovaného miestneho orgánu štátnej správy názvom úradu, na ktorý sa presúva jeho pôsobnosť.</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čl. XL</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Navrhuje sa, aby zákon nadobudol jednotnú účinnosť 1. októbra 2013 so zreteľom na predpokladaný priebeh legislatívneho procesu.</w:t>
      </w:r>
    </w:p>
    <w:p w:rsidR="00C15711" w:rsidRPr="00C15711" w:rsidP="00C15711">
      <w:pPr>
        <w:bidi w:val="0"/>
        <w:spacing w:after="0" w:line="240" w:lineRule="auto"/>
        <w:jc w:val="both"/>
        <w:rPr>
          <w:rFonts w:ascii="Times New Roman" w:hAnsi="Times New Roman" w:cs="Times New Roman"/>
          <w:sz w:val="28"/>
          <w:szCs w:val="28"/>
          <w:lang w:eastAsia="sk-SK"/>
        </w:rPr>
      </w:pPr>
    </w:p>
    <w:p w:rsidR="00C15711" w:rsidRPr="00C15711" w:rsidP="00C15711">
      <w:pPr>
        <w:bidi w:val="0"/>
        <w:spacing w:after="0" w:line="240" w:lineRule="auto"/>
        <w:jc w:val="both"/>
        <w:rPr>
          <w:rFonts w:ascii="Times New Roman" w:hAnsi="Times New Roman" w:cs="Times New Roman"/>
          <w:b/>
          <w:sz w:val="24"/>
          <w:szCs w:val="24"/>
          <w:lang w:eastAsia="sk-SK"/>
        </w:rPr>
      </w:pPr>
      <w:r w:rsidRPr="00C15711">
        <w:rPr>
          <w:rFonts w:ascii="Times New Roman" w:hAnsi="Times New Roman" w:cs="Times New Roman"/>
          <w:b/>
          <w:sz w:val="24"/>
          <w:szCs w:val="24"/>
          <w:lang w:eastAsia="sk-SK"/>
        </w:rPr>
        <w:t>K prílohe č. 1</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nadväznosti na § 3 ods. 1 návrhu zákona sa ustanovujú sídla a územné obvody 72 okresných úradov, ktoré budú vykonávať štátnu správu na vymedzených úsekoch.</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b/>
          <w:sz w:val="24"/>
          <w:szCs w:val="24"/>
          <w:lang w:eastAsia="sk-SK"/>
        </w:rPr>
        <w:t>K prílohe č. 2</w:t>
      </w:r>
    </w:p>
    <w:p w:rsidR="00C15711" w:rsidRPr="00C15711" w:rsidP="00C15711">
      <w:pPr>
        <w:bidi w:val="0"/>
        <w:spacing w:after="0" w:line="240" w:lineRule="auto"/>
        <w:ind w:firstLine="567"/>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nadväznosti na § 3 ods. 2 návrhu zákona sa ustanovujú sídla a územné obvody 49 okresných úradov, ktoré budú vykonávať štátnu správu na vymedzených úsekoch.</w:t>
      </w: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ind w:firstLine="567"/>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V Bratislave 24. apríla 2013</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bidi w:val="0"/>
        <w:spacing w:after="0" w:line="240" w:lineRule="auto"/>
        <w:jc w:val="center"/>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Robert Fico, v.r.</w:t>
      </w:r>
    </w:p>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predseda vlády</w:t>
      </w:r>
    </w:p>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Slovenskej republiky</w:t>
      </w:r>
    </w:p>
    <w:p w:rsidR="00C15711" w:rsidRPr="00C15711" w:rsidP="00C15711">
      <w:pPr>
        <w:bidi w:val="0"/>
        <w:spacing w:after="0" w:line="240" w:lineRule="auto"/>
        <w:jc w:val="center"/>
        <w:rPr>
          <w:rFonts w:ascii="Times New Roman" w:hAnsi="Times New Roman" w:cs="Times New Roman"/>
          <w:sz w:val="24"/>
          <w:szCs w:val="24"/>
          <w:lang w:eastAsia="sk-SK"/>
        </w:rPr>
      </w:pPr>
    </w:p>
    <w:p w:rsidR="00C15711" w:rsidRPr="00C15711" w:rsidP="00C15711">
      <w:pPr>
        <w:bidi w:val="0"/>
        <w:spacing w:after="0" w:line="240" w:lineRule="auto"/>
        <w:jc w:val="center"/>
        <w:rPr>
          <w:rFonts w:ascii="Times New Roman" w:hAnsi="Times New Roman" w:cs="Times New Roman"/>
          <w:sz w:val="24"/>
          <w:szCs w:val="24"/>
          <w:lang w:eastAsia="sk-SK"/>
        </w:rPr>
      </w:pPr>
    </w:p>
    <w:p w:rsidR="00C15711" w:rsidRPr="00C15711" w:rsidP="00C15711">
      <w:pPr>
        <w:bidi w:val="0"/>
        <w:spacing w:after="0" w:line="240" w:lineRule="auto"/>
        <w:jc w:val="center"/>
        <w:rPr>
          <w:rFonts w:ascii="Times New Roman" w:hAnsi="Times New Roman" w:cs="Times New Roman"/>
          <w:sz w:val="24"/>
          <w:szCs w:val="24"/>
          <w:lang w:eastAsia="sk-SK"/>
        </w:rPr>
      </w:pPr>
    </w:p>
    <w:p w:rsidR="00C15711" w:rsidRPr="00C15711" w:rsidP="00C15711">
      <w:pPr>
        <w:bidi w:val="0"/>
        <w:spacing w:after="0" w:line="240" w:lineRule="auto"/>
        <w:jc w:val="center"/>
        <w:rPr>
          <w:rFonts w:ascii="Times New Roman" w:hAnsi="Times New Roman" w:cs="Times New Roman"/>
          <w:sz w:val="24"/>
          <w:szCs w:val="24"/>
          <w:lang w:eastAsia="sk-SK"/>
        </w:rPr>
      </w:pPr>
    </w:p>
    <w:p w:rsidR="00C15711" w:rsidRPr="00C15711" w:rsidP="00C15711">
      <w:pPr>
        <w:bidi w:val="0"/>
        <w:spacing w:after="0" w:line="240" w:lineRule="auto"/>
        <w:jc w:val="center"/>
        <w:rPr>
          <w:rFonts w:ascii="Times New Roman" w:hAnsi="Times New Roman" w:cs="Times New Roman"/>
          <w:sz w:val="24"/>
          <w:szCs w:val="24"/>
          <w:lang w:eastAsia="sk-SK"/>
        </w:rPr>
      </w:pPr>
    </w:p>
    <w:p w:rsidR="00C15711" w:rsidRPr="00C15711" w:rsidP="00C15711">
      <w:pPr>
        <w:bidi w:val="0"/>
        <w:spacing w:after="0" w:line="240" w:lineRule="auto"/>
        <w:jc w:val="center"/>
        <w:rPr>
          <w:rFonts w:ascii="Times New Roman" w:hAnsi="Times New Roman" w:cs="Times New Roman"/>
          <w:b/>
          <w:bCs/>
          <w:sz w:val="24"/>
          <w:szCs w:val="24"/>
          <w:lang w:eastAsia="sk-SK"/>
        </w:rPr>
      </w:pPr>
      <w:r w:rsidRPr="00C15711">
        <w:rPr>
          <w:rFonts w:ascii="Times New Roman" w:hAnsi="Times New Roman" w:cs="Times New Roman"/>
          <w:b/>
          <w:bCs/>
          <w:sz w:val="24"/>
          <w:szCs w:val="24"/>
          <w:lang w:eastAsia="sk-SK"/>
        </w:rPr>
        <w:t>Robert Kaliňák, v.r.</w:t>
      </w:r>
    </w:p>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podpredseda vlády a minister vnútra</w:t>
      </w:r>
    </w:p>
    <w:p w:rsidR="00C15711" w:rsidRPr="00C15711" w:rsidP="00C15711">
      <w:pPr>
        <w:bidi w:val="0"/>
        <w:spacing w:after="0" w:line="240" w:lineRule="auto"/>
        <w:jc w:val="center"/>
        <w:rPr>
          <w:rFonts w:ascii="Times New Roman" w:hAnsi="Times New Roman" w:cs="Times New Roman"/>
          <w:sz w:val="24"/>
          <w:szCs w:val="24"/>
          <w:lang w:eastAsia="sk-SK"/>
        </w:rPr>
      </w:pPr>
      <w:r w:rsidRPr="00C15711">
        <w:rPr>
          <w:rFonts w:ascii="Times New Roman" w:hAnsi="Times New Roman" w:cs="Times New Roman"/>
          <w:sz w:val="24"/>
          <w:szCs w:val="24"/>
          <w:lang w:eastAsia="sk-SK"/>
        </w:rPr>
        <w:t>Slovenskej republiky</w:t>
      </w:r>
    </w:p>
    <w:p w:rsidR="00C15711" w:rsidRPr="00C15711" w:rsidP="00C15711">
      <w:pPr>
        <w:bidi w:val="0"/>
        <w:spacing w:after="0" w:line="240" w:lineRule="auto"/>
        <w:jc w:val="both"/>
        <w:rPr>
          <w:rFonts w:ascii="Times New Roman" w:hAnsi="Times New Roman" w:cs="Times New Roman"/>
          <w:sz w:val="24"/>
          <w:szCs w:val="24"/>
          <w:lang w:eastAsia="sk-SK"/>
        </w:rPr>
      </w:pPr>
    </w:p>
    <w:p w:rsidR="00C15711" w:rsidRPr="00C15711" w:rsidP="00C15711">
      <w:pPr>
        <w:widowControl w:val="0"/>
        <w:autoSpaceDE w:val="0"/>
        <w:autoSpaceDN w:val="0"/>
        <w:bidi w:val="0"/>
        <w:adjustRightInd w:val="0"/>
        <w:spacing w:after="0" w:line="240" w:lineRule="auto"/>
        <w:ind w:left="284" w:hanging="284"/>
        <w:jc w:val="both"/>
        <w:rPr>
          <w:rFonts w:ascii="Times New Roman" w:hAnsi="Times New Roman" w:cs="Times New Roman"/>
          <w:sz w:val="24"/>
          <w:szCs w:val="24"/>
          <w:lang w:eastAsia="sk-SK"/>
        </w:rPr>
      </w:pPr>
      <w:r w:rsidRPr="00C15711">
        <w:rPr>
          <w:rFonts w:ascii="Times New Roman" w:hAnsi="Times New Roman" w:cs="Times New Roman"/>
          <w:sz w:val="24"/>
          <w:szCs w:val="24"/>
          <w:lang w:eastAsia="sk-SK"/>
        </w:rPr>
        <w:t xml:space="preserve">  </w:t>
      </w:r>
    </w:p>
    <w:p w:rsidR="000C0DA0">
      <w:pPr>
        <w:bidi w:val="0"/>
      </w:pPr>
    </w:p>
    <w:sectPr w:rsidSect="00C15711">
      <w:footerReference w:type="default" r:id="rId8"/>
      <w:footerReference w:type="first" r:id="rId9"/>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Verdana">
    <w:panose1 w:val="020B060403050404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11" w:rsidP="00C157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15711" w:rsidP="00C1571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11">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20FBD">
      <w:rPr>
        <w:rFonts w:ascii="Times New Roman" w:hAnsi="Times New Roman"/>
        <w:noProof/>
      </w:rPr>
      <w:t>38</w:t>
    </w:r>
    <w:r>
      <w:rPr>
        <w:rFonts w:ascii="Times New Roman" w:hAnsi="Times New Roman"/>
      </w:rPr>
      <w:fldChar w:fldCharType="end"/>
    </w:r>
  </w:p>
  <w:p w:rsidR="00C15711">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11">
    <w:pPr>
      <w:pStyle w:val="Footer"/>
      <w:bidi w:val="0"/>
      <w:rPr>
        <w:rFonts w:ascii="Times New Roman" w:hAnsi="Times New Roman"/>
      </w:rPr>
    </w:pPr>
    <w:r>
      <w:rPr>
        <w:rFonts w:ascii="Times New Roman" w:hAnsi="Times New Roman"/>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D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20FBD">
      <w:rPr>
        <w:rFonts w:ascii="Times New Roman" w:hAnsi="Times New Roman"/>
        <w:noProof/>
      </w:rPr>
      <w:t>80</w:t>
    </w:r>
    <w:r>
      <w:rPr>
        <w:rFonts w:ascii="Times New Roman" w:hAnsi="Times New Roman"/>
      </w:rPr>
      <w:fldChar w:fldCharType="end"/>
    </w:r>
  </w:p>
  <w:p w:rsidR="00C15711">
    <w:pPr>
      <w:pStyle w:val="Footer"/>
      <w:bidi w:val="0"/>
      <w:jc w:val="center"/>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D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20FBD">
      <w:rPr>
        <w:rFonts w:ascii="Times New Roman" w:hAnsi="Times New Roman"/>
        <w:noProof/>
      </w:rPr>
      <w:t>61</w:t>
    </w:r>
    <w:r>
      <w:rPr>
        <w:rFonts w:ascii="Times New Roman" w:hAnsi="Times New Roman"/>
      </w:rPr>
      <w:fldChar w:fldCharType="end"/>
    </w:r>
  </w:p>
  <w:p w:rsidR="00873AD6">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11" w:rsidP="00C15711">
    <w:pPr>
      <w:pStyle w:val="Header"/>
      <w:bidi w:val="0"/>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CFB"/>
    <w:multiLevelType w:val="hybridMultilevel"/>
    <w:tmpl w:val="A52AD164"/>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5836F7"/>
    <w:multiLevelType w:val="hybridMultilevel"/>
    <w:tmpl w:val="CFE4DD1E"/>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
    <w:nsid w:val="120B755B"/>
    <w:multiLevelType w:val="hybridMultilevel"/>
    <w:tmpl w:val="22EC2B98"/>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
    <w:nsid w:val="13CC2A0E"/>
    <w:multiLevelType w:val="hybridMultilevel"/>
    <w:tmpl w:val="C29EC774"/>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
    <w:nsid w:val="1DA44311"/>
    <w:multiLevelType w:val="hybridMultilevel"/>
    <w:tmpl w:val="C46A88E4"/>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6">
    <w:nsid w:val="223160F2"/>
    <w:multiLevelType w:val="hybridMultilevel"/>
    <w:tmpl w:val="9CF87C7A"/>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7">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DFD0427"/>
    <w:multiLevelType w:val="hybridMultilevel"/>
    <w:tmpl w:val="8BBE9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7766007"/>
    <w:multiLevelType w:val="hybridMultilevel"/>
    <w:tmpl w:val="C0945E54"/>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1">
    <w:nsid w:val="3A5628DA"/>
    <w:multiLevelType w:val="hybridMultilevel"/>
    <w:tmpl w:val="9B80EA3A"/>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2">
    <w:nsid w:val="3B195CBD"/>
    <w:multiLevelType w:val="hybridMultilevel"/>
    <w:tmpl w:val="F490BD24"/>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3">
    <w:nsid w:val="3CE30BED"/>
    <w:multiLevelType w:val="hybridMultilevel"/>
    <w:tmpl w:val="356CFD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DC975C0"/>
    <w:multiLevelType w:val="hybridMultilevel"/>
    <w:tmpl w:val="BAC81F82"/>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5">
    <w:nsid w:val="41C44A1D"/>
    <w:multiLevelType w:val="hybridMultilevel"/>
    <w:tmpl w:val="12A812C0"/>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6">
    <w:nsid w:val="44A35A5F"/>
    <w:multiLevelType w:val="hybridMultilevel"/>
    <w:tmpl w:val="180CE04E"/>
    <w:lvl w:ilvl="0">
      <w:start w:val="30"/>
      <w:numFmt w:val="bullet"/>
      <w:lvlText w:val="-"/>
      <w:lvlJc w:val="left"/>
      <w:pPr>
        <w:ind w:left="715" w:hanging="360"/>
      </w:pPr>
      <w:rPr>
        <w:rFonts w:ascii="Times New Roman" w:eastAsia="Times New Roman" w:hAnsi="Times New Roman" w:hint="default"/>
      </w:rPr>
    </w:lvl>
    <w:lvl w:ilvl="1">
      <w:start w:val="1"/>
      <w:numFmt w:val="bullet"/>
      <w:lvlText w:val="o"/>
      <w:lvlJc w:val="left"/>
      <w:pPr>
        <w:ind w:left="1435" w:hanging="360"/>
      </w:pPr>
      <w:rPr>
        <w:rFonts w:ascii="Courier New" w:hAnsi="Courier New" w:hint="default"/>
      </w:rPr>
    </w:lvl>
    <w:lvl w:ilvl="2">
      <w:start w:val="1"/>
      <w:numFmt w:val="bullet"/>
      <w:lvlText w:val=""/>
      <w:lvlJc w:val="left"/>
      <w:pPr>
        <w:ind w:left="2155" w:hanging="360"/>
      </w:pPr>
      <w:rPr>
        <w:rFonts w:ascii="Wingdings" w:hAnsi="Wingdings" w:hint="default"/>
      </w:rPr>
    </w:lvl>
    <w:lvl w:ilvl="3">
      <w:start w:val="1"/>
      <w:numFmt w:val="bullet"/>
      <w:lvlText w:val=""/>
      <w:lvlJc w:val="left"/>
      <w:pPr>
        <w:ind w:left="2875" w:hanging="360"/>
      </w:pPr>
      <w:rPr>
        <w:rFonts w:ascii="Symbol" w:hAnsi="Symbol" w:hint="default"/>
      </w:rPr>
    </w:lvl>
    <w:lvl w:ilvl="4">
      <w:start w:val="1"/>
      <w:numFmt w:val="bullet"/>
      <w:lvlText w:val="o"/>
      <w:lvlJc w:val="left"/>
      <w:pPr>
        <w:ind w:left="3595" w:hanging="360"/>
      </w:pPr>
      <w:rPr>
        <w:rFonts w:ascii="Courier New" w:hAnsi="Courier New" w:hint="default"/>
      </w:rPr>
    </w:lvl>
    <w:lvl w:ilvl="5">
      <w:start w:val="1"/>
      <w:numFmt w:val="bullet"/>
      <w:lvlText w:val=""/>
      <w:lvlJc w:val="left"/>
      <w:pPr>
        <w:ind w:left="4315" w:hanging="360"/>
      </w:pPr>
      <w:rPr>
        <w:rFonts w:ascii="Wingdings" w:hAnsi="Wingdings" w:hint="default"/>
      </w:rPr>
    </w:lvl>
    <w:lvl w:ilvl="6">
      <w:start w:val="1"/>
      <w:numFmt w:val="bullet"/>
      <w:lvlText w:val=""/>
      <w:lvlJc w:val="left"/>
      <w:pPr>
        <w:ind w:left="5035" w:hanging="360"/>
      </w:pPr>
      <w:rPr>
        <w:rFonts w:ascii="Symbol" w:hAnsi="Symbol" w:hint="default"/>
      </w:rPr>
    </w:lvl>
    <w:lvl w:ilvl="7">
      <w:start w:val="1"/>
      <w:numFmt w:val="bullet"/>
      <w:lvlText w:val="o"/>
      <w:lvlJc w:val="left"/>
      <w:pPr>
        <w:ind w:left="5755" w:hanging="360"/>
      </w:pPr>
      <w:rPr>
        <w:rFonts w:ascii="Courier New" w:hAnsi="Courier New" w:hint="default"/>
      </w:rPr>
    </w:lvl>
    <w:lvl w:ilvl="8">
      <w:start w:val="1"/>
      <w:numFmt w:val="bullet"/>
      <w:lvlText w:val=""/>
      <w:lvlJc w:val="left"/>
      <w:pPr>
        <w:ind w:left="6475" w:hanging="360"/>
      </w:pPr>
      <w:rPr>
        <w:rFonts w:ascii="Wingdings" w:hAnsi="Wingdings" w:hint="default"/>
      </w:rPr>
    </w:lvl>
  </w:abstractNum>
  <w:abstractNum w:abstractNumId="17">
    <w:nsid w:val="476A7AD3"/>
    <w:multiLevelType w:val="hybridMultilevel"/>
    <w:tmpl w:val="9A9276DC"/>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8">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9">
    <w:nsid w:val="5732598F"/>
    <w:multiLevelType w:val="hybridMultilevel"/>
    <w:tmpl w:val="B05070E4"/>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0">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F36422C"/>
    <w:multiLevelType w:val="hybridMultilevel"/>
    <w:tmpl w:val="20605798"/>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2">
    <w:nsid w:val="73932CE9"/>
    <w:multiLevelType w:val="hybridMultilevel"/>
    <w:tmpl w:val="4A88D100"/>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num w:numId="1">
    <w:abstractNumId w:val="15"/>
  </w:num>
  <w:num w:numId="2">
    <w:abstractNumId w:val="12"/>
  </w:num>
  <w:num w:numId="3">
    <w:abstractNumId w:val="21"/>
  </w:num>
  <w:num w:numId="4">
    <w:abstractNumId w:val="3"/>
  </w:num>
  <w:num w:numId="5">
    <w:abstractNumId w:val="5"/>
  </w:num>
  <w:num w:numId="6">
    <w:abstractNumId w:val="22"/>
  </w:num>
  <w:num w:numId="7">
    <w:abstractNumId w:val="6"/>
  </w:num>
  <w:num w:numId="8">
    <w:abstractNumId w:val="2"/>
  </w:num>
  <w:num w:numId="9">
    <w:abstractNumId w:val="17"/>
  </w:num>
  <w:num w:numId="10">
    <w:abstractNumId w:val="10"/>
  </w:num>
  <w:num w:numId="11">
    <w:abstractNumId w:val="13"/>
  </w:num>
  <w:num w:numId="12">
    <w:abstractNumId w:val="8"/>
  </w:num>
  <w:num w:numId="13">
    <w:abstractNumId w:val="14"/>
  </w:num>
  <w:num w:numId="14">
    <w:abstractNumId w:val="4"/>
  </w:num>
  <w:num w:numId="15">
    <w:abstractNumId w:val="18"/>
  </w:num>
  <w:num w:numId="16">
    <w:abstractNumId w:val="7"/>
  </w:num>
  <w:num w:numId="17">
    <w:abstractNumId w:val="9"/>
  </w:num>
  <w:num w:numId="18">
    <w:abstractNumId w:val="1"/>
  </w:num>
  <w:num w:numId="19">
    <w:abstractNumId w:val="20"/>
  </w:num>
  <w:num w:numId="20">
    <w:abstractNumId w:val="16"/>
  </w:num>
  <w:num w:numId="21">
    <w:abstractNumId w:val="0"/>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C15711"/>
    <w:rsid w:val="000C0DA0"/>
    <w:rsid w:val="00120FBD"/>
    <w:rsid w:val="004A7E17"/>
    <w:rsid w:val="00873AD6"/>
    <w:rsid w:val="00C15711"/>
    <w:rsid w:val="00EF5C0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next w:val="Normal"/>
    <w:link w:val="Heading1Char"/>
    <w:uiPriority w:val="9"/>
    <w:qFormat/>
    <w:rsid w:val="00C15711"/>
    <w:pPr>
      <w:keepNext/>
      <w:keepLines/>
      <w:spacing w:before="360" w:after="120" w:line="240" w:lineRule="auto"/>
      <w:jc w:val="center"/>
      <w:outlineLvl w:val="0"/>
    </w:pPr>
    <w:rPr>
      <w:rFonts w:ascii="Times New Roman" w:eastAsia="Calibri" w:hAnsi="Times New Roman" w:cs="Times New Roman"/>
      <w:b/>
      <w:bCs/>
      <w:sz w:val="24"/>
      <w:szCs w:val="28"/>
    </w:rPr>
  </w:style>
  <w:style w:type="paragraph" w:styleId="Heading2">
    <w:name w:val="heading 2"/>
    <w:basedOn w:val="Normal"/>
    <w:next w:val="Normal"/>
    <w:link w:val="Heading2Char"/>
    <w:semiHidden/>
    <w:unhideWhenUsed/>
    <w:qFormat/>
    <w:rsid w:val="00C15711"/>
    <w:pPr>
      <w:keepNext/>
      <w:tabs>
        <w:tab w:val="left" w:pos="0"/>
      </w:tabs>
      <w:autoSpaceDE w:val="0"/>
      <w:autoSpaceDN w:val="0"/>
      <w:spacing w:after="0" w:line="240" w:lineRule="auto"/>
      <w:jc w:val="both"/>
      <w:outlineLvl w:val="1"/>
    </w:pPr>
    <w:rPr>
      <w:rFonts w:ascii="Arial" w:hAnsi="Arial" w:cs="Arial"/>
      <w:b/>
      <w:bCs/>
      <w:sz w:val="24"/>
      <w:szCs w:val="24"/>
      <w:lang w:eastAsia="sk-SK"/>
    </w:rPr>
  </w:style>
  <w:style w:type="paragraph" w:styleId="Heading3">
    <w:name w:val="heading 3"/>
    <w:basedOn w:val="Normal"/>
    <w:next w:val="Normal"/>
    <w:link w:val="Heading3Char"/>
    <w:semiHidden/>
    <w:unhideWhenUsed/>
    <w:qFormat/>
    <w:rsid w:val="00C15711"/>
    <w:pPr>
      <w:keepNext/>
      <w:autoSpaceDE w:val="0"/>
      <w:autoSpaceDN w:val="0"/>
      <w:spacing w:after="0" w:line="240" w:lineRule="auto"/>
      <w:jc w:val="both"/>
      <w:outlineLvl w:val="2"/>
    </w:pPr>
    <w:rPr>
      <w:rFonts w:ascii="Arial" w:hAnsi="Arial" w:cs="Arial"/>
      <w:sz w:val="24"/>
      <w:szCs w:val="24"/>
      <w:lang w:eastAsia="sk-SK"/>
    </w:rPr>
  </w:style>
  <w:style w:type="paragraph" w:styleId="Heading4">
    <w:name w:val="heading 4"/>
    <w:basedOn w:val="Normal"/>
    <w:next w:val="Normal"/>
    <w:link w:val="Heading4Char"/>
    <w:uiPriority w:val="99"/>
    <w:qFormat/>
    <w:rsid w:val="00C15711"/>
    <w:pPr>
      <w:keepNext/>
      <w:spacing w:before="240" w:after="60" w:line="240" w:lineRule="auto"/>
      <w:jc w:val="left"/>
      <w:outlineLvl w:val="3"/>
    </w:pPr>
    <w:rPr>
      <w:rFonts w:ascii="Times New Roman" w:hAnsi="Times New Roman" w:cs="Times New Roman"/>
      <w:b/>
      <w:bCs/>
      <w:sz w:val="28"/>
      <w:szCs w:val="28"/>
      <w:lang w:val="en-US"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15711"/>
    <w:rPr>
      <w:rFonts w:ascii="Times New Roman" w:eastAsia="Calibri" w:hAnsi="Times New Roman" w:cs="Times New Roman"/>
      <w:b/>
      <w:bCs/>
      <w:sz w:val="28"/>
      <w:szCs w:val="28"/>
      <w:rtl w:val="0"/>
      <w:cs w:val="0"/>
      <w:lang w:val="x-none" w:eastAsia="x-none"/>
    </w:rPr>
  </w:style>
  <w:style w:type="character" w:customStyle="1" w:styleId="Heading2Char">
    <w:name w:val="Heading 2 Char"/>
    <w:basedOn w:val="DefaultParagraphFont"/>
    <w:link w:val="Heading2"/>
    <w:semiHidden/>
    <w:locked/>
    <w:rsid w:val="00C15711"/>
    <w:rPr>
      <w:rFonts w:ascii="Arial" w:hAnsi="Arial" w:cs="Arial"/>
      <w:b/>
      <w:bCs/>
      <w:sz w:val="24"/>
      <w:szCs w:val="24"/>
      <w:rtl w:val="0"/>
      <w:cs w:val="0"/>
      <w:lang w:val="x-none" w:eastAsia="sk-SK"/>
    </w:rPr>
  </w:style>
  <w:style w:type="character" w:customStyle="1" w:styleId="Heading3Char">
    <w:name w:val="Heading 3 Char"/>
    <w:basedOn w:val="DefaultParagraphFont"/>
    <w:link w:val="Heading3"/>
    <w:semiHidden/>
    <w:locked/>
    <w:rsid w:val="00C15711"/>
    <w:rPr>
      <w:rFonts w:ascii="Arial" w:hAnsi="Arial" w:cs="Arial"/>
      <w:sz w:val="24"/>
      <w:szCs w:val="24"/>
      <w:rtl w:val="0"/>
      <w:cs w:val="0"/>
      <w:lang w:val="x-none" w:eastAsia="sk-SK"/>
    </w:rPr>
  </w:style>
  <w:style w:type="character" w:customStyle="1" w:styleId="Heading4Char">
    <w:name w:val="Heading 4 Char"/>
    <w:basedOn w:val="DefaultParagraphFont"/>
    <w:link w:val="Heading4"/>
    <w:uiPriority w:val="99"/>
    <w:locked/>
    <w:rsid w:val="00C15711"/>
    <w:rPr>
      <w:rFonts w:ascii="Times New Roman" w:hAnsi="Times New Roman" w:cs="Times New Roman"/>
      <w:b/>
      <w:bCs/>
      <w:sz w:val="28"/>
      <w:szCs w:val="28"/>
      <w:rtl w:val="0"/>
      <w:cs w:val="0"/>
      <w:lang w:val="en-US" w:eastAsia="sk-SK"/>
    </w:rPr>
  </w:style>
  <w:style w:type="paragraph" w:styleId="BodyTextIndent2">
    <w:name w:val="Body Text Indent 2"/>
    <w:basedOn w:val="Normal"/>
    <w:link w:val="BodyTextIndent2Char"/>
    <w:rsid w:val="00C15711"/>
    <w:pPr>
      <w:spacing w:after="0" w:line="240" w:lineRule="auto"/>
      <w:ind w:firstLine="708"/>
      <w:jc w:val="both"/>
    </w:pPr>
    <w:rPr>
      <w:rFonts w:ascii="Times New Roman" w:hAnsi="Times New Roman" w:cs="Times New Roman"/>
      <w:color w:val="0000FF"/>
      <w:kern w:val="18"/>
      <w:sz w:val="24"/>
      <w:szCs w:val="20"/>
      <w:lang w:eastAsia="cs-CZ"/>
    </w:rPr>
  </w:style>
  <w:style w:type="character" w:customStyle="1" w:styleId="BodyTextIndent2Char">
    <w:name w:val="Body Text Indent 2 Char"/>
    <w:basedOn w:val="DefaultParagraphFont"/>
    <w:link w:val="BodyTextIndent2"/>
    <w:locked/>
    <w:rsid w:val="00C15711"/>
    <w:rPr>
      <w:rFonts w:ascii="Times New Roman" w:hAnsi="Times New Roman" w:cs="Times New Roman"/>
      <w:color w:val="0000FF"/>
      <w:kern w:val="18"/>
      <w:sz w:val="20"/>
      <w:szCs w:val="20"/>
      <w:rtl w:val="0"/>
      <w:cs w:val="0"/>
      <w:lang w:val="x-none" w:eastAsia="cs-CZ"/>
    </w:rPr>
  </w:style>
  <w:style w:type="paragraph" w:styleId="BodyText3">
    <w:name w:val="Body Text 3"/>
    <w:basedOn w:val="Normal"/>
    <w:link w:val="BodyText3Char"/>
    <w:rsid w:val="00C15711"/>
    <w:pPr>
      <w:spacing w:after="120" w:line="240" w:lineRule="auto"/>
      <w:jc w:val="left"/>
    </w:pPr>
    <w:rPr>
      <w:rFonts w:ascii="Times New Roman" w:hAnsi="Times New Roman" w:cs="Times New Roman"/>
      <w:sz w:val="16"/>
      <w:szCs w:val="16"/>
      <w:lang w:eastAsia="sk-SK"/>
    </w:rPr>
  </w:style>
  <w:style w:type="character" w:customStyle="1" w:styleId="BodyText3Char">
    <w:name w:val="Body Text 3 Char"/>
    <w:basedOn w:val="DefaultParagraphFont"/>
    <w:link w:val="BodyText3"/>
    <w:locked/>
    <w:rsid w:val="00C15711"/>
    <w:rPr>
      <w:rFonts w:ascii="Times New Roman" w:hAnsi="Times New Roman" w:cs="Times New Roman"/>
      <w:sz w:val="16"/>
      <w:szCs w:val="16"/>
      <w:rtl w:val="0"/>
      <w:cs w:val="0"/>
      <w:lang w:val="x-none" w:eastAsia="sk-SK"/>
    </w:rPr>
  </w:style>
  <w:style w:type="paragraph" w:styleId="ListParagraph">
    <w:name w:val="List Paragraph"/>
    <w:basedOn w:val="Normal"/>
    <w:uiPriority w:val="34"/>
    <w:qFormat/>
    <w:rsid w:val="00C15711"/>
    <w:pPr>
      <w:spacing w:after="0" w:line="240" w:lineRule="auto"/>
      <w:ind w:left="720"/>
      <w:contextualSpacing/>
      <w:jc w:val="left"/>
    </w:pPr>
    <w:rPr>
      <w:rFonts w:ascii="Times New Roman" w:hAnsi="Times New Roman" w:cs="Times New Roman"/>
      <w:sz w:val="24"/>
      <w:szCs w:val="24"/>
      <w:lang w:eastAsia="sk-SK"/>
    </w:rPr>
  </w:style>
  <w:style w:type="character" w:customStyle="1" w:styleId="EvaHikov">
    <w:name w:val="Eva Hičková"/>
    <w:semiHidden/>
    <w:rsid w:val="00C15711"/>
    <w:rPr>
      <w:rFonts w:ascii="Arial" w:hAnsi="Arial" w:cs="Arial"/>
      <w:color w:val="000080"/>
      <w:sz w:val="20"/>
    </w:rPr>
  </w:style>
  <w:style w:type="paragraph" w:styleId="Footer">
    <w:name w:val="footer"/>
    <w:basedOn w:val="Normal"/>
    <w:link w:val="FooterChar"/>
    <w:uiPriority w:val="99"/>
    <w:rsid w:val="00C15711"/>
    <w:pPr>
      <w:tabs>
        <w:tab w:val="center" w:pos="4536"/>
        <w:tab w:val="right" w:pos="9072"/>
      </w:tabs>
      <w:spacing w:after="0" w:line="240" w:lineRule="auto"/>
      <w:jc w:val="left"/>
    </w:pPr>
    <w:rPr>
      <w:rFonts w:ascii="Times New Roman" w:hAnsi="Times New Roman" w:cs="Times New Roman"/>
      <w:sz w:val="24"/>
      <w:szCs w:val="24"/>
      <w:lang w:eastAsia="sk-SK"/>
    </w:rPr>
  </w:style>
  <w:style w:type="character" w:customStyle="1" w:styleId="FooterChar">
    <w:name w:val="Footer Char"/>
    <w:basedOn w:val="DefaultParagraphFont"/>
    <w:link w:val="Footer"/>
    <w:uiPriority w:val="99"/>
    <w:locked/>
    <w:rsid w:val="00C15711"/>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C15711"/>
    <w:rPr>
      <w:rFonts w:cs="Times New Roman"/>
      <w:rtl w:val="0"/>
      <w:cs w:val="0"/>
    </w:rPr>
  </w:style>
  <w:style w:type="paragraph" w:styleId="BodyTextIndent">
    <w:name w:val="Body Text Indent"/>
    <w:basedOn w:val="Normal"/>
    <w:link w:val="BodyTextIndentChar"/>
    <w:uiPriority w:val="99"/>
    <w:rsid w:val="00C15711"/>
    <w:pPr>
      <w:spacing w:after="0" w:line="240" w:lineRule="auto"/>
      <w:ind w:firstLine="720"/>
      <w:jc w:val="both"/>
      <w:outlineLvl w:val="4"/>
    </w:pPr>
    <w:rPr>
      <w:rFonts w:ascii="Times New Roman" w:hAnsi="Times New Roman" w:cs="Times New Roman"/>
      <w:color w:val="000000"/>
      <w:sz w:val="24"/>
      <w:szCs w:val="24"/>
      <w:lang w:eastAsia="sk-SK"/>
    </w:rPr>
  </w:style>
  <w:style w:type="character" w:customStyle="1" w:styleId="BodyTextIndentChar">
    <w:name w:val="Body Text Indent Char"/>
    <w:basedOn w:val="DefaultParagraphFont"/>
    <w:link w:val="BodyTextIndent"/>
    <w:uiPriority w:val="99"/>
    <w:locked/>
    <w:rsid w:val="00C15711"/>
    <w:rPr>
      <w:rFonts w:ascii="Times New Roman" w:hAnsi="Times New Roman" w:cs="Times New Roman"/>
      <w:color w:val="000000"/>
      <w:sz w:val="24"/>
      <w:szCs w:val="24"/>
      <w:rtl w:val="0"/>
      <w:cs w:val="0"/>
      <w:lang w:val="x-none" w:eastAsia="sk-SK"/>
    </w:rPr>
  </w:style>
  <w:style w:type="paragraph" w:styleId="BodyText">
    <w:name w:val="Body Text"/>
    <w:basedOn w:val="Normal"/>
    <w:link w:val="BodyTextChar"/>
    <w:uiPriority w:val="99"/>
    <w:rsid w:val="00C15711"/>
    <w:pPr>
      <w:spacing w:after="0" w:line="240" w:lineRule="auto"/>
      <w:jc w:val="both"/>
    </w:pPr>
    <w:rPr>
      <w:rFonts w:ascii="Times New Roman" w:hAnsi="Times New Roman" w:cs="Times New Roman"/>
      <w:sz w:val="24"/>
      <w:szCs w:val="24"/>
      <w:lang w:eastAsia="sk-SK"/>
    </w:rPr>
  </w:style>
  <w:style w:type="character" w:customStyle="1" w:styleId="BodyTextChar">
    <w:name w:val="Body Text Char"/>
    <w:basedOn w:val="DefaultParagraphFont"/>
    <w:link w:val="BodyText"/>
    <w:uiPriority w:val="99"/>
    <w:locked/>
    <w:rsid w:val="00C15711"/>
    <w:rPr>
      <w:rFonts w:ascii="Times New Roman" w:hAnsi="Times New Roman" w:cs="Times New Roman"/>
      <w:sz w:val="24"/>
      <w:szCs w:val="24"/>
      <w:rtl w:val="0"/>
      <w:cs w:val="0"/>
      <w:lang w:val="x-none" w:eastAsia="sk-SK"/>
    </w:rPr>
  </w:style>
  <w:style w:type="paragraph" w:styleId="BodyTextIndent3">
    <w:name w:val="Body Text Indent 3"/>
    <w:basedOn w:val="Normal"/>
    <w:link w:val="BodyTextIndent3Char"/>
    <w:uiPriority w:val="99"/>
    <w:rsid w:val="00C15711"/>
    <w:pPr>
      <w:spacing w:after="0" w:line="240" w:lineRule="auto"/>
      <w:ind w:firstLine="720"/>
      <w:jc w:val="both"/>
    </w:pPr>
    <w:rPr>
      <w:rFonts w:ascii="Times New Roman" w:hAnsi="Times New Roman" w:cs="Times New Roman"/>
      <w:sz w:val="24"/>
      <w:szCs w:val="24"/>
      <w:lang w:eastAsia="sk-SK"/>
    </w:rPr>
  </w:style>
  <w:style w:type="character" w:customStyle="1" w:styleId="BodyTextIndent3Char">
    <w:name w:val="Body Text Indent 3 Char"/>
    <w:basedOn w:val="DefaultParagraphFont"/>
    <w:link w:val="BodyTextIndent3"/>
    <w:uiPriority w:val="99"/>
    <w:locked/>
    <w:rsid w:val="00C15711"/>
    <w:rPr>
      <w:rFonts w:ascii="Times New Roman" w:hAnsi="Times New Roman" w:cs="Times New Roman"/>
      <w:sz w:val="24"/>
      <w:szCs w:val="24"/>
      <w:rtl w:val="0"/>
      <w:cs w:val="0"/>
      <w:lang w:val="x-none" w:eastAsia="sk-SK"/>
    </w:rPr>
  </w:style>
  <w:style w:type="table" w:styleId="TableGrid">
    <w:name w:val="Table Grid"/>
    <w:basedOn w:val="TableNormal"/>
    <w:rsid w:val="00C15711"/>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15711"/>
    <w:pPr>
      <w:spacing w:after="0" w:line="240" w:lineRule="auto"/>
      <w:jc w:val="left"/>
    </w:pPr>
    <w:rPr>
      <w:rFonts w:ascii="Times New Roman" w:hAnsi="Times New Roman" w:cs="Times New Roman"/>
      <w:sz w:val="20"/>
      <w:szCs w:val="20"/>
      <w:lang w:eastAsia="sk-SK"/>
    </w:rPr>
  </w:style>
  <w:style w:type="character" w:customStyle="1" w:styleId="FootnoteTextChar">
    <w:name w:val="Footnote Text Char"/>
    <w:basedOn w:val="DefaultParagraphFont"/>
    <w:link w:val="FootnoteText"/>
    <w:semiHidden/>
    <w:locked/>
    <w:rsid w:val="00C15711"/>
    <w:rPr>
      <w:rFonts w:ascii="Times New Roman" w:hAnsi="Times New Roman" w:cs="Times New Roman"/>
      <w:sz w:val="20"/>
      <w:szCs w:val="20"/>
      <w:rtl w:val="0"/>
      <w:cs w:val="0"/>
      <w:lang w:val="x-none" w:eastAsia="sk-SK"/>
    </w:rPr>
  </w:style>
  <w:style w:type="character" w:styleId="FootnoteReference">
    <w:name w:val="footnote reference"/>
    <w:semiHidden/>
    <w:rsid w:val="00C15711"/>
    <w:rPr>
      <w:vertAlign w:val="superscript"/>
    </w:rPr>
  </w:style>
  <w:style w:type="paragraph" w:styleId="DocumentMap">
    <w:name w:val="Document Map"/>
    <w:basedOn w:val="Normal"/>
    <w:link w:val="DocumentMapChar"/>
    <w:semiHidden/>
    <w:rsid w:val="00C15711"/>
    <w:pPr>
      <w:shd w:val="clear" w:color="auto" w:fill="000080"/>
      <w:spacing w:after="0" w:line="240" w:lineRule="auto"/>
      <w:jc w:val="left"/>
    </w:pPr>
    <w:rPr>
      <w:rFonts w:ascii="Tahoma" w:hAnsi="Tahoma" w:cs="Tahoma"/>
      <w:sz w:val="20"/>
      <w:szCs w:val="20"/>
      <w:lang w:eastAsia="sk-SK"/>
    </w:rPr>
  </w:style>
  <w:style w:type="character" w:customStyle="1" w:styleId="DocumentMapChar">
    <w:name w:val="Document Map Char"/>
    <w:basedOn w:val="DefaultParagraphFont"/>
    <w:link w:val="DocumentMap"/>
    <w:semiHidden/>
    <w:locked/>
    <w:rsid w:val="00C15711"/>
    <w:rPr>
      <w:rFonts w:ascii="Tahoma" w:hAnsi="Tahoma" w:cs="Tahoma"/>
      <w:sz w:val="20"/>
      <w:szCs w:val="20"/>
      <w:shd w:val="clear" w:color="auto" w:fill="000080"/>
      <w:rtl w:val="0"/>
      <w:cs w:val="0"/>
      <w:lang w:val="x-none" w:eastAsia="sk-SK"/>
    </w:rPr>
  </w:style>
  <w:style w:type="paragraph" w:styleId="Subtitle">
    <w:name w:val="Subtitle"/>
    <w:basedOn w:val="Normal"/>
    <w:link w:val="SubtitleChar"/>
    <w:qFormat/>
    <w:rsid w:val="00C15711"/>
    <w:pPr>
      <w:spacing w:after="0" w:line="240" w:lineRule="auto"/>
      <w:jc w:val="center"/>
    </w:pPr>
    <w:rPr>
      <w:rFonts w:ascii="Times New Roman" w:hAnsi="Times New Roman" w:cs="Times New Roman"/>
      <w:b/>
      <w:sz w:val="24"/>
      <w:szCs w:val="24"/>
      <w:lang w:eastAsia="sk-SK"/>
    </w:rPr>
  </w:style>
  <w:style w:type="character" w:customStyle="1" w:styleId="SubtitleChar">
    <w:name w:val="Subtitle Char"/>
    <w:basedOn w:val="DefaultParagraphFont"/>
    <w:link w:val="Subtitle"/>
    <w:locked/>
    <w:rsid w:val="00C15711"/>
    <w:rPr>
      <w:rFonts w:ascii="Times New Roman" w:hAnsi="Times New Roman" w:cs="Times New Roman"/>
      <w:b/>
      <w:sz w:val="24"/>
      <w:szCs w:val="24"/>
      <w:rtl w:val="0"/>
      <w:cs w:val="0"/>
      <w:lang w:val="x-none" w:eastAsia="sk-SK"/>
    </w:rPr>
  </w:style>
  <w:style w:type="character" w:styleId="Hyperlink">
    <w:name w:val="Hyperlink"/>
    <w:uiPriority w:val="99"/>
    <w:unhideWhenUsed/>
    <w:rsid w:val="00C15711"/>
    <w:rPr>
      <w:color w:val="0000FF"/>
      <w:u w:val="single"/>
    </w:rPr>
  </w:style>
  <w:style w:type="paragraph" w:customStyle="1" w:styleId="odsek">
    <w:name w:val="odsek"/>
    <w:basedOn w:val="Normal"/>
    <w:qFormat/>
    <w:rsid w:val="00C15711"/>
    <w:pPr>
      <w:keepNext/>
      <w:spacing w:after="0" w:line="240" w:lineRule="auto"/>
      <w:ind w:firstLine="709"/>
      <w:jc w:val="both"/>
    </w:pPr>
    <w:rPr>
      <w:rFonts w:ascii="Times New Roman" w:eastAsia="Calibri" w:hAnsi="Times New Roman" w:cs="Times New Roman"/>
      <w:sz w:val="24"/>
      <w:szCs w:val="24"/>
      <w:lang w:eastAsia="sk-SK"/>
    </w:rPr>
  </w:style>
  <w:style w:type="character" w:customStyle="1" w:styleId="ruletitle1">
    <w:name w:val="ruletitle1"/>
    <w:rsid w:val="00C15711"/>
    <w:rPr>
      <w:rFonts w:ascii="Tahoma" w:hAnsi="Tahoma" w:cs="Tahoma"/>
      <w:b/>
      <w:color w:val="4B4B4B"/>
      <w:sz w:val="24"/>
    </w:rPr>
  </w:style>
  <w:style w:type="paragraph" w:styleId="Header">
    <w:name w:val="header"/>
    <w:basedOn w:val="Normal"/>
    <w:link w:val="HeaderChar"/>
    <w:uiPriority w:val="99"/>
    <w:unhideWhenUsed/>
    <w:rsid w:val="00C15711"/>
    <w:pPr>
      <w:tabs>
        <w:tab w:val="center" w:pos="4536"/>
        <w:tab w:val="right" w:pos="9072"/>
      </w:tabs>
      <w:spacing w:after="0" w:line="240" w:lineRule="auto"/>
      <w:jc w:val="left"/>
    </w:pPr>
    <w:rPr>
      <w:rFonts w:ascii="Times New Roman" w:hAnsi="Times New Roman" w:cs="Times New Roman"/>
      <w:sz w:val="24"/>
      <w:szCs w:val="24"/>
      <w:lang w:eastAsia="sk-SK"/>
    </w:rPr>
  </w:style>
  <w:style w:type="character" w:customStyle="1" w:styleId="HeaderChar">
    <w:name w:val="Header Char"/>
    <w:basedOn w:val="DefaultParagraphFont"/>
    <w:link w:val="Header"/>
    <w:uiPriority w:val="99"/>
    <w:locked/>
    <w:rsid w:val="00C15711"/>
    <w:rPr>
      <w:rFonts w:ascii="Times New Roman" w:hAnsi="Times New Roman" w:cs="Times New Roman"/>
      <w:sz w:val="24"/>
      <w:szCs w:val="24"/>
      <w:rtl w:val="0"/>
      <w:cs w:val="0"/>
      <w:lang w:val="x-none" w:eastAsia="sk-SK"/>
    </w:rPr>
  </w:style>
  <w:style w:type="paragraph" w:customStyle="1" w:styleId="Normlny">
    <w:name w:val="Normlny"/>
    <w:rsid w:val="00C15711"/>
    <w:pPr>
      <w:framePr w:wrap="auto"/>
      <w:widowControl/>
      <w:autoSpaceDE/>
      <w:autoSpaceDN/>
      <w:adjustRightInd/>
      <w:ind w:left="0" w:right="0"/>
      <w:jc w:val="left"/>
      <w:textAlignment w:val="auto"/>
    </w:pPr>
    <w:rPr>
      <w:rFonts w:ascii="ms sans serif" w:eastAsia="Calibri" w:hAnsi="ms sans serif" w:cs="ms sans serif"/>
      <w:sz w:val="24"/>
      <w:szCs w:val="24"/>
      <w:rtl w:val="0"/>
      <w:cs w:val="0"/>
      <w:lang w:val="sk-SK" w:eastAsia="sk-SK" w:bidi="ar-SA"/>
    </w:rPr>
  </w:style>
  <w:style w:type="paragraph" w:styleId="BalloonText">
    <w:name w:val="Balloon Text"/>
    <w:basedOn w:val="Normal"/>
    <w:link w:val="BalloonTextChar"/>
    <w:uiPriority w:val="99"/>
    <w:semiHidden/>
    <w:unhideWhenUsed/>
    <w:rsid w:val="00C15711"/>
    <w:pPr>
      <w:spacing w:after="0" w:line="240" w:lineRule="auto"/>
      <w:jc w:val="left"/>
    </w:pPr>
    <w:rPr>
      <w:rFonts w:ascii="Tahoma" w:hAnsi="Tahoma" w:cs="Tahoma"/>
      <w:sz w:val="16"/>
      <w:szCs w:val="16"/>
      <w:lang w:eastAsia="sk-SK"/>
    </w:rPr>
  </w:style>
  <w:style w:type="character" w:customStyle="1" w:styleId="BalloonTextChar">
    <w:name w:val="Balloon Text Char"/>
    <w:basedOn w:val="DefaultParagraphFont"/>
    <w:link w:val="BalloonText"/>
    <w:uiPriority w:val="99"/>
    <w:semiHidden/>
    <w:locked/>
    <w:rsid w:val="00C15711"/>
    <w:rPr>
      <w:rFonts w:ascii="Tahoma" w:hAnsi="Tahoma" w:cs="Tahoma"/>
      <w:sz w:val="16"/>
      <w:szCs w:val="16"/>
      <w:rtl w:val="0"/>
      <w:cs w:val="0"/>
      <w:lang w:val="x-none" w:eastAsia="sk-SK"/>
    </w:rPr>
  </w:style>
  <w:style w:type="paragraph" w:styleId="BodyText2">
    <w:name w:val="Body Text 2"/>
    <w:basedOn w:val="Normal"/>
    <w:link w:val="BodyText2Char"/>
    <w:uiPriority w:val="99"/>
    <w:semiHidden/>
    <w:unhideWhenUsed/>
    <w:rsid w:val="00C15711"/>
    <w:pPr>
      <w:spacing w:after="120" w:line="480" w:lineRule="auto"/>
      <w:jc w:val="left"/>
    </w:pPr>
    <w:rPr>
      <w:rFonts w:ascii="Times New Roman" w:hAnsi="Times New Roman" w:cs="Times New Roman"/>
      <w:sz w:val="24"/>
      <w:szCs w:val="24"/>
      <w:lang w:eastAsia="sk-SK"/>
    </w:rPr>
  </w:style>
  <w:style w:type="character" w:customStyle="1" w:styleId="BodyText2Char">
    <w:name w:val="Body Text 2 Char"/>
    <w:basedOn w:val="DefaultParagraphFont"/>
    <w:link w:val="BodyText2"/>
    <w:uiPriority w:val="99"/>
    <w:semiHidden/>
    <w:locked/>
    <w:rsid w:val="00C15711"/>
    <w:rPr>
      <w:rFonts w:ascii="Times New Roman" w:hAnsi="Times New Roman" w:cs="Times New Roman"/>
      <w:sz w:val="24"/>
      <w:szCs w:val="24"/>
      <w:rtl w:val="0"/>
      <w:cs w:val="0"/>
      <w:lang w:val="x-none" w:eastAsia="sk-SK"/>
    </w:rPr>
  </w:style>
  <w:style w:type="paragraph" w:styleId="CommentText">
    <w:name w:val="annotation text"/>
    <w:basedOn w:val="Normal"/>
    <w:link w:val="CommentTextChar"/>
    <w:uiPriority w:val="99"/>
    <w:unhideWhenUsed/>
    <w:rsid w:val="00C15711"/>
    <w:pPr>
      <w:spacing w:after="0" w:line="240" w:lineRule="auto"/>
      <w:jc w:val="left"/>
    </w:pPr>
    <w:rPr>
      <w:rFonts w:ascii="Times New Roman" w:hAnsi="Times New Roman" w:cs="Times New Roman"/>
      <w:sz w:val="20"/>
      <w:szCs w:val="20"/>
      <w:lang w:eastAsia="sk-SK"/>
    </w:rPr>
  </w:style>
  <w:style w:type="character" w:customStyle="1" w:styleId="CommentTextChar">
    <w:name w:val="Comment Text Char"/>
    <w:basedOn w:val="DefaultParagraphFont"/>
    <w:link w:val="CommentText"/>
    <w:uiPriority w:val="99"/>
    <w:locked/>
    <w:rsid w:val="00C15711"/>
    <w:rPr>
      <w:rFonts w:ascii="Times New Roman" w:hAnsi="Times New Roman" w:cs="Times New Roman"/>
      <w:sz w:val="20"/>
      <w:szCs w:val="20"/>
      <w:rtl w:val="0"/>
      <w:cs w:val="0"/>
      <w:lang w:val="x-none" w:eastAsia="sk-SK"/>
    </w:rPr>
  </w:style>
  <w:style w:type="paragraph" w:styleId="NormalWeb">
    <w:name w:val="Normal (Web)"/>
    <w:basedOn w:val="Normal"/>
    <w:uiPriority w:val="99"/>
    <w:rsid w:val="00C15711"/>
    <w:pPr>
      <w:spacing w:before="100" w:beforeAutospacing="1" w:after="100" w:afterAutospacing="1" w:line="240" w:lineRule="auto"/>
      <w:jc w:val="left"/>
    </w:pPr>
    <w:rPr>
      <w:rFonts w:ascii="Times New Roman" w:hAnsi="Times New Roman" w:cs="Times New Roman"/>
      <w:sz w:val="24"/>
      <w:szCs w:val="24"/>
      <w:lang w:eastAsia="sk-SK"/>
    </w:rPr>
  </w:style>
  <w:style w:type="paragraph" w:styleId="Title">
    <w:name w:val="Title"/>
    <w:basedOn w:val="Normal"/>
    <w:link w:val="TitleChar"/>
    <w:uiPriority w:val="99"/>
    <w:qFormat/>
    <w:rsid w:val="00C15711"/>
    <w:pPr>
      <w:spacing w:after="0" w:line="240" w:lineRule="auto"/>
      <w:jc w:val="center"/>
    </w:pPr>
    <w:rPr>
      <w:rFonts w:ascii="Times New Roman" w:hAnsi="Times New Roman" w:cs="Times New Roman"/>
      <w:sz w:val="28"/>
      <w:szCs w:val="20"/>
      <w:lang w:eastAsia="sk-SK"/>
    </w:rPr>
  </w:style>
  <w:style w:type="character" w:customStyle="1" w:styleId="TitleChar">
    <w:name w:val="Title Char"/>
    <w:basedOn w:val="DefaultParagraphFont"/>
    <w:link w:val="Title"/>
    <w:uiPriority w:val="99"/>
    <w:locked/>
    <w:rsid w:val="00C15711"/>
    <w:rPr>
      <w:rFonts w:ascii="Times New Roman" w:hAnsi="Times New Roman" w:cs="Times New Roman"/>
      <w:sz w:val="20"/>
      <w:szCs w:val="20"/>
      <w:rtl w:val="0"/>
      <w:cs w:val="0"/>
      <w:lang w:val="x-none" w:eastAsia="sk-SK"/>
    </w:rPr>
  </w:style>
  <w:style w:type="paragraph" w:customStyle="1" w:styleId="Action">
    <w:name w:val="Action"/>
    <w:basedOn w:val="BodyText"/>
    <w:uiPriority w:val="99"/>
    <w:rsid w:val="00C15711"/>
    <w:pPr>
      <w:numPr>
        <w:numId w:val="15"/>
      </w:numPr>
      <w:tabs>
        <w:tab w:val="num" w:pos="1211"/>
      </w:tabs>
      <w:spacing w:after="120" w:line="240" w:lineRule="atLeast"/>
      <w:ind w:left="1208" w:hanging="357"/>
      <w:jc w:val="both"/>
    </w:pPr>
    <w:rPr>
      <w:rFonts w:ascii="Verdana" w:hAnsi="Verdana" w:cs="Verdana"/>
      <w:i/>
      <w:iCs/>
      <w:sz w:val="22"/>
      <w:szCs w:val="22"/>
      <w:lang w:eastAsia="en-US"/>
    </w:rPr>
  </w:style>
  <w:style w:type="character" w:customStyle="1" w:styleId="StyleHeading4UnderlineChar">
    <w:name w:val="Style Heading 4 + Underline Char"/>
    <w:basedOn w:val="DefaultParagraphFont"/>
    <w:uiPriority w:val="99"/>
    <w:rsid w:val="00C15711"/>
    <w:rPr>
      <w:rFonts w:ascii="Verdana" w:hAnsi="Verdana" w:cs="Verdana"/>
      <w:kern w:val="20"/>
      <w:sz w:val="22"/>
      <w:szCs w:val="22"/>
      <w:u w:val="single"/>
      <w:rtl w:val="0"/>
      <w:cs w:val="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43</Pages>
  <Words>11686</Words>
  <Characters>66613</Characters>
  <Application>Microsoft Office Word</Application>
  <DocSecurity>0</DocSecurity>
  <Lines>0</Lines>
  <Paragraphs>0</Paragraphs>
  <ScaleCrop>false</ScaleCrop>
  <Company>MVSR</Company>
  <LinksUpToDate>false</LinksUpToDate>
  <CharactersWithSpaces>78143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Wiedemannová</dc:creator>
  <cp:lastModifiedBy>Gašparíková, Jarmila</cp:lastModifiedBy>
  <cp:revision>2</cp:revision>
  <dcterms:created xsi:type="dcterms:W3CDTF">2013-04-26T10:03:00Z</dcterms:created>
  <dcterms:modified xsi:type="dcterms:W3CDTF">2013-04-26T10:03:00Z</dcterms:modified>
</cp:coreProperties>
</file>