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7427D" w:rsidRPr="00B6143C" w:rsidP="0067427D">
      <w:pPr>
        <w:widowControl/>
        <w:bidi w:val="0"/>
        <w:jc w:val="center"/>
        <w:rPr>
          <w:rFonts w:ascii="Times New Roman" w:hAnsi="Times New Roman"/>
          <w:b/>
          <w:caps/>
          <w:color w:val="000000"/>
          <w:spacing w:val="30"/>
        </w:rPr>
      </w:pPr>
      <w:r w:rsidRPr="00B6143C">
        <w:rPr>
          <w:rFonts w:ascii="Times New Roman" w:hAnsi="Times New Roman"/>
          <w:b/>
          <w:caps/>
          <w:color w:val="000000"/>
          <w:spacing w:val="30"/>
        </w:rPr>
        <w:t>Dôvodová správa</w:t>
      </w:r>
    </w:p>
    <w:p w:rsidR="0067427D" w:rsidRPr="00B6143C" w:rsidP="0067427D">
      <w:pPr>
        <w:widowControl/>
        <w:bidi w:val="0"/>
        <w:jc w:val="both"/>
        <w:rPr>
          <w:rFonts w:ascii="Times New Roman" w:hAnsi="Times New Roman"/>
          <w:color w:val="000000"/>
        </w:rPr>
      </w:pPr>
    </w:p>
    <w:p w:rsidR="0067427D" w:rsidRPr="00B6143C" w:rsidP="0067427D">
      <w:pPr>
        <w:widowControl/>
        <w:bidi w:val="0"/>
        <w:jc w:val="both"/>
        <w:rPr>
          <w:rFonts w:ascii="Times New Roman" w:hAnsi="Times New Roman"/>
          <w:color w:val="000000"/>
        </w:rPr>
      </w:pPr>
    </w:p>
    <w:p w:rsidR="0067427D" w:rsidRPr="00B6143C" w:rsidP="0067427D">
      <w:pPr>
        <w:widowControl/>
        <w:bidi w:val="0"/>
        <w:jc w:val="both"/>
        <w:rPr>
          <w:rFonts w:ascii="Times New Roman" w:hAnsi="Times New Roman"/>
          <w:b/>
          <w:color w:val="000000"/>
        </w:rPr>
      </w:pPr>
      <w:r w:rsidRPr="00B6143C">
        <w:rPr>
          <w:rFonts w:ascii="Times New Roman" w:hAnsi="Times New Roman"/>
          <w:b/>
          <w:color w:val="000000"/>
        </w:rPr>
        <w:t>A. Všeobecná časť</w:t>
      </w:r>
    </w:p>
    <w:p w:rsidR="0067427D" w:rsidRPr="00B6143C" w:rsidP="0067427D">
      <w:pPr>
        <w:widowControl/>
        <w:bidi w:val="0"/>
        <w:jc w:val="both"/>
        <w:rPr>
          <w:rFonts w:ascii="Times New Roman" w:hAnsi="Times New Roman"/>
          <w:color w:val="000000"/>
        </w:rPr>
      </w:pPr>
    </w:p>
    <w:p w:rsidR="0067427D" w:rsidRPr="00B6143C" w:rsidP="0067427D">
      <w:pPr>
        <w:widowControl/>
        <w:bidi w:val="0"/>
        <w:ind w:firstLine="708"/>
        <w:jc w:val="both"/>
        <w:rPr>
          <w:rFonts w:ascii="Times New Roman" w:hAnsi="Times New Roman"/>
          <w:color w:val="000000"/>
        </w:rPr>
      </w:pPr>
      <w:r w:rsidRPr="00B6143C">
        <w:rPr>
          <w:rStyle w:val="PlaceholderText"/>
          <w:color w:val="000000"/>
        </w:rPr>
        <w:t>Zákon č. 435/2010 Z. z. o poskytovaní dotácií v pôsobnosti Ministerstva obrany Slovenskej republiky ustanovuje účel, podmienky, rozsah, spôsob a kontrolu poskytovania dotácií v pôsobnosti Ministerstva obrany Slovenskej republiky.</w:t>
      </w:r>
    </w:p>
    <w:p w:rsidR="0067427D" w:rsidRPr="00B6143C" w:rsidP="0067427D">
      <w:pPr>
        <w:widowControl/>
        <w:bidi w:val="0"/>
        <w:spacing w:before="120" w:after="120"/>
        <w:ind w:firstLine="708"/>
        <w:jc w:val="both"/>
        <w:rPr>
          <w:rStyle w:val="PlaceholderText"/>
          <w:color w:val="000000"/>
        </w:rPr>
      </w:pPr>
      <w:r w:rsidRPr="00B6143C">
        <w:rPr>
          <w:rStyle w:val="PlaceholderText"/>
          <w:color w:val="000000"/>
        </w:rPr>
        <w:t>Vojenské lesy a majetky SR – štátny podnik majú v dôsledku výcviku ozbrojených síl Slovenskej republiky obmedzenú hospodársku činnosť a zvýšené výdavky napríklad na prepravu osôb a vyťaženého dreva, pretože preprava musí byť realizovaná náhradnými trasami, ktoré sú dlhšie ako trasy vedúce cez územie, na ktorom je uskutočňovaný výcvik ozbrojených síl.</w:t>
      </w:r>
    </w:p>
    <w:p w:rsidR="0067427D" w:rsidRPr="00B6143C" w:rsidP="0067427D">
      <w:pPr>
        <w:widowControl/>
        <w:bidi w:val="0"/>
        <w:spacing w:before="120" w:after="120"/>
        <w:ind w:firstLine="708"/>
        <w:jc w:val="both"/>
        <w:rPr>
          <w:rStyle w:val="PlaceholderText"/>
          <w:color w:val="000000"/>
        </w:rPr>
      </w:pPr>
      <w:r w:rsidRPr="00B6143C">
        <w:rPr>
          <w:rStyle w:val="PlaceholderText"/>
          <w:color w:val="000000"/>
        </w:rPr>
        <w:t xml:space="preserve"> Návrhom zákona sa umožňuje Ministerstvu obrany Slovenskej republiky poskytnúť dotáciu Vojenským lesom a majetkom SR – štátny podnik na úhradu zvýšených nákladov na hospodárenie v lesoch z dôvodu výcviku ozbrojených síl Slovenskej republiky vo vojenskom obvode alebo na územiach slúžiacich na zabezpečenie úloh obrany štátu, ako aj na úhradu zvýšených nákladov na poľnohospodársku výrobu na územiach slúžiacich na zabezpečenie úloh obrany štátu. Súčasne sa navrhuje rozšíriť možnosť poskytnutia dotácie aj na revitalizáciu lesných porastov a na trvalo udržateľné hospodárenie v lesoch nachádzajúcich sa na území vojenského obvodu, území slúžiacom na zabezpečenie úloh obrany štátu, ako aj na lesný majetok vo vlastníctve štátu, ktorý spravujú Vojenské lesy a majetky SR – štátny podnik na základe súhlasu Ministerstva pôdohospodárstva a rozvoja vidieka Slovenskej republiky. </w:t>
      </w:r>
    </w:p>
    <w:p w:rsidR="0067427D" w:rsidRPr="00B6143C" w:rsidP="0067427D">
      <w:pPr>
        <w:widowControl/>
        <w:bidi w:val="0"/>
        <w:spacing w:before="120"/>
        <w:ind w:firstLine="709"/>
        <w:jc w:val="both"/>
        <w:rPr>
          <w:rStyle w:val="PlaceholderText"/>
          <w:color w:val="000000"/>
        </w:rPr>
      </w:pPr>
      <w:r w:rsidRPr="00B6143C">
        <w:rPr>
          <w:rStyle w:val="PlaceholderText"/>
          <w:color w:val="000000"/>
        </w:rPr>
        <w:t>Vzhľadom na doplnenie účelu poskytovania dotácií v § 2 písm. l) a m) zákona č. 435/2010 Z. z. navrhuje sa ustanoviť osobitný dátum podania žiadostí v roku 2013.</w:t>
      </w:r>
    </w:p>
    <w:p w:rsidR="0067427D" w:rsidRPr="00B6143C" w:rsidP="0067427D">
      <w:pPr>
        <w:widowControl/>
        <w:bidi w:val="0"/>
        <w:ind w:firstLine="851"/>
        <w:jc w:val="both"/>
        <w:rPr>
          <w:rStyle w:val="PlaceholderText"/>
          <w:color w:val="000000"/>
        </w:rPr>
      </w:pPr>
      <w:r w:rsidRPr="00B6143C">
        <w:rPr>
          <w:rStyle w:val="PlaceholderText"/>
          <w:color w:val="000000"/>
        </w:rPr>
        <w:t> </w:t>
      </w:r>
    </w:p>
    <w:p w:rsidR="0067427D" w:rsidRPr="00B6143C" w:rsidP="0067427D">
      <w:pPr>
        <w:widowControl/>
        <w:bidi w:val="0"/>
        <w:ind w:firstLine="851"/>
        <w:jc w:val="both"/>
        <w:rPr>
          <w:rStyle w:val="PlaceholderText"/>
          <w:color w:val="000000"/>
        </w:rPr>
      </w:pPr>
      <w:r w:rsidRPr="00B6143C">
        <w:rPr>
          <w:rStyle w:val="PlaceholderText"/>
          <w:color w:val="000000"/>
        </w:rPr>
        <w:t>Návrhom zákona nevzniknú nové požiadavky na štátny rozpočet. V prípade rozhodnutia o poskytnutí dotácie bude táto dotácia rozpočtovo vykrytá z celkového schváleného objemu výdavkov rozpočtovej kapitoly Ministerstva obrany Slovenskej republiky. Návrh zákona nebude mať vplyv na rozpočty obcí a vyšších územných celkov a nebude mať negatívny vplyv na podnikateľské prostredie, životné prostredie, informatizáciu spoločnosti ani negatívny sociálny vplyv.           </w:t>
      </w:r>
    </w:p>
    <w:p w:rsidR="0067427D" w:rsidRPr="00B6143C" w:rsidP="0067427D">
      <w:pPr>
        <w:widowControl/>
        <w:bidi w:val="0"/>
        <w:spacing w:before="120" w:after="120"/>
        <w:ind w:firstLine="708"/>
        <w:jc w:val="both"/>
        <w:rPr>
          <w:rStyle w:val="PlaceholderText"/>
          <w:color w:val="000000"/>
        </w:rPr>
      </w:pPr>
      <w:r w:rsidRPr="00B6143C">
        <w:rPr>
          <w:rStyle w:val="PlaceholderText"/>
          <w:color w:val="000000"/>
        </w:rPr>
        <w:t>Návrh zákona je v súlade s Ústavou Slovenskej republiky, ústavnými zákonmi, ostatnými všeobecne záväznými právnymi predpismi, medzinárodnými zmluvami, ktorými je Slovenská republika viazaná a s právom Európskej únie.</w:t>
      </w:r>
    </w:p>
    <w:p w:rsidR="0067427D" w:rsidRPr="00B6143C" w:rsidP="0067427D">
      <w:pPr>
        <w:widowControl/>
        <w:bidi w:val="0"/>
        <w:rPr>
          <w:rStyle w:val="PlaceholderText"/>
          <w:color w:val="000000"/>
        </w:rPr>
      </w:pPr>
      <w:r w:rsidRPr="00B6143C">
        <w:rPr>
          <w:rStyle w:val="PlaceholderText"/>
          <w:color w:val="000000"/>
        </w:rPr>
        <w:t> </w:t>
      </w:r>
    </w:p>
    <w:p w:rsidR="0067427D" w:rsidRPr="00B6143C" w:rsidP="0067427D">
      <w:pPr>
        <w:widowControl/>
        <w:bidi w:val="0"/>
        <w:rPr>
          <w:rStyle w:val="PlaceholderText"/>
          <w:color w:val="000000"/>
        </w:rPr>
      </w:pPr>
      <w:r w:rsidRPr="00B6143C">
        <w:rPr>
          <w:rStyle w:val="PlaceholderText"/>
          <w:color w:val="000000"/>
        </w:rPr>
        <w:t> </w:t>
      </w:r>
    </w:p>
    <w:p w:rsidR="0067427D" w:rsidRPr="00B6143C" w:rsidP="0067427D">
      <w:pPr>
        <w:widowControl/>
        <w:bidi w:val="0"/>
        <w:rPr>
          <w:rStyle w:val="PlaceholderText"/>
          <w:color w:val="000000"/>
        </w:rPr>
      </w:pPr>
      <w:r w:rsidRPr="00B6143C">
        <w:rPr>
          <w:rStyle w:val="PlaceholderText"/>
          <w:color w:val="000000"/>
        </w:rPr>
        <w:t> </w:t>
      </w:r>
    </w:p>
    <w:p w:rsidR="0067427D" w:rsidRPr="00B6143C" w:rsidP="0067427D">
      <w:pPr>
        <w:widowControl/>
        <w:bidi w:val="0"/>
        <w:rPr>
          <w:rStyle w:val="PlaceholderText"/>
          <w:color w:val="000000"/>
        </w:rPr>
      </w:pPr>
      <w:r w:rsidRPr="00B6143C">
        <w:rPr>
          <w:rStyle w:val="PlaceholderText"/>
          <w:color w:val="000000"/>
        </w:rPr>
        <w:t> </w:t>
      </w:r>
    </w:p>
    <w:p w:rsidR="0067427D" w:rsidRPr="00B6143C" w:rsidP="0067427D">
      <w:pPr>
        <w:widowControl/>
        <w:bidi w:val="0"/>
        <w:rPr>
          <w:rStyle w:val="PlaceholderText"/>
          <w:color w:val="000000"/>
        </w:rPr>
      </w:pPr>
      <w:r w:rsidRPr="00B6143C">
        <w:rPr>
          <w:rStyle w:val="PlaceholderText"/>
          <w:color w:val="000000"/>
        </w:rPr>
        <w:t> </w:t>
      </w:r>
    </w:p>
    <w:p w:rsidR="0067427D" w:rsidRPr="00B6143C" w:rsidP="0067427D">
      <w:pPr>
        <w:widowControl/>
        <w:bidi w:val="0"/>
        <w:rPr>
          <w:rStyle w:val="PlaceholderText"/>
          <w:color w:val="000000"/>
        </w:rPr>
      </w:pPr>
      <w:r w:rsidRPr="00B6143C">
        <w:rPr>
          <w:rStyle w:val="PlaceholderText"/>
          <w:color w:val="000000"/>
        </w:rPr>
        <w:t> </w:t>
      </w:r>
    </w:p>
    <w:p w:rsidR="0067427D" w:rsidRPr="00B6143C" w:rsidP="0067427D">
      <w:pPr>
        <w:widowControl/>
        <w:bidi w:val="0"/>
        <w:rPr>
          <w:rStyle w:val="PlaceholderText"/>
          <w:color w:val="000000"/>
        </w:rPr>
      </w:pPr>
      <w:r w:rsidRPr="00B6143C">
        <w:rPr>
          <w:rStyle w:val="PlaceholderText"/>
          <w:color w:val="000000"/>
        </w:rPr>
        <w:t> </w:t>
      </w:r>
    </w:p>
    <w:p w:rsidR="0067427D" w:rsidRPr="00B6143C" w:rsidP="0067427D">
      <w:pPr>
        <w:widowControl/>
        <w:bidi w:val="0"/>
        <w:rPr>
          <w:rStyle w:val="PlaceholderText"/>
          <w:color w:val="000000"/>
        </w:rPr>
      </w:pPr>
      <w:r w:rsidRPr="00B6143C">
        <w:rPr>
          <w:rStyle w:val="PlaceholderText"/>
          <w:color w:val="000000"/>
        </w:rPr>
        <w:t> </w:t>
      </w:r>
    </w:p>
    <w:p w:rsidR="0067427D" w:rsidRPr="00B6143C" w:rsidP="0067427D">
      <w:pPr>
        <w:widowControl/>
        <w:bidi w:val="0"/>
        <w:rPr>
          <w:rStyle w:val="PlaceholderText"/>
          <w:color w:val="000000"/>
        </w:rPr>
      </w:pPr>
      <w:r w:rsidRPr="00B6143C">
        <w:rPr>
          <w:rStyle w:val="PlaceholderText"/>
          <w:color w:val="000000"/>
        </w:rPr>
        <w:t> </w:t>
      </w:r>
    </w:p>
    <w:p w:rsidR="0067427D" w:rsidRPr="00B6143C" w:rsidP="0067427D">
      <w:pPr>
        <w:widowControl/>
        <w:bidi w:val="0"/>
        <w:rPr>
          <w:rStyle w:val="PlaceholderText"/>
          <w:color w:val="000000"/>
        </w:rPr>
      </w:pPr>
    </w:p>
    <w:p w:rsidR="0067427D" w:rsidRPr="00B6143C" w:rsidP="0067427D">
      <w:pPr>
        <w:bidi w:val="0"/>
        <w:jc w:val="center"/>
        <w:rPr>
          <w:rFonts w:ascii="Times New Roman" w:hAnsi="Times New Roman"/>
          <w:b/>
          <w:bCs/>
          <w:caps/>
          <w:color w:val="000000"/>
          <w:spacing w:val="30"/>
        </w:rPr>
      </w:pPr>
      <w:r w:rsidRPr="00B6143C">
        <w:rPr>
          <w:rFonts w:ascii="Times New Roman" w:hAnsi="Times New Roman"/>
          <w:b/>
          <w:bCs/>
          <w:caps/>
          <w:color w:val="000000"/>
          <w:spacing w:val="30"/>
        </w:rPr>
        <w:t>Doložka</w:t>
      </w:r>
    </w:p>
    <w:p w:rsidR="0067427D" w:rsidRPr="00B6143C" w:rsidP="0067427D">
      <w:pPr>
        <w:bidi w:val="0"/>
        <w:jc w:val="center"/>
        <w:rPr>
          <w:rFonts w:ascii="Times New Roman" w:hAnsi="Times New Roman"/>
          <w:b/>
          <w:bCs/>
          <w:color w:val="000000"/>
        </w:rPr>
      </w:pPr>
      <w:r w:rsidRPr="00B6143C">
        <w:rPr>
          <w:rFonts w:ascii="Times New Roman" w:hAnsi="Times New Roman"/>
          <w:b/>
          <w:bCs/>
          <w:color w:val="000000"/>
        </w:rPr>
        <w:t>vybraných vplyvov</w:t>
      </w:r>
    </w:p>
    <w:p w:rsidR="0067427D" w:rsidRPr="00B6143C" w:rsidP="0067427D">
      <w:pPr>
        <w:bidi w:val="0"/>
        <w:rPr>
          <w:rFonts w:ascii="Times New Roman" w:hAnsi="Times New Roman"/>
          <w:color w:val="000000"/>
        </w:rPr>
      </w:pPr>
    </w:p>
    <w:p w:rsidR="0067427D" w:rsidRPr="00B6143C" w:rsidP="0067427D">
      <w:pPr>
        <w:bidi w:val="0"/>
        <w:rPr>
          <w:rFonts w:ascii="Times New Roman" w:hAnsi="Times New Roman"/>
          <w:color w:val="000000"/>
        </w:rPr>
      </w:pPr>
    </w:p>
    <w:p w:rsidR="0067427D" w:rsidRPr="00B6143C" w:rsidP="0067427D">
      <w:pPr>
        <w:bidi w:val="0"/>
        <w:jc w:val="both"/>
        <w:rPr>
          <w:rFonts w:ascii="Times New Roman" w:hAnsi="Times New Roman"/>
          <w:color w:val="000000"/>
        </w:rPr>
      </w:pPr>
      <w:r w:rsidRPr="00B6143C">
        <w:rPr>
          <w:rFonts w:ascii="Times New Roman" w:hAnsi="Times New Roman"/>
          <w:b/>
          <w:bCs/>
          <w:color w:val="000000"/>
        </w:rPr>
        <w:t xml:space="preserve">A.1. Názov materiálu: </w:t>
      </w:r>
      <w:r w:rsidRPr="00B6143C">
        <w:rPr>
          <w:rFonts w:ascii="Times New Roman" w:hAnsi="Times New Roman"/>
          <w:color w:val="000000"/>
        </w:rPr>
        <w:t>Návrh zákona, ktorým sa mení a dopĺňa zákon č. 435/2010 Z. z. o poskytovaní dotácií v pôsobnosti Ministerstva obrany Slovenskej republiky </w:t>
      </w:r>
    </w:p>
    <w:p w:rsidR="0067427D" w:rsidRPr="00B6143C" w:rsidP="0067427D">
      <w:pPr>
        <w:bidi w:val="0"/>
        <w:jc w:val="both"/>
        <w:rPr>
          <w:rFonts w:ascii="Times New Roman" w:hAnsi="Times New Roman"/>
          <w:b/>
          <w:bCs/>
          <w:color w:val="000000"/>
        </w:rPr>
      </w:pPr>
      <w:r w:rsidRPr="00B6143C">
        <w:rPr>
          <w:rFonts w:ascii="Times New Roman" w:hAnsi="Times New Roman"/>
          <w:b/>
          <w:bCs/>
          <w:color w:val="000000"/>
        </w:rPr>
        <w:t xml:space="preserve">        Termín začatia a ukončenia PPK:</w:t>
      </w:r>
      <w:r w:rsidRPr="00B6143C">
        <w:rPr>
          <w:rFonts w:ascii="Times New Roman" w:hAnsi="Times New Roman"/>
          <w:color w:val="000000"/>
        </w:rPr>
        <w:t xml:space="preserve"> -  </w:t>
      </w:r>
    </w:p>
    <w:p w:rsidR="0067427D" w:rsidRPr="00B6143C" w:rsidP="0067427D">
      <w:pPr>
        <w:bidi w:val="0"/>
        <w:jc w:val="both"/>
        <w:rPr>
          <w:rFonts w:ascii="Times New Roman" w:hAnsi="Times New Roman"/>
          <w:b/>
          <w:bCs/>
          <w:color w:val="000000"/>
        </w:rPr>
      </w:pPr>
    </w:p>
    <w:p w:rsidR="0067427D" w:rsidRPr="00B6143C" w:rsidP="0067427D">
      <w:pPr>
        <w:bidi w:val="0"/>
        <w:jc w:val="both"/>
        <w:rPr>
          <w:rFonts w:ascii="Times New Roman" w:hAnsi="Times New Roman"/>
          <w:b/>
          <w:bCs/>
          <w:color w:val="000000"/>
        </w:rPr>
      </w:pPr>
      <w:r w:rsidRPr="00B6143C">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jc w:val="center"/>
              <w:rPr>
                <w:rFonts w:ascii="Times New Roman" w:hAnsi="Times New Roman"/>
                <w:color w:val="000000"/>
              </w:rPr>
            </w:pPr>
            <w:r w:rsidRPr="00B6143C">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jc w:val="center"/>
              <w:rPr>
                <w:rFonts w:ascii="Times New Roman" w:hAnsi="Times New Roman"/>
                <w:color w:val="000000"/>
              </w:rPr>
            </w:pPr>
            <w:r w:rsidRPr="00B6143C">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jc w:val="center"/>
              <w:rPr>
                <w:rFonts w:ascii="Times New Roman" w:hAnsi="Times New Roman"/>
                <w:color w:val="000000"/>
              </w:rPr>
            </w:pPr>
            <w:r w:rsidRPr="00B6143C">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rPr>
                <w:rFonts w:ascii="Times New Roman" w:hAnsi="Times New Roman"/>
                <w:color w:val="000000"/>
              </w:rPr>
            </w:pPr>
            <w:r w:rsidRPr="00B6143C">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jc w:val="center"/>
              <w:rPr>
                <w:rFonts w:ascii="Times New Roman" w:hAnsi="Times New Roman"/>
                <w:color w:val="000000"/>
              </w:rPr>
            </w:pPr>
            <w:r w:rsidRPr="00B6143C">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rPr>
                <w:rFonts w:ascii="Times New Roman" w:hAnsi="Times New Roman"/>
                <w:color w:val="000000"/>
              </w:rPr>
            </w:pPr>
            <w:r w:rsidRPr="00B6143C">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jc w:val="center"/>
              <w:rPr>
                <w:rFonts w:ascii="Times New Roman" w:hAnsi="Times New Roman"/>
                <w:color w:val="000000"/>
              </w:rPr>
            </w:pPr>
            <w:r w:rsidRPr="00B6143C">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rPr>
                <w:rFonts w:ascii="Times New Roman" w:hAnsi="Times New Roman"/>
                <w:color w:val="000000"/>
              </w:rPr>
            </w:pPr>
            <w:r w:rsidRPr="00B6143C">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jc w:val="center"/>
              <w:rPr>
                <w:rFonts w:ascii="Times New Roman" w:hAnsi="Times New Roman"/>
                <w:color w:val="000000"/>
              </w:rPr>
            </w:pPr>
            <w:r w:rsidRPr="00B6143C">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rPr>
                <w:rFonts w:ascii="Times New Roman" w:hAnsi="Times New Roman"/>
                <w:color w:val="000000"/>
              </w:rPr>
            </w:pPr>
            <w:r w:rsidRPr="00B6143C">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rPr>
                <w:rFonts w:ascii="Times New Roman" w:hAnsi="Times New Roman"/>
                <w:color w:val="000000"/>
              </w:rPr>
            </w:pPr>
            <w:r w:rsidRPr="00B6143C">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rPr>
                <w:rFonts w:ascii="Times New Roman" w:hAnsi="Times New Roman"/>
                <w:color w:val="000000"/>
              </w:rPr>
            </w:pPr>
            <w:r w:rsidRPr="00B6143C">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rPr>
                <w:rFonts w:ascii="Times New Roman" w:hAnsi="Times New Roman"/>
                <w:color w:val="000000"/>
              </w:rPr>
            </w:pPr>
            <w:r w:rsidRPr="00B6143C">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jc w:val="center"/>
              <w:rPr>
                <w:rFonts w:ascii="Times New Roman" w:hAnsi="Times New Roman"/>
                <w:color w:val="000000"/>
              </w:rPr>
            </w:pPr>
            <w:r w:rsidRPr="00B6143C">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rPr>
                <w:rFonts w:ascii="Times New Roman" w:hAnsi="Times New Roman"/>
                <w:color w:val="000000"/>
              </w:rPr>
            </w:pPr>
            <w:r w:rsidRPr="00B6143C">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jc w:val="center"/>
              <w:rPr>
                <w:rFonts w:ascii="Times New Roman" w:hAnsi="Times New Roman"/>
                <w:color w:val="000000"/>
              </w:rPr>
            </w:pPr>
            <w:r w:rsidRPr="00B6143C">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427D" w:rsidRPr="00B6143C" w:rsidP="0067427D">
            <w:pPr>
              <w:widowControl/>
              <w:bidi w:val="0"/>
              <w:jc w:val="center"/>
              <w:rPr>
                <w:rFonts w:ascii="Times New Roman" w:hAnsi="Times New Roman"/>
                <w:color w:val="000000"/>
              </w:rPr>
            </w:pPr>
          </w:p>
        </w:tc>
      </w:tr>
    </w:tbl>
    <w:p w:rsidR="0067427D" w:rsidRPr="00B6143C" w:rsidP="0067427D">
      <w:pPr>
        <w:widowControl/>
        <w:bidi w:val="0"/>
        <w:rPr>
          <w:rFonts w:ascii="Times New Roman" w:hAnsi="Times New Roman"/>
          <w:color w:val="000000"/>
        </w:rPr>
      </w:pPr>
      <w:r w:rsidRPr="00B6143C">
        <w:rPr>
          <w:rFonts w:ascii="Times New Roman" w:hAnsi="Times New Roman"/>
          <w:color w:val="000000"/>
        </w:rPr>
        <w:t> </w:t>
      </w:r>
    </w:p>
    <w:p w:rsidR="0067427D" w:rsidRPr="00B6143C" w:rsidP="0067427D">
      <w:pPr>
        <w:bidi w:val="0"/>
        <w:jc w:val="both"/>
        <w:rPr>
          <w:rFonts w:ascii="Times New Roman" w:hAnsi="Times New Roman"/>
          <w:b/>
          <w:bCs/>
          <w:color w:val="000000"/>
        </w:rPr>
      </w:pPr>
    </w:p>
    <w:p w:rsidR="0067427D" w:rsidRPr="00B6143C" w:rsidP="0067427D">
      <w:pPr>
        <w:bidi w:val="0"/>
        <w:jc w:val="both"/>
        <w:rPr>
          <w:rFonts w:ascii="Times New Roman" w:hAnsi="Times New Roman"/>
          <w:b/>
          <w:bCs/>
          <w:color w:val="000000"/>
        </w:rPr>
      </w:pPr>
      <w:r w:rsidRPr="00B6143C">
        <w:rPr>
          <w:rFonts w:ascii="Times New Roman" w:hAnsi="Times New Roman"/>
          <w:b/>
          <w:bCs/>
          <w:color w:val="000000"/>
        </w:rPr>
        <w:t>A.3. Poznámky</w:t>
      </w:r>
    </w:p>
    <w:p w:rsidR="0067427D" w:rsidRPr="00B6143C" w:rsidP="0067427D">
      <w:pPr>
        <w:widowControl/>
        <w:bidi w:val="0"/>
        <w:ind w:firstLine="851"/>
        <w:jc w:val="both"/>
        <w:rPr>
          <w:rFonts w:ascii="Times New Roman" w:hAnsi="Times New Roman"/>
          <w:color w:val="000000"/>
        </w:rPr>
      </w:pPr>
      <w:r w:rsidRPr="00B6143C">
        <w:rPr>
          <w:rFonts w:ascii="Times New Roman" w:hAnsi="Times New Roman"/>
          <w:color w:val="000000"/>
        </w:rPr>
        <w:t>Predloženým návrhom zákona nevzniknú nové požiadavky na štátny rozpočet. V prípade rozhodnutia o poskytnutí dotácie bude táto dotácia rozpočtovo vykrytá z celkového schválenéh</w:t>
      </w:r>
      <w:r w:rsidRPr="00B6143C">
        <w:rPr>
          <w:rFonts w:ascii="Times New Roman" w:hAnsi="Times New Roman"/>
          <w:color w:val="808080"/>
        </w:rPr>
        <w:t>o</w:t>
      </w:r>
      <w:r w:rsidRPr="00B6143C">
        <w:rPr>
          <w:rFonts w:ascii="Times New Roman" w:hAnsi="Times New Roman"/>
          <w:color w:val="000000"/>
        </w:rPr>
        <w:t xml:space="preserve"> objemu výdavkov rozpočtovej kapitoly Ministerstva obrany Slovenskej republiky. </w:t>
      </w:r>
    </w:p>
    <w:p w:rsidR="0067427D" w:rsidRPr="00B6143C" w:rsidP="0067427D">
      <w:pPr>
        <w:widowControl/>
        <w:bidi w:val="0"/>
        <w:spacing w:after="280" w:afterAutospacing="1"/>
        <w:rPr>
          <w:rFonts w:ascii="Times New Roman" w:hAnsi="Times New Roman"/>
          <w:color w:val="000000"/>
        </w:rPr>
      </w:pPr>
      <w:r w:rsidRPr="00B6143C">
        <w:rPr>
          <w:rFonts w:ascii="Times New Roman" w:hAnsi="Times New Roman"/>
          <w:color w:val="000000"/>
        </w:rPr>
        <w:t> </w:t>
      </w:r>
    </w:p>
    <w:p w:rsidR="0067427D" w:rsidRPr="00B6143C" w:rsidP="0067427D">
      <w:pPr>
        <w:bidi w:val="0"/>
        <w:jc w:val="both"/>
        <w:rPr>
          <w:rFonts w:ascii="Times New Roman" w:hAnsi="Times New Roman"/>
          <w:i/>
          <w:iCs/>
          <w:color w:val="000000"/>
        </w:rPr>
      </w:pPr>
      <w:r w:rsidRPr="00B6143C">
        <w:rPr>
          <w:rFonts w:ascii="Times New Roman" w:hAnsi="Times New Roman"/>
          <w:i/>
          <w:iCs/>
          <w:color w:val="000000"/>
        </w:rPr>
        <w:t xml:space="preserve">      </w:t>
      </w:r>
    </w:p>
    <w:p w:rsidR="0067427D" w:rsidRPr="00B6143C" w:rsidP="0067427D">
      <w:pPr>
        <w:bidi w:val="0"/>
        <w:jc w:val="both"/>
        <w:rPr>
          <w:rFonts w:ascii="Times New Roman" w:hAnsi="Times New Roman"/>
          <w:b/>
          <w:bCs/>
          <w:color w:val="000000"/>
        </w:rPr>
      </w:pPr>
      <w:r w:rsidRPr="00B6143C">
        <w:rPr>
          <w:rFonts w:ascii="Times New Roman" w:hAnsi="Times New Roman"/>
          <w:b/>
          <w:bCs/>
          <w:color w:val="000000"/>
        </w:rPr>
        <w:t>A.4. Alternatívne riešenia</w:t>
      </w:r>
    </w:p>
    <w:p w:rsidR="0067427D" w:rsidRPr="00B6143C" w:rsidP="0067427D">
      <w:pPr>
        <w:bidi w:val="0"/>
        <w:jc w:val="both"/>
        <w:rPr>
          <w:rFonts w:ascii="Times New Roman" w:hAnsi="Times New Roman"/>
          <w:b/>
          <w:bCs/>
          <w:color w:val="000000"/>
        </w:rPr>
      </w:pPr>
      <w:r w:rsidRPr="00B6143C">
        <w:rPr>
          <w:rFonts w:ascii="Times New Roman" w:hAnsi="Times New Roman"/>
          <w:color w:val="000000"/>
        </w:rPr>
        <w:t>Nenavrhujú sa. </w:t>
      </w:r>
    </w:p>
    <w:p w:rsidR="0067427D" w:rsidRPr="00B6143C" w:rsidP="0067427D">
      <w:pPr>
        <w:bidi w:val="0"/>
        <w:jc w:val="both"/>
        <w:rPr>
          <w:rFonts w:ascii="Times New Roman" w:hAnsi="Times New Roman"/>
          <w:b/>
          <w:bCs/>
          <w:color w:val="000000"/>
        </w:rPr>
      </w:pPr>
    </w:p>
    <w:p w:rsidR="0067427D" w:rsidRPr="00B6143C" w:rsidP="0067427D">
      <w:pPr>
        <w:bidi w:val="0"/>
        <w:jc w:val="both"/>
        <w:rPr>
          <w:rFonts w:ascii="Times New Roman" w:hAnsi="Times New Roman"/>
          <w:b/>
          <w:bCs/>
          <w:color w:val="000000"/>
        </w:rPr>
      </w:pPr>
      <w:r w:rsidRPr="00B6143C">
        <w:rPr>
          <w:rFonts w:ascii="Times New Roman" w:hAnsi="Times New Roman"/>
          <w:b/>
          <w:bCs/>
          <w:color w:val="000000"/>
        </w:rPr>
        <w:t>A.5. Stanovisko gestorov</w:t>
      </w:r>
    </w:p>
    <w:p w:rsidR="0067427D" w:rsidRPr="00B6143C" w:rsidP="0067427D">
      <w:pPr>
        <w:bidi w:val="0"/>
        <w:jc w:val="both"/>
        <w:rPr>
          <w:rFonts w:ascii="Times New Roman" w:hAnsi="Times New Roman"/>
          <w:b/>
          <w:bCs/>
          <w:color w:val="000000"/>
        </w:rPr>
      </w:pPr>
      <w:r w:rsidRPr="00B6143C">
        <w:rPr>
          <w:rFonts w:ascii="Times New Roman" w:hAnsi="Times New Roman"/>
          <w:color w:val="000000"/>
        </w:rPr>
        <w:t> </w:t>
      </w:r>
    </w:p>
    <w:p w:rsidR="0067427D" w:rsidRPr="00B6143C" w:rsidP="0067427D">
      <w:pPr>
        <w:widowControl/>
        <w:bidi w:val="0"/>
        <w:rPr>
          <w:rFonts w:ascii="Times New Roman" w:hAnsi="Times New Roman"/>
          <w:color w:val="000000"/>
        </w:rPr>
      </w:pPr>
    </w:p>
    <w:p w:rsidR="0067427D" w:rsidRPr="00B6143C" w:rsidP="0067427D">
      <w:pPr>
        <w:widowControl/>
        <w:bidi w:val="0"/>
        <w:rPr>
          <w:rFonts w:ascii="Times New Roman" w:hAnsi="Times New Roman"/>
          <w:color w:val="000000"/>
        </w:rPr>
      </w:pPr>
    </w:p>
    <w:p w:rsidR="0067427D" w:rsidRPr="00B6143C" w:rsidP="0067427D">
      <w:pPr>
        <w:widowControl/>
        <w:bidi w:val="0"/>
        <w:rPr>
          <w:rFonts w:ascii="Times New Roman" w:hAnsi="Times New Roman"/>
          <w:color w:val="000000"/>
        </w:rPr>
      </w:pPr>
    </w:p>
    <w:p w:rsidR="0067427D" w:rsidRPr="00B6143C" w:rsidP="0067427D">
      <w:pPr>
        <w:widowControl/>
        <w:bidi w:val="0"/>
        <w:rPr>
          <w:rFonts w:ascii="Times New Roman" w:hAnsi="Times New Roman"/>
          <w:color w:val="000000"/>
        </w:rPr>
      </w:pPr>
    </w:p>
    <w:p w:rsidR="0067427D" w:rsidRPr="00B6143C" w:rsidP="0067427D">
      <w:pPr>
        <w:widowControl/>
        <w:bidi w:val="0"/>
        <w:rPr>
          <w:rFonts w:ascii="Times New Roman" w:hAnsi="Times New Roman"/>
          <w:color w:val="000000"/>
        </w:rPr>
      </w:pPr>
    </w:p>
    <w:p w:rsidR="0067427D" w:rsidRPr="00B6143C" w:rsidP="0067427D">
      <w:pPr>
        <w:widowControl/>
        <w:bidi w:val="0"/>
        <w:rPr>
          <w:rFonts w:ascii="Times New Roman" w:hAnsi="Times New Roman"/>
          <w:color w:val="000000"/>
        </w:rPr>
      </w:pPr>
    </w:p>
    <w:p w:rsidR="0067427D" w:rsidRPr="00B6143C" w:rsidP="0067427D">
      <w:pPr>
        <w:widowControl/>
        <w:bidi w:val="0"/>
        <w:rPr>
          <w:rFonts w:ascii="Times New Roman" w:hAnsi="Times New Roman"/>
          <w:color w:val="000000"/>
        </w:rPr>
      </w:pPr>
    </w:p>
    <w:p w:rsidR="0067427D" w:rsidRPr="00B6143C" w:rsidP="0067427D">
      <w:pPr>
        <w:widowControl/>
        <w:bidi w:val="0"/>
        <w:rPr>
          <w:rFonts w:ascii="Times New Roman" w:hAnsi="Times New Roman"/>
          <w:color w:val="000000"/>
        </w:rPr>
      </w:pPr>
    </w:p>
    <w:p w:rsidR="0067427D" w:rsidRPr="00B6143C" w:rsidP="0067427D">
      <w:pPr>
        <w:widowControl/>
        <w:bidi w:val="0"/>
        <w:rPr>
          <w:rFonts w:ascii="Times New Roman" w:hAnsi="Times New Roman"/>
          <w:color w:val="000000"/>
        </w:rPr>
      </w:pPr>
    </w:p>
    <w:p w:rsidR="0067427D" w:rsidRPr="00B6143C" w:rsidP="0067427D">
      <w:pPr>
        <w:widowControl/>
        <w:bidi w:val="0"/>
        <w:rPr>
          <w:rFonts w:ascii="Times New Roman" w:hAnsi="Times New Roman"/>
          <w:color w:val="000000"/>
        </w:rPr>
      </w:pPr>
    </w:p>
    <w:p w:rsidR="0067427D" w:rsidRPr="00B6143C" w:rsidP="0067427D">
      <w:pPr>
        <w:widowControl/>
        <w:bidi w:val="0"/>
        <w:rPr>
          <w:rFonts w:ascii="Times New Roman" w:hAnsi="Times New Roman"/>
          <w:color w:val="000000"/>
        </w:rPr>
      </w:pPr>
    </w:p>
    <w:p w:rsidR="0067427D" w:rsidP="0067427D">
      <w:pPr>
        <w:bidi w:val="0"/>
        <w:rPr>
          <w:rFonts w:ascii="Times New Roman" w:hAnsi="Times New Roman"/>
          <w:color w:val="000000"/>
        </w:rPr>
      </w:pPr>
    </w:p>
    <w:p w:rsidR="0067427D" w:rsidRPr="00B6143C" w:rsidP="0067427D">
      <w:pPr>
        <w:bidi w:val="0"/>
        <w:jc w:val="center"/>
        <w:rPr>
          <w:rFonts w:ascii="Times New Roman" w:hAnsi="Times New Roman"/>
        </w:rPr>
      </w:pPr>
      <w:r w:rsidRPr="00B6143C">
        <w:rPr>
          <w:rFonts w:ascii="Times New Roman" w:hAnsi="Times New Roman"/>
          <w:b/>
          <w:bCs/>
          <w:sz w:val="28"/>
          <w:szCs w:val="28"/>
        </w:rPr>
        <w:t>Vplyvy na rozpočet verejnej správy,</w:t>
      </w:r>
    </w:p>
    <w:p w:rsidR="0067427D" w:rsidRPr="00B6143C" w:rsidP="0067427D">
      <w:pPr>
        <w:bidi w:val="0"/>
        <w:jc w:val="center"/>
        <w:rPr>
          <w:rFonts w:ascii="Times New Roman" w:hAnsi="Times New Roman"/>
          <w:b/>
          <w:bCs/>
          <w:sz w:val="28"/>
          <w:szCs w:val="28"/>
        </w:rPr>
      </w:pPr>
      <w:r w:rsidRPr="00B6143C">
        <w:rPr>
          <w:rFonts w:ascii="Times New Roman" w:hAnsi="Times New Roman"/>
          <w:b/>
          <w:bCs/>
          <w:sz w:val="28"/>
          <w:szCs w:val="28"/>
        </w:rPr>
        <w:t>na zamestnanosť vo verejnej správe a financovanie návrhu</w:t>
      </w:r>
    </w:p>
    <w:p w:rsidR="0067427D" w:rsidRPr="00B6143C" w:rsidP="0067427D">
      <w:pPr>
        <w:bidi w:val="0"/>
        <w:rPr>
          <w:rFonts w:ascii="Times New Roman" w:hAnsi="Times New Roman"/>
        </w:rPr>
      </w:pPr>
    </w:p>
    <w:p w:rsidR="0067427D" w:rsidRPr="00B6143C" w:rsidP="0067427D">
      <w:pPr>
        <w:bidi w:val="0"/>
        <w:rPr>
          <w:rFonts w:ascii="Times New Roman" w:hAnsi="Times New Roman"/>
          <w:b/>
          <w:bCs/>
        </w:rPr>
      </w:pPr>
      <w:r w:rsidRPr="00B6143C">
        <w:rPr>
          <w:rFonts w:ascii="Times New Roman" w:hAnsi="Times New Roman"/>
          <w:b/>
          <w:bCs/>
        </w:rPr>
        <w:t>2.1. Zhrnutie vplyvov na rozpočet verejnej správy v návrhu</w:t>
      </w:r>
    </w:p>
    <w:p w:rsidR="0067427D" w:rsidRPr="00B6143C" w:rsidP="0067427D">
      <w:pPr>
        <w:bidi w:val="0"/>
        <w:rPr>
          <w:rFonts w:ascii="Times New Roman" w:hAnsi="Times New Roman"/>
        </w:rPr>
      </w:pPr>
      <w:r w:rsidRPr="00B6143C">
        <w:rPr>
          <w:rFonts w:ascii="Times New Roman" w:hAnsi="Times New Roman"/>
        </w:rPr>
        <w:tab/>
        <w:tab/>
        <w:tab/>
        <w:tab/>
        <w:tab/>
        <w:tab/>
        <w:tab/>
        <w:tab/>
        <w:tab/>
        <w:tab/>
        <w:tab/>
        <w:t>Tabuľka č. 1</w:t>
      </w:r>
    </w:p>
    <w:tbl>
      <w:tblPr>
        <w:tblStyle w:val="TableNormal"/>
        <w:tblW w:w="9250" w:type="dxa"/>
        <w:tblLayout w:type="fixed"/>
        <w:tblCellMar>
          <w:left w:w="0" w:type="dxa"/>
          <w:right w:w="0" w:type="dxa"/>
        </w:tblCellMar>
        <w:tblLook w:val="00A0"/>
      </w:tblPr>
      <w:tblGrid>
        <w:gridCol w:w="4661"/>
        <w:gridCol w:w="1169"/>
        <w:gridCol w:w="1260"/>
        <w:gridCol w:w="1080"/>
        <w:gridCol w:w="1080"/>
      </w:tblGrid>
      <w:tr>
        <w:tblPrEx>
          <w:tblW w:w="9250" w:type="dxa"/>
          <w:tblLayout w:type="fixed"/>
          <w:tblCellMar>
            <w:left w:w="0" w:type="dxa"/>
            <w:right w:w="0" w:type="dxa"/>
          </w:tblCellMar>
          <w:tblLook w:val="00A0"/>
        </w:tblPrEx>
        <w:trPr>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7427D" w:rsidRPr="00B6143C" w:rsidP="0067427D">
            <w:pPr>
              <w:bidi w:val="0"/>
              <w:spacing w:line="194" w:lineRule="atLeast"/>
              <w:jc w:val="center"/>
              <w:rPr>
                <w:rFonts w:ascii="Times New Roman" w:hAnsi="Times New Roman"/>
              </w:rPr>
            </w:pPr>
            <w:bookmarkStart w:id="0" w:name="OLE_LINK1"/>
            <w:bookmarkEnd w:id="0"/>
            <w:r w:rsidRPr="00B6143C">
              <w:rPr>
                <w:rFonts w:ascii="Times New Roman" w:hAnsi="Times New Roman"/>
                <w:b/>
                <w:bCs/>
                <w:color w:val="FFFFFF"/>
              </w:rPr>
              <w:t xml:space="preserve">Vplyvy na </w:t>
            </w:r>
            <w:r w:rsidRPr="00B6143C">
              <w:rPr>
                <w:rFonts w:ascii="Times New Roman" w:hAnsi="Times New Roman"/>
                <w:b/>
                <w:bCs/>
              </w:rPr>
              <w:t>rozpočet verejnej správy</w:t>
            </w:r>
          </w:p>
        </w:tc>
        <w:tc>
          <w:tcPr>
            <w:tcW w:w="4589"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7427D" w:rsidRPr="00B6143C" w:rsidP="0067427D">
            <w:pPr>
              <w:bidi w:val="0"/>
              <w:spacing w:line="194" w:lineRule="atLeast"/>
              <w:jc w:val="center"/>
              <w:rPr>
                <w:rFonts w:ascii="Times New Roman" w:hAnsi="Times New Roman"/>
              </w:rPr>
            </w:pPr>
            <w:r w:rsidRPr="00B6143C">
              <w:rPr>
                <w:rFonts w:ascii="Times New Roman" w:hAnsi="Times New Roman"/>
                <w:b/>
                <w:bCs/>
                <w:color w:val="FFFFFF"/>
              </w:rPr>
              <w:t xml:space="preserve">Vplyv na rozpočet verejnej správy </w:t>
            </w:r>
            <w:r w:rsidRPr="00B6143C">
              <w:rPr>
                <w:rFonts w:ascii="Times New Roman" w:hAnsi="Times New Roman"/>
                <w:b/>
                <w:bCs/>
              </w:rPr>
              <w:t>(v eurách)</w:t>
            </w:r>
          </w:p>
        </w:tc>
      </w:tr>
      <w:tr>
        <w:tblPrEx>
          <w:tblW w:w="9250" w:type="dxa"/>
          <w:tblLayout w:type="fixed"/>
          <w:tblCellMar>
            <w:left w:w="0" w:type="dxa"/>
            <w:right w:w="0" w:type="dxa"/>
          </w:tblCellMar>
          <w:tblLook w:val="00A0"/>
        </w:tblPrEx>
        <w:trPr>
          <w:trHeight w:val="70"/>
        </w:trPr>
        <w:tc>
          <w:tcPr>
            <w:tcW w:w="4661" w:type="dxa"/>
            <w:vMerge/>
            <w:tcBorders>
              <w:top w:val="single" w:sz="4" w:space="0" w:color="000000"/>
              <w:left w:val="single" w:sz="4" w:space="0" w:color="000000"/>
              <w:bottom w:val="single" w:sz="4" w:space="0" w:color="000000"/>
              <w:right w:val="single" w:sz="4" w:space="0" w:color="000000"/>
            </w:tcBorders>
            <w:textDirection w:val="lrTb"/>
            <w:vAlign w:val="center"/>
          </w:tcPr>
          <w:p w:rsidR="0067427D" w:rsidRPr="00B6143C" w:rsidP="0067427D">
            <w:pPr>
              <w:bidi w:val="0"/>
              <w:rPr>
                <w:rFonts w:ascii="Times New Roman" w:hAnsi="Times New Roman"/>
              </w:rPr>
            </w:pPr>
          </w:p>
        </w:tc>
        <w:tc>
          <w:tcPr>
            <w:tcW w:w="1169"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7427D" w:rsidRPr="00B6143C" w:rsidP="0067427D">
            <w:pPr>
              <w:bidi w:val="0"/>
              <w:spacing w:line="70" w:lineRule="atLeast"/>
              <w:jc w:val="center"/>
              <w:rPr>
                <w:rFonts w:ascii="Times New Roman" w:hAnsi="Times New Roman"/>
                <w:b/>
              </w:rPr>
            </w:pPr>
            <w:r w:rsidRPr="00B6143C">
              <w:rPr>
                <w:rFonts w:ascii="Times New Roman" w:hAnsi="Times New Roman"/>
                <w:b/>
              </w:rPr>
              <w:t>2013</w:t>
            </w:r>
          </w:p>
        </w:tc>
        <w:tc>
          <w:tcPr>
            <w:tcW w:w="126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7427D" w:rsidRPr="00B6143C" w:rsidP="0067427D">
            <w:pPr>
              <w:bidi w:val="0"/>
              <w:spacing w:line="70" w:lineRule="atLeast"/>
              <w:jc w:val="center"/>
              <w:rPr>
                <w:rFonts w:ascii="Times New Roman" w:hAnsi="Times New Roman"/>
                <w:b/>
              </w:rPr>
            </w:pPr>
            <w:r w:rsidRPr="00B6143C">
              <w:rPr>
                <w:rFonts w:ascii="Times New Roman" w:hAnsi="Times New Roman"/>
                <w:b/>
              </w:rPr>
              <w:t>2014</w:t>
            </w:r>
          </w:p>
        </w:tc>
        <w:tc>
          <w:tcPr>
            <w:tcW w:w="108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7427D" w:rsidRPr="00B6143C" w:rsidP="0067427D">
            <w:pPr>
              <w:bidi w:val="0"/>
              <w:spacing w:line="70" w:lineRule="atLeast"/>
              <w:jc w:val="center"/>
              <w:rPr>
                <w:rFonts w:ascii="Times New Roman" w:hAnsi="Times New Roman"/>
              </w:rPr>
            </w:pPr>
            <w:r w:rsidRPr="00B6143C">
              <w:rPr>
                <w:rFonts w:ascii="Times New Roman" w:hAnsi="Times New Roman"/>
                <w:b/>
                <w:bCs/>
                <w:color w:val="FFFFFF"/>
              </w:rPr>
              <w:t>2015</w:t>
            </w:r>
          </w:p>
        </w:tc>
        <w:tc>
          <w:tcPr>
            <w:tcW w:w="108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7427D" w:rsidRPr="00B6143C" w:rsidP="0067427D">
            <w:pPr>
              <w:bidi w:val="0"/>
              <w:spacing w:line="70" w:lineRule="atLeast"/>
              <w:jc w:val="center"/>
              <w:rPr>
                <w:rFonts w:ascii="Times New Roman" w:hAnsi="Times New Roman"/>
              </w:rPr>
            </w:pPr>
            <w:r w:rsidRPr="00B6143C">
              <w:rPr>
                <w:rFonts w:ascii="Times New Roman" w:hAnsi="Times New Roman"/>
                <w:b/>
                <w:bCs/>
                <w:color w:val="FFFFFF"/>
              </w:rPr>
              <w:t>2016</w:t>
            </w:r>
          </w:p>
        </w:tc>
      </w:tr>
      <w:tr>
        <w:tblPrEx>
          <w:tblW w:w="9250" w:type="dxa"/>
          <w:tblLayout w:type="fixed"/>
          <w:tblCellMar>
            <w:left w:w="0" w:type="dxa"/>
            <w:right w:w="0" w:type="dxa"/>
          </w:tblCellMar>
          <w:tblLook w:val="00A0"/>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7427D" w:rsidRPr="00B6143C" w:rsidP="0067427D">
            <w:pPr>
              <w:bidi w:val="0"/>
              <w:spacing w:line="70" w:lineRule="atLeast"/>
              <w:rPr>
                <w:rFonts w:ascii="Times New Roman" w:hAnsi="Times New Roman"/>
              </w:rPr>
            </w:pPr>
            <w:r w:rsidRPr="00B6143C">
              <w:rPr>
                <w:rFonts w:ascii="Times New Roman" w:hAnsi="Times New Roman"/>
                <w:b/>
                <w:bCs/>
              </w:rPr>
              <w:t>Príjmy verejnej správy celkom</w:t>
            </w:r>
          </w:p>
        </w:tc>
        <w:tc>
          <w:tcPr>
            <w:tcW w:w="116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p>
        </w:tc>
      </w:tr>
      <w:tr>
        <w:tblPrEx>
          <w:tblW w:w="9250" w:type="dxa"/>
          <w:tblLayout w:type="fixed"/>
          <w:tblCellMar>
            <w:left w:w="0" w:type="dxa"/>
            <w:right w:w="0" w:type="dxa"/>
          </w:tblCellMar>
          <w:tblLook w:val="00A0"/>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32" w:lineRule="atLeast"/>
              <w:rPr>
                <w:rFonts w:ascii="Times New Roman" w:hAnsi="Times New Roman"/>
              </w:rPr>
            </w:pPr>
            <w:r w:rsidRPr="00B6143C">
              <w:rPr>
                <w:rFonts w:ascii="Times New Roman" w:hAnsi="Times New Roman"/>
              </w:rPr>
              <w:t>v tom: za každý subjekt verejnej správy zvlášť</w:t>
            </w:r>
          </w:p>
        </w:tc>
        <w:tc>
          <w:tcPr>
            <w:tcW w:w="11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32" w:lineRule="atLeast"/>
              <w:jc w:val="right"/>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32" w:lineRule="atLeast"/>
              <w:jc w:val="right"/>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32" w:lineRule="atLeast"/>
              <w:jc w:val="right"/>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32" w:lineRule="atLeast"/>
              <w:jc w:val="right"/>
              <w:rPr>
                <w:rFonts w:ascii="Times New Roman" w:hAnsi="Times New Roman"/>
              </w:rPr>
            </w:pPr>
          </w:p>
        </w:tc>
      </w:tr>
      <w:tr>
        <w:tblPrEx>
          <w:tblW w:w="9250" w:type="dxa"/>
          <w:tblLayout w:type="fixed"/>
          <w:tblCellMar>
            <w:left w:w="0" w:type="dxa"/>
            <w:right w:w="0" w:type="dxa"/>
          </w:tblCellMar>
          <w:tblLook w:val="00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rPr>
                <w:rFonts w:ascii="Times New Roman" w:hAnsi="Times New Roman"/>
              </w:rPr>
            </w:pPr>
            <w:r w:rsidRPr="00B6143C">
              <w:rPr>
                <w:rFonts w:ascii="Times New Roman" w:hAnsi="Times New Roman"/>
                <w:b/>
                <w:bCs/>
                <w:i/>
                <w:iCs/>
              </w:rPr>
              <w:t xml:space="preserve">z toho: </w:t>
            </w:r>
          </w:p>
        </w:tc>
        <w:tc>
          <w:tcPr>
            <w:tcW w:w="11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p>
        </w:tc>
      </w:tr>
      <w:tr>
        <w:tblPrEx>
          <w:tblW w:w="9250" w:type="dxa"/>
          <w:tblLayout w:type="fixed"/>
          <w:tblCellMar>
            <w:left w:w="0" w:type="dxa"/>
            <w:right w:w="0" w:type="dxa"/>
          </w:tblCellMar>
          <w:tblLook w:val="00A0"/>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25" w:lineRule="atLeast"/>
              <w:rPr>
                <w:rFonts w:ascii="Times New Roman" w:hAnsi="Times New Roman"/>
              </w:rPr>
            </w:pPr>
            <w:r w:rsidRPr="00B6143C">
              <w:rPr>
                <w:rFonts w:ascii="Times New Roman" w:hAnsi="Times New Roman"/>
                <w:b/>
                <w:bCs/>
                <w:i/>
                <w:iCs/>
              </w:rPr>
              <w:t>- vplyv na ŠR</w:t>
            </w:r>
          </w:p>
        </w:tc>
        <w:tc>
          <w:tcPr>
            <w:tcW w:w="11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25" w:lineRule="atLeast"/>
              <w:jc w:val="right"/>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25" w:lineRule="atLeast"/>
              <w:jc w:val="right"/>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25" w:lineRule="atLeast"/>
              <w:jc w:val="right"/>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25" w:lineRule="atLeast"/>
              <w:jc w:val="right"/>
              <w:rPr>
                <w:rFonts w:ascii="Times New Roman" w:hAnsi="Times New Roman"/>
              </w:rPr>
            </w:pPr>
          </w:p>
        </w:tc>
      </w:tr>
      <w:tr>
        <w:tblPrEx>
          <w:tblW w:w="9250" w:type="dxa"/>
          <w:tblLayout w:type="fixed"/>
          <w:tblCellMar>
            <w:left w:w="0" w:type="dxa"/>
            <w:right w:w="0" w:type="dxa"/>
          </w:tblCellMar>
          <w:tblLook w:val="00A0"/>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25" w:lineRule="atLeast"/>
              <w:rPr>
                <w:rFonts w:ascii="Times New Roman" w:hAnsi="Times New Roman"/>
              </w:rPr>
            </w:pPr>
            <w:r w:rsidRPr="00B6143C">
              <w:rPr>
                <w:rFonts w:ascii="Times New Roman" w:hAnsi="Times New Roman"/>
                <w:b/>
                <w:bCs/>
                <w:i/>
                <w:iCs/>
              </w:rPr>
              <w:t>- vplyv na územnú samosprávu</w:t>
            </w:r>
          </w:p>
        </w:tc>
        <w:tc>
          <w:tcPr>
            <w:tcW w:w="11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25" w:lineRule="atLeast"/>
              <w:jc w:val="right"/>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25" w:lineRule="atLeast"/>
              <w:jc w:val="right"/>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25" w:lineRule="atLeast"/>
              <w:jc w:val="right"/>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25" w:lineRule="atLeast"/>
              <w:jc w:val="right"/>
              <w:rPr>
                <w:rFonts w:ascii="Times New Roman" w:hAnsi="Times New Roman"/>
              </w:rPr>
            </w:pPr>
          </w:p>
        </w:tc>
      </w:tr>
      <w:tr>
        <w:tblPrEx>
          <w:tblW w:w="9250" w:type="dxa"/>
          <w:tblLayout w:type="fixed"/>
          <w:tblCellMar>
            <w:left w:w="0" w:type="dxa"/>
            <w:right w:w="0" w:type="dxa"/>
          </w:tblCellMar>
          <w:tblLook w:val="00A0"/>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7427D" w:rsidRPr="00B6143C" w:rsidP="0067427D">
            <w:pPr>
              <w:bidi w:val="0"/>
              <w:spacing w:line="125" w:lineRule="atLeast"/>
              <w:rPr>
                <w:rFonts w:ascii="Times New Roman" w:hAnsi="Times New Roman"/>
              </w:rPr>
            </w:pPr>
            <w:r w:rsidRPr="00B6143C">
              <w:rPr>
                <w:rFonts w:ascii="Times New Roman" w:hAnsi="Times New Roman"/>
                <w:b/>
                <w:bCs/>
              </w:rPr>
              <w:t>Výdavky verejnej správy celkom</w:t>
            </w:r>
          </w:p>
        </w:tc>
        <w:tc>
          <w:tcPr>
            <w:tcW w:w="116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7427D" w:rsidRPr="00B6143C" w:rsidP="0067427D">
            <w:pPr>
              <w:bidi w:val="0"/>
              <w:spacing w:line="125" w:lineRule="atLeast"/>
              <w:jc w:val="right"/>
              <w:rPr>
                <w:rFonts w:ascii="Times New Roman" w:hAnsi="Times New Roman"/>
                <w:b/>
              </w:rPr>
            </w:pPr>
            <w:r w:rsidRPr="00B6143C">
              <w:rPr>
                <w:rFonts w:ascii="Times New Roman" w:hAnsi="Times New Roman"/>
                <w:b/>
              </w:rPr>
              <w:t>450 000,-</w:t>
            </w: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7427D" w:rsidRPr="00B6143C" w:rsidP="0067427D">
            <w:pPr>
              <w:bidi w:val="0"/>
              <w:spacing w:line="125" w:lineRule="atLeast"/>
              <w:jc w:val="right"/>
              <w:rPr>
                <w:rFonts w:ascii="Times New Roman" w:hAnsi="Times New Roman"/>
                <w:b/>
              </w:rPr>
            </w:pPr>
            <w:r w:rsidRPr="00B6143C">
              <w:rPr>
                <w:rFonts w:ascii="Times New Roman" w:hAnsi="Times New Roman"/>
                <w:b/>
              </w:rPr>
              <w:t>450 000,-</w:t>
            </w:r>
          </w:p>
        </w:tc>
        <w:tc>
          <w:tcPr>
            <w:tcW w:w="108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7427D" w:rsidRPr="00B6143C" w:rsidP="0067427D">
            <w:pPr>
              <w:bidi w:val="0"/>
              <w:spacing w:line="125" w:lineRule="atLeast"/>
              <w:jc w:val="right"/>
              <w:rPr>
                <w:rFonts w:ascii="Times New Roman" w:hAnsi="Times New Roman"/>
              </w:rPr>
            </w:pPr>
            <w:r w:rsidRPr="00B6143C">
              <w:rPr>
                <w:rFonts w:ascii="Times New Roman" w:hAnsi="Times New Roman"/>
                <w:b/>
              </w:rPr>
              <w:t>450 000,-</w:t>
            </w:r>
          </w:p>
        </w:tc>
        <w:tc>
          <w:tcPr>
            <w:tcW w:w="108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7427D" w:rsidRPr="00B6143C" w:rsidP="0067427D">
            <w:pPr>
              <w:bidi w:val="0"/>
              <w:spacing w:line="125" w:lineRule="atLeast"/>
              <w:jc w:val="right"/>
              <w:rPr>
                <w:rFonts w:ascii="Times New Roman" w:hAnsi="Times New Roman"/>
              </w:rPr>
            </w:pPr>
            <w:r w:rsidRPr="00B6143C">
              <w:rPr>
                <w:rFonts w:ascii="Times New Roman" w:hAnsi="Times New Roman"/>
                <w:b/>
              </w:rPr>
              <w:t>450 000,-</w:t>
            </w:r>
          </w:p>
        </w:tc>
      </w:tr>
      <w:tr>
        <w:tblPrEx>
          <w:tblW w:w="9250" w:type="dxa"/>
          <w:tblLayout w:type="fixed"/>
          <w:tblCellMar>
            <w:left w:w="0" w:type="dxa"/>
            <w:right w:w="0" w:type="dxa"/>
          </w:tblCellMar>
          <w:tblLook w:val="00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rPr>
                <w:rFonts w:ascii="Times New Roman" w:hAnsi="Times New Roman"/>
              </w:rPr>
            </w:pPr>
            <w:r w:rsidRPr="00B6143C">
              <w:rPr>
                <w:rFonts w:ascii="Times New Roman" w:hAnsi="Times New Roman"/>
              </w:rPr>
              <w:t xml:space="preserve">v tom: Ministerstvo obrany SR – rozpočtová kapitola 11 </w:t>
            </w:r>
          </w:p>
        </w:tc>
        <w:tc>
          <w:tcPr>
            <w:tcW w:w="11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r w:rsidRPr="00B6143C">
              <w:rPr>
                <w:rFonts w:ascii="Times New Roman" w:hAnsi="Times New Roman"/>
                <w:b/>
              </w:rPr>
              <w:t>450 000,-</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r w:rsidRPr="00B6143C">
              <w:rPr>
                <w:rFonts w:ascii="Times New Roman" w:hAnsi="Times New Roman"/>
                <w:b/>
              </w:rPr>
              <w:t>450 000,-</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r w:rsidRPr="00B6143C">
              <w:rPr>
                <w:rFonts w:ascii="Times New Roman" w:hAnsi="Times New Roman"/>
                <w:b/>
              </w:rPr>
              <w:t>450 000,-</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r w:rsidRPr="00B6143C">
              <w:rPr>
                <w:rFonts w:ascii="Times New Roman" w:hAnsi="Times New Roman"/>
                <w:b/>
              </w:rPr>
              <w:t>450 000,-</w:t>
            </w:r>
          </w:p>
        </w:tc>
      </w:tr>
      <w:tr>
        <w:tblPrEx>
          <w:tblW w:w="9250" w:type="dxa"/>
          <w:tblLayout w:type="fixed"/>
          <w:tblCellMar>
            <w:left w:w="0" w:type="dxa"/>
            <w:right w:w="0" w:type="dxa"/>
          </w:tblCellMar>
          <w:tblLook w:val="00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rPr>
                <w:rFonts w:ascii="Times New Roman" w:hAnsi="Times New Roman"/>
              </w:rPr>
            </w:pPr>
            <w:r w:rsidRPr="00B6143C">
              <w:rPr>
                <w:rFonts w:ascii="Times New Roman" w:hAnsi="Times New Roman"/>
                <w:b/>
                <w:bCs/>
                <w:i/>
                <w:iCs/>
              </w:rPr>
              <w:t xml:space="preserve">z toho: </w:t>
            </w:r>
          </w:p>
        </w:tc>
        <w:tc>
          <w:tcPr>
            <w:tcW w:w="11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p>
        </w:tc>
      </w:tr>
      <w:tr>
        <w:tblPrEx>
          <w:tblW w:w="9250" w:type="dxa"/>
          <w:tblLayout w:type="fixed"/>
          <w:tblCellMar>
            <w:left w:w="0" w:type="dxa"/>
            <w:right w:w="0" w:type="dxa"/>
          </w:tblCellMar>
          <w:tblLook w:val="00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rPr>
                <w:rFonts w:ascii="Times New Roman" w:hAnsi="Times New Roman"/>
              </w:rPr>
            </w:pPr>
            <w:r w:rsidRPr="00B6143C">
              <w:rPr>
                <w:rFonts w:ascii="Times New Roman" w:hAnsi="Times New Roman"/>
                <w:b/>
                <w:bCs/>
                <w:i/>
                <w:iCs/>
              </w:rPr>
              <w:t>- vplyv na ŠR</w:t>
            </w:r>
          </w:p>
        </w:tc>
        <w:tc>
          <w:tcPr>
            <w:tcW w:w="11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b/>
              </w:rPr>
            </w:pPr>
            <w:r w:rsidRPr="00B6143C">
              <w:rPr>
                <w:rFonts w:ascii="Times New Roman" w:hAnsi="Times New Roman"/>
                <w:b/>
              </w:rPr>
              <w:t>450 000,-</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b/>
              </w:rPr>
            </w:pPr>
            <w:r w:rsidRPr="00B6143C">
              <w:rPr>
                <w:rFonts w:ascii="Times New Roman" w:hAnsi="Times New Roman"/>
                <w:b/>
              </w:rPr>
              <w:t>450 000,-</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rPr>
                <w:rFonts w:ascii="Times New Roman" w:hAnsi="Times New Roman"/>
                <w:b/>
              </w:rPr>
            </w:pPr>
            <w:r w:rsidRPr="00B6143C">
              <w:rPr>
                <w:rFonts w:ascii="Times New Roman" w:hAnsi="Times New Roman"/>
                <w:b/>
              </w:rPr>
              <w:t>450 000,</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rPr>
                <w:rFonts w:ascii="Times New Roman" w:hAnsi="Times New Roman"/>
              </w:rPr>
            </w:pPr>
            <w:r w:rsidRPr="00B6143C">
              <w:rPr>
                <w:rFonts w:ascii="Times New Roman" w:hAnsi="Times New Roman"/>
                <w:b/>
              </w:rPr>
              <w:t>450 000,-</w:t>
            </w:r>
          </w:p>
        </w:tc>
      </w:tr>
      <w:tr>
        <w:tblPrEx>
          <w:tblW w:w="9250" w:type="dxa"/>
          <w:tblLayout w:type="fixed"/>
          <w:tblCellMar>
            <w:left w:w="0" w:type="dxa"/>
            <w:right w:w="0" w:type="dxa"/>
          </w:tblCellMar>
          <w:tblLook w:val="00A0"/>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25" w:lineRule="atLeast"/>
              <w:rPr>
                <w:rFonts w:ascii="Times New Roman" w:hAnsi="Times New Roman"/>
              </w:rPr>
            </w:pPr>
            <w:r w:rsidRPr="00B6143C">
              <w:rPr>
                <w:rFonts w:ascii="Times New Roman" w:hAnsi="Times New Roman"/>
                <w:b/>
                <w:bCs/>
                <w:i/>
                <w:iCs/>
              </w:rPr>
              <w:t>- vplyv na územnú samosprávu</w:t>
            </w:r>
          </w:p>
        </w:tc>
        <w:tc>
          <w:tcPr>
            <w:tcW w:w="11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25" w:lineRule="atLeast"/>
              <w:jc w:val="right"/>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25" w:lineRule="atLeast"/>
              <w:jc w:val="right"/>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25" w:lineRule="atLeast"/>
              <w:jc w:val="right"/>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25" w:lineRule="atLeast"/>
              <w:jc w:val="right"/>
              <w:rPr>
                <w:rFonts w:ascii="Times New Roman" w:hAnsi="Times New Roman"/>
              </w:rPr>
            </w:pPr>
          </w:p>
        </w:tc>
      </w:tr>
      <w:tr>
        <w:tblPrEx>
          <w:tblW w:w="9250" w:type="dxa"/>
          <w:tblLayout w:type="fixed"/>
          <w:tblCellMar>
            <w:left w:w="0" w:type="dxa"/>
            <w:right w:w="0" w:type="dxa"/>
          </w:tblCellMar>
          <w:tblLook w:val="00A0"/>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7427D" w:rsidRPr="00B6143C" w:rsidP="0067427D">
            <w:pPr>
              <w:bidi w:val="0"/>
              <w:spacing w:line="70" w:lineRule="atLeast"/>
              <w:rPr>
                <w:rFonts w:ascii="Times New Roman" w:hAnsi="Times New Roman"/>
              </w:rPr>
            </w:pPr>
            <w:r w:rsidRPr="00B6143C">
              <w:rPr>
                <w:rFonts w:ascii="Times New Roman" w:hAnsi="Times New Roman"/>
                <w:b/>
                <w:bCs/>
              </w:rPr>
              <w:t xml:space="preserve">Celková zamestnanosť </w:t>
            </w:r>
          </w:p>
        </w:tc>
        <w:tc>
          <w:tcPr>
            <w:tcW w:w="116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p>
        </w:tc>
      </w:tr>
      <w:tr>
        <w:tblPrEx>
          <w:tblW w:w="9250" w:type="dxa"/>
          <w:tblLayout w:type="fixed"/>
          <w:tblCellMar>
            <w:left w:w="0" w:type="dxa"/>
            <w:right w:w="0" w:type="dxa"/>
          </w:tblCellMar>
          <w:tblLook w:val="00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rPr>
                <w:rFonts w:ascii="Times New Roman" w:hAnsi="Times New Roman"/>
              </w:rPr>
            </w:pPr>
            <w:r w:rsidRPr="00B6143C">
              <w:rPr>
                <w:rFonts w:ascii="Times New Roman" w:hAnsi="Times New Roman"/>
                <w:b/>
                <w:bCs/>
                <w:i/>
                <w:iCs/>
              </w:rPr>
              <w:t>- z toho vplyv na ŠR</w:t>
            </w:r>
            <w:r w:rsidRPr="00B6143C">
              <w:rPr>
                <w:rFonts w:ascii="Times New Roman" w:hAnsi="Times New Roman"/>
              </w:rPr>
              <w:t xml:space="preserve"> </w:t>
            </w:r>
          </w:p>
        </w:tc>
        <w:tc>
          <w:tcPr>
            <w:tcW w:w="11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p>
        </w:tc>
      </w:tr>
      <w:tr>
        <w:tblPrEx>
          <w:tblW w:w="9250" w:type="dxa"/>
          <w:tblLayout w:type="fixed"/>
          <w:tblCellMar>
            <w:left w:w="0" w:type="dxa"/>
            <w:right w:w="0" w:type="dxa"/>
          </w:tblCellMar>
          <w:tblLook w:val="00A0"/>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7427D" w:rsidRPr="00B6143C" w:rsidP="0067427D">
            <w:pPr>
              <w:bidi w:val="0"/>
              <w:spacing w:line="70" w:lineRule="atLeast"/>
              <w:rPr>
                <w:rFonts w:ascii="Times New Roman" w:hAnsi="Times New Roman"/>
              </w:rPr>
            </w:pPr>
            <w:r w:rsidRPr="00B6143C">
              <w:rPr>
                <w:rFonts w:ascii="Times New Roman" w:hAnsi="Times New Roman"/>
                <w:b/>
                <w:bCs/>
              </w:rPr>
              <w:t>Financovanie zabezpečené v rozpočte</w:t>
            </w:r>
          </w:p>
        </w:tc>
        <w:tc>
          <w:tcPr>
            <w:tcW w:w="116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r w:rsidRPr="00B6143C">
              <w:rPr>
                <w:rFonts w:ascii="Times New Roman" w:hAnsi="Times New Roman"/>
                <w:b/>
              </w:rPr>
              <w:t>450 000,-</w:t>
            </w: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r w:rsidRPr="00B6143C">
              <w:rPr>
                <w:rFonts w:ascii="Times New Roman" w:hAnsi="Times New Roman"/>
                <w:b/>
              </w:rPr>
              <w:t>450 000,-</w:t>
            </w:r>
          </w:p>
        </w:tc>
        <w:tc>
          <w:tcPr>
            <w:tcW w:w="108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r w:rsidRPr="00B6143C">
              <w:rPr>
                <w:rFonts w:ascii="Times New Roman" w:hAnsi="Times New Roman"/>
                <w:b/>
              </w:rPr>
              <w:t>450 000,-</w:t>
            </w:r>
          </w:p>
        </w:tc>
        <w:tc>
          <w:tcPr>
            <w:tcW w:w="108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r w:rsidRPr="00B6143C">
              <w:rPr>
                <w:rFonts w:ascii="Times New Roman" w:hAnsi="Times New Roman"/>
                <w:b/>
              </w:rPr>
              <w:t>450 000,-</w:t>
            </w:r>
          </w:p>
        </w:tc>
      </w:tr>
      <w:tr>
        <w:tblPrEx>
          <w:tblW w:w="9250" w:type="dxa"/>
          <w:tblLayout w:type="fixed"/>
          <w:tblCellMar>
            <w:left w:w="0" w:type="dxa"/>
            <w:right w:w="0" w:type="dxa"/>
          </w:tblCellMar>
          <w:tblLook w:val="00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rPr>
                <w:rFonts w:ascii="Times New Roman" w:hAnsi="Times New Roman"/>
              </w:rPr>
            </w:pPr>
            <w:r w:rsidRPr="00B6143C">
              <w:rPr>
                <w:rFonts w:ascii="Times New Roman" w:hAnsi="Times New Roman"/>
              </w:rPr>
              <w:t xml:space="preserve">v tom: Ministerstvo obrany SR </w:t>
            </w:r>
          </w:p>
        </w:tc>
        <w:tc>
          <w:tcPr>
            <w:tcW w:w="11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right"/>
              <w:rPr>
                <w:rFonts w:ascii="Times New Roman" w:hAnsi="Times New Roman"/>
                <w:b/>
              </w:rPr>
            </w:pPr>
            <w:r w:rsidRPr="00B6143C">
              <w:rPr>
                <w:rFonts w:ascii="Times New Roman" w:hAnsi="Times New Roman"/>
                <w:b/>
              </w:rPr>
              <w:t>450 000,-</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right"/>
              <w:rPr>
                <w:rFonts w:ascii="Times New Roman" w:hAnsi="Times New Roman"/>
              </w:rPr>
            </w:pPr>
            <w:r w:rsidRPr="00B6143C">
              <w:rPr>
                <w:rFonts w:ascii="Times New Roman" w:hAnsi="Times New Roman"/>
                <w:b/>
              </w:rPr>
              <w:t>450 000,-</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right"/>
              <w:rPr>
                <w:rFonts w:ascii="Times New Roman" w:hAnsi="Times New Roman"/>
                <w:b/>
              </w:rPr>
            </w:pPr>
            <w:r w:rsidRPr="00B6143C">
              <w:rPr>
                <w:rFonts w:ascii="Times New Roman" w:hAnsi="Times New Roman"/>
                <w:b/>
              </w:rPr>
              <w:t>450 000,-</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rPr>
                <w:rFonts w:ascii="Times New Roman" w:hAnsi="Times New Roman"/>
              </w:rPr>
            </w:pPr>
            <w:r w:rsidRPr="00B6143C">
              <w:rPr>
                <w:rFonts w:ascii="Times New Roman" w:hAnsi="Times New Roman"/>
                <w:b/>
              </w:rPr>
              <w:t>450 000,-</w:t>
            </w:r>
          </w:p>
        </w:tc>
      </w:tr>
      <w:tr>
        <w:tblPrEx>
          <w:tblW w:w="9250" w:type="dxa"/>
          <w:tblLayout w:type="fixed"/>
          <w:tblCellMar>
            <w:left w:w="0" w:type="dxa"/>
            <w:right w:w="0" w:type="dxa"/>
          </w:tblCellMar>
          <w:tblLook w:val="00A0"/>
        </w:tblPrEx>
        <w:tc>
          <w:tcPr>
            <w:tcW w:w="4661" w:type="dxa"/>
            <w:tcBorders>
              <w:top w:val="nil"/>
              <w:left w:val="nil"/>
              <w:bottom w:val="nil"/>
              <w:right w:val="nil"/>
            </w:tcBorders>
            <w:textDirection w:val="lrTb"/>
            <w:vAlign w:val="center"/>
          </w:tcPr>
          <w:p w:rsidR="0067427D" w:rsidRPr="00B6143C" w:rsidP="0067427D">
            <w:pPr>
              <w:bidi w:val="0"/>
              <w:rPr>
                <w:rFonts w:ascii="Times New Roman" w:hAnsi="Times New Roman"/>
                <w:sz w:val="2"/>
              </w:rPr>
            </w:pPr>
          </w:p>
        </w:tc>
        <w:tc>
          <w:tcPr>
            <w:tcW w:w="1169" w:type="dxa"/>
            <w:tcBorders>
              <w:top w:val="nil"/>
              <w:left w:val="nil"/>
              <w:bottom w:val="nil"/>
              <w:right w:val="nil"/>
            </w:tcBorders>
            <w:textDirection w:val="lrTb"/>
            <w:vAlign w:val="center"/>
          </w:tcPr>
          <w:p w:rsidR="0067427D" w:rsidRPr="00B6143C" w:rsidP="0067427D">
            <w:pPr>
              <w:bidi w:val="0"/>
              <w:rPr>
                <w:rFonts w:ascii="Times New Roman" w:hAnsi="Times New Roman"/>
                <w:sz w:val="2"/>
              </w:rPr>
            </w:pPr>
          </w:p>
        </w:tc>
        <w:tc>
          <w:tcPr>
            <w:tcW w:w="1260" w:type="dxa"/>
            <w:tcBorders>
              <w:top w:val="nil"/>
              <w:left w:val="nil"/>
              <w:bottom w:val="nil"/>
              <w:right w:val="nil"/>
            </w:tcBorders>
            <w:textDirection w:val="lrTb"/>
            <w:vAlign w:val="center"/>
          </w:tcPr>
          <w:p w:rsidR="0067427D" w:rsidRPr="00B6143C" w:rsidP="0067427D">
            <w:pPr>
              <w:bidi w:val="0"/>
              <w:rPr>
                <w:rFonts w:ascii="Times New Roman" w:hAnsi="Times New Roman"/>
                <w:sz w:val="2"/>
              </w:rPr>
            </w:pPr>
          </w:p>
        </w:tc>
        <w:tc>
          <w:tcPr>
            <w:tcW w:w="1080" w:type="dxa"/>
            <w:tcBorders>
              <w:top w:val="nil"/>
              <w:left w:val="nil"/>
              <w:bottom w:val="nil"/>
              <w:right w:val="nil"/>
            </w:tcBorders>
            <w:textDirection w:val="lrTb"/>
            <w:vAlign w:val="center"/>
          </w:tcPr>
          <w:p w:rsidR="0067427D" w:rsidRPr="00B6143C" w:rsidP="0067427D">
            <w:pPr>
              <w:bidi w:val="0"/>
              <w:rPr>
                <w:rFonts w:ascii="Times New Roman" w:hAnsi="Times New Roman"/>
                <w:sz w:val="2"/>
              </w:rPr>
            </w:pPr>
          </w:p>
        </w:tc>
        <w:tc>
          <w:tcPr>
            <w:tcW w:w="1080" w:type="dxa"/>
            <w:tcBorders>
              <w:top w:val="nil"/>
              <w:left w:val="nil"/>
              <w:bottom w:val="nil"/>
              <w:right w:val="nil"/>
            </w:tcBorders>
            <w:textDirection w:val="lrTb"/>
            <w:vAlign w:val="center"/>
          </w:tcPr>
          <w:p w:rsidR="0067427D" w:rsidRPr="00B6143C" w:rsidP="0067427D">
            <w:pPr>
              <w:bidi w:val="0"/>
              <w:rPr>
                <w:rFonts w:ascii="Times New Roman" w:hAnsi="Times New Roman"/>
                <w:sz w:val="2"/>
              </w:rPr>
            </w:pPr>
          </w:p>
        </w:tc>
      </w:tr>
    </w:tbl>
    <w:p w:rsidR="0067427D" w:rsidRPr="00B6143C" w:rsidP="0067427D">
      <w:pPr>
        <w:bidi w:val="0"/>
        <w:rPr>
          <w:rFonts w:ascii="Times New Roman" w:hAnsi="Times New Roman"/>
        </w:rPr>
      </w:pPr>
    </w:p>
    <w:p w:rsidR="0067427D" w:rsidRPr="00B6143C" w:rsidP="0067427D">
      <w:pPr>
        <w:bidi w:val="0"/>
        <w:rPr>
          <w:rFonts w:ascii="Times New Roman" w:hAnsi="Times New Roman"/>
        </w:rPr>
      </w:pPr>
      <w:r w:rsidRPr="00B6143C">
        <w:rPr>
          <w:rFonts w:ascii="Times New Roman" w:hAnsi="Times New Roman"/>
          <w:b/>
          <w:bCs/>
        </w:rPr>
        <w:t>2.2. Financovanie návrhu</w:t>
      </w:r>
    </w:p>
    <w:p w:rsidR="0067427D" w:rsidRPr="00B6143C" w:rsidP="0067427D">
      <w:pPr>
        <w:bidi w:val="0"/>
        <w:jc w:val="center"/>
        <w:rPr>
          <w:rFonts w:ascii="Times New Roman" w:hAnsi="Times New Roman"/>
        </w:rPr>
      </w:pPr>
      <w:r w:rsidRPr="00B6143C">
        <w:rPr>
          <w:rFonts w:ascii="Times New Roman" w:hAnsi="Times New Roman"/>
        </w:rPr>
        <w:tab/>
        <w:tab/>
        <w:tab/>
        <w:tab/>
        <w:tab/>
        <w:tab/>
        <w:tab/>
        <w:tab/>
        <w:t xml:space="preserve">                                Tabuľka č. 2</w:t>
      </w:r>
    </w:p>
    <w:tbl>
      <w:tblPr>
        <w:tblStyle w:val="TableNormal"/>
        <w:tblW w:w="9250" w:type="dxa"/>
        <w:tblCellMar>
          <w:left w:w="0" w:type="dxa"/>
          <w:right w:w="0" w:type="dxa"/>
        </w:tblCellMar>
        <w:tblLook w:val="00A0"/>
      </w:tblPr>
      <w:tblGrid>
        <w:gridCol w:w="4210"/>
        <w:gridCol w:w="1358"/>
        <w:gridCol w:w="1264"/>
        <w:gridCol w:w="1264"/>
        <w:gridCol w:w="1154"/>
      </w:tblGrid>
      <w:tr>
        <w:tblPrEx>
          <w:tblW w:w="9250" w:type="dxa"/>
          <w:tblCellMar>
            <w:left w:w="0" w:type="dxa"/>
            <w:right w:w="0" w:type="dxa"/>
          </w:tblCellMar>
          <w:tblLook w:val="00A0"/>
        </w:tblPrEx>
        <w:trPr>
          <w:trHeight w:val="70"/>
        </w:trPr>
        <w:tc>
          <w:tcPr>
            <w:tcW w:w="421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7427D" w:rsidRPr="00B6143C" w:rsidP="0067427D">
            <w:pPr>
              <w:bidi w:val="0"/>
              <w:spacing w:line="70" w:lineRule="atLeast"/>
              <w:jc w:val="center"/>
              <w:rPr>
                <w:rFonts w:ascii="Times New Roman" w:hAnsi="Times New Roman"/>
              </w:rPr>
            </w:pPr>
            <w:r w:rsidRPr="00B6143C">
              <w:rPr>
                <w:rFonts w:ascii="Times New Roman" w:hAnsi="Times New Roman"/>
                <w:b/>
                <w:bCs/>
                <w:color w:val="FFFFFF"/>
              </w:rPr>
              <w:t>Financovanie</w:t>
            </w:r>
          </w:p>
        </w:tc>
        <w:tc>
          <w:tcPr>
            <w:tcW w:w="5040"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7427D" w:rsidRPr="00B6143C" w:rsidP="0067427D">
            <w:pPr>
              <w:bidi w:val="0"/>
              <w:spacing w:line="70" w:lineRule="atLeast"/>
              <w:jc w:val="center"/>
              <w:rPr>
                <w:rFonts w:ascii="Times New Roman" w:hAnsi="Times New Roman"/>
              </w:rPr>
            </w:pPr>
            <w:r w:rsidRPr="00B6143C">
              <w:rPr>
                <w:rFonts w:ascii="Times New Roman" w:hAnsi="Times New Roman"/>
                <w:b/>
                <w:bCs/>
                <w:color w:val="FFFFFF"/>
              </w:rPr>
              <w:t xml:space="preserve">Vplyv na rozpočet verejnej správy </w:t>
            </w:r>
            <w:r w:rsidRPr="00B6143C">
              <w:rPr>
                <w:rFonts w:ascii="Times New Roman" w:hAnsi="Times New Roman"/>
                <w:b/>
                <w:bCs/>
              </w:rPr>
              <w:t>(v eurách)</w:t>
            </w:r>
          </w:p>
        </w:tc>
      </w:tr>
      <w:tr>
        <w:tblPrEx>
          <w:tblW w:w="9250" w:type="dxa"/>
          <w:tblCellMar>
            <w:left w:w="0" w:type="dxa"/>
            <w:right w:w="0" w:type="dxa"/>
          </w:tblCellMar>
          <w:tblLook w:val="00A0"/>
        </w:tblPrEx>
        <w:trPr>
          <w:trHeight w:val="70"/>
        </w:trPr>
        <w:tc>
          <w:tcPr>
            <w:tcW w:w="4210" w:type="dxa"/>
            <w:vMerge/>
            <w:tcBorders>
              <w:top w:val="single" w:sz="4" w:space="0" w:color="000000"/>
              <w:left w:val="single" w:sz="4" w:space="0" w:color="000000"/>
              <w:bottom w:val="single" w:sz="4" w:space="0" w:color="000000"/>
              <w:right w:val="single" w:sz="4" w:space="0" w:color="000000"/>
            </w:tcBorders>
            <w:textDirection w:val="lrTb"/>
            <w:vAlign w:val="center"/>
          </w:tcPr>
          <w:p w:rsidR="0067427D" w:rsidRPr="00B6143C" w:rsidP="0067427D">
            <w:pPr>
              <w:bidi w:val="0"/>
              <w:rPr>
                <w:rFonts w:ascii="Times New Roman" w:hAnsi="Times New Roman"/>
              </w:rPr>
            </w:pPr>
          </w:p>
        </w:tc>
        <w:tc>
          <w:tcPr>
            <w:tcW w:w="1358"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7427D" w:rsidRPr="00B6143C" w:rsidP="0067427D">
            <w:pPr>
              <w:bidi w:val="0"/>
              <w:spacing w:line="70" w:lineRule="atLeast"/>
              <w:jc w:val="center"/>
              <w:rPr>
                <w:rFonts w:ascii="Times New Roman" w:hAnsi="Times New Roman"/>
              </w:rPr>
            </w:pPr>
            <w:r w:rsidRPr="00B6143C">
              <w:rPr>
                <w:rFonts w:ascii="Times New Roman" w:hAnsi="Times New Roman"/>
                <w:b/>
                <w:bCs/>
                <w:color w:val="FFFFFF"/>
              </w:rPr>
              <w:t>2013</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7427D" w:rsidRPr="00B6143C" w:rsidP="0067427D">
            <w:pPr>
              <w:bidi w:val="0"/>
              <w:spacing w:line="70" w:lineRule="atLeast"/>
              <w:jc w:val="center"/>
              <w:rPr>
                <w:rFonts w:ascii="Times New Roman" w:hAnsi="Times New Roman"/>
              </w:rPr>
            </w:pPr>
            <w:r w:rsidRPr="00B6143C">
              <w:rPr>
                <w:rFonts w:ascii="Times New Roman" w:hAnsi="Times New Roman"/>
                <w:b/>
                <w:bCs/>
                <w:color w:val="FFFFFF"/>
              </w:rPr>
              <w:t>2014</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7427D" w:rsidRPr="00B6143C" w:rsidP="0067427D">
            <w:pPr>
              <w:bidi w:val="0"/>
              <w:spacing w:line="70" w:lineRule="atLeast"/>
              <w:jc w:val="center"/>
              <w:rPr>
                <w:rFonts w:ascii="Times New Roman" w:hAnsi="Times New Roman"/>
              </w:rPr>
            </w:pPr>
            <w:r w:rsidRPr="00B6143C">
              <w:rPr>
                <w:rFonts w:ascii="Times New Roman" w:hAnsi="Times New Roman"/>
                <w:b/>
                <w:bCs/>
                <w:color w:val="FFFFFF"/>
              </w:rPr>
              <w:t>2015</w:t>
            </w:r>
          </w:p>
        </w:tc>
        <w:tc>
          <w:tcPr>
            <w:tcW w:w="115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7427D" w:rsidRPr="00B6143C" w:rsidP="0067427D">
            <w:pPr>
              <w:bidi w:val="0"/>
              <w:spacing w:line="70" w:lineRule="atLeast"/>
              <w:jc w:val="center"/>
              <w:rPr>
                <w:rFonts w:ascii="Times New Roman" w:hAnsi="Times New Roman"/>
              </w:rPr>
            </w:pPr>
            <w:r w:rsidRPr="00B6143C">
              <w:rPr>
                <w:rFonts w:ascii="Times New Roman" w:hAnsi="Times New Roman"/>
                <w:b/>
                <w:bCs/>
                <w:color w:val="FFFFFF"/>
              </w:rPr>
              <w:t>2016</w:t>
            </w:r>
          </w:p>
        </w:tc>
      </w:tr>
      <w:tr>
        <w:tblPrEx>
          <w:tblW w:w="9250" w:type="dxa"/>
          <w:tblCellMar>
            <w:left w:w="0" w:type="dxa"/>
            <w:right w:w="0" w:type="dxa"/>
          </w:tblCellMar>
          <w:tblLook w:val="00A0"/>
        </w:tblPrEx>
        <w:trPr>
          <w:trHeight w:val="70"/>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rPr>
                <w:rFonts w:ascii="Times New Roman" w:hAnsi="Times New Roman"/>
              </w:rPr>
            </w:pPr>
            <w:r w:rsidRPr="00B6143C">
              <w:rPr>
                <w:rFonts w:ascii="Times New Roman" w:hAnsi="Times New Roman"/>
                <w:b/>
                <w:bCs/>
              </w:rPr>
              <w:t>Celkový vplyv na rozpočet verejnej správy ( - príjmy, + výdavky)</w:t>
            </w:r>
          </w:p>
        </w:tc>
        <w:tc>
          <w:tcPr>
            <w:tcW w:w="13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r w:rsidRPr="00B6143C">
              <w:rPr>
                <w:rFonts w:ascii="Times New Roman" w:hAnsi="Times New Roman"/>
                <w:b/>
              </w:rPr>
              <w:t>+ 450 000,-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r w:rsidRPr="00B6143C">
              <w:rPr>
                <w:rFonts w:ascii="Times New Roman" w:hAnsi="Times New Roman"/>
              </w:rPr>
              <w:t>+</w:t>
            </w:r>
            <w:r w:rsidRPr="00B6143C">
              <w:rPr>
                <w:rFonts w:ascii="Times New Roman" w:hAnsi="Times New Roman"/>
                <w:b/>
              </w:rPr>
              <w:t>450 000,-</w:t>
            </w:r>
            <w:r w:rsidRPr="00B6143C">
              <w:rPr>
                <w:rFonts w:ascii="Times New Roman" w:hAnsi="Times New Roman"/>
              </w:rPr>
              <w:t xml:space="preserve"> </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center"/>
              <w:rPr>
                <w:rFonts w:ascii="Times New Roman" w:hAnsi="Times New Roman"/>
              </w:rPr>
            </w:pPr>
            <w:r w:rsidRPr="00B6143C">
              <w:rPr>
                <w:rFonts w:ascii="Times New Roman" w:hAnsi="Times New Roman"/>
              </w:rPr>
              <w:t>+</w:t>
            </w:r>
            <w:r w:rsidRPr="00B6143C">
              <w:rPr>
                <w:rFonts w:ascii="Times New Roman" w:hAnsi="Times New Roman"/>
                <w:b/>
              </w:rPr>
              <w:t>450 000,-</w:t>
            </w:r>
            <w:r w:rsidRPr="00B6143C">
              <w:rPr>
                <w:rFonts w:ascii="Times New Roman" w:hAnsi="Times New Roman"/>
              </w:rPr>
              <w:t xml:space="preserve"> </w:t>
            </w:r>
          </w:p>
        </w:tc>
        <w:tc>
          <w:tcPr>
            <w:tcW w:w="11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rPr>
                <w:rFonts w:ascii="Times New Roman" w:hAnsi="Times New Roman"/>
              </w:rPr>
            </w:pPr>
            <w:r w:rsidRPr="00B6143C">
              <w:rPr>
                <w:rFonts w:ascii="Times New Roman" w:hAnsi="Times New Roman"/>
                <w:sz w:val="20"/>
                <w:szCs w:val="20"/>
              </w:rPr>
              <w:t>+</w:t>
            </w:r>
            <w:r w:rsidRPr="00B6143C">
              <w:rPr>
                <w:rFonts w:ascii="Times New Roman" w:hAnsi="Times New Roman"/>
                <w:b/>
              </w:rPr>
              <w:t>450000,-</w:t>
            </w:r>
            <w:r w:rsidRPr="00B6143C">
              <w:rPr>
                <w:rFonts w:ascii="Times New Roman" w:hAnsi="Times New Roman"/>
              </w:rPr>
              <w:t xml:space="preserve"> </w:t>
            </w:r>
          </w:p>
        </w:tc>
      </w:tr>
      <w:tr>
        <w:tblPrEx>
          <w:tblW w:w="9250" w:type="dxa"/>
          <w:tblCellMar>
            <w:left w:w="0" w:type="dxa"/>
            <w:right w:w="0" w:type="dxa"/>
          </w:tblCellMar>
          <w:tblLook w:val="00A0"/>
        </w:tblPrEx>
        <w:trPr>
          <w:trHeight w:val="70"/>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rPr>
                <w:rFonts w:ascii="Times New Roman" w:hAnsi="Times New Roman"/>
              </w:rPr>
            </w:pPr>
            <w:r w:rsidRPr="00B6143C">
              <w:rPr>
                <w:rFonts w:ascii="Times New Roman" w:hAnsi="Times New Roman"/>
              </w:rPr>
              <w:t>  z toho vplyv na ŠR</w:t>
            </w:r>
          </w:p>
        </w:tc>
        <w:tc>
          <w:tcPr>
            <w:tcW w:w="13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r w:rsidRPr="00B6143C">
              <w:rPr>
                <w:rFonts w:ascii="Times New Roman" w:hAnsi="Times New Roman"/>
                <w:b/>
              </w:rPr>
              <w:t>450 000,-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r w:rsidRPr="00B6143C">
              <w:rPr>
                <w:rFonts w:ascii="Times New Roman" w:hAnsi="Times New Roman"/>
                <w:b/>
              </w:rPr>
              <w:t>450 000,-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r w:rsidRPr="00B6143C">
              <w:rPr>
                <w:rFonts w:ascii="Times New Roman" w:hAnsi="Times New Roman"/>
                <w:b/>
              </w:rPr>
              <w:t>450 000,-</w:t>
            </w:r>
          </w:p>
        </w:tc>
        <w:tc>
          <w:tcPr>
            <w:tcW w:w="11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r w:rsidRPr="00B6143C">
              <w:rPr>
                <w:rFonts w:ascii="Times New Roman" w:hAnsi="Times New Roman"/>
                <w:b/>
              </w:rPr>
              <w:t>450 000,-</w:t>
            </w:r>
          </w:p>
        </w:tc>
      </w:tr>
      <w:tr>
        <w:tblPrEx>
          <w:tblW w:w="9250" w:type="dxa"/>
          <w:tblCellMar>
            <w:left w:w="0" w:type="dxa"/>
            <w:right w:w="0" w:type="dxa"/>
          </w:tblCellMar>
          <w:tblLook w:val="00A0"/>
        </w:tblPrEx>
        <w:trPr>
          <w:trHeight w:val="151"/>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51" w:lineRule="atLeast"/>
              <w:rPr>
                <w:rFonts w:ascii="Times New Roman" w:hAnsi="Times New Roman"/>
              </w:rPr>
            </w:pPr>
            <w:r w:rsidRPr="00B6143C">
              <w:rPr>
                <w:rFonts w:ascii="Times New Roman" w:hAnsi="Times New Roman"/>
              </w:rPr>
              <w:t xml:space="preserve">financovanie zabezpečené v rozpočte </w:t>
            </w:r>
          </w:p>
        </w:tc>
        <w:tc>
          <w:tcPr>
            <w:tcW w:w="13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right"/>
              <w:rPr>
                <w:rFonts w:ascii="Times New Roman" w:hAnsi="Times New Roman"/>
                <w:b/>
              </w:rPr>
            </w:pPr>
            <w:r w:rsidRPr="00B6143C">
              <w:rPr>
                <w:rFonts w:ascii="Times New Roman" w:hAnsi="Times New Roman"/>
                <w:b/>
              </w:rPr>
              <w:t>450 000,-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right"/>
              <w:rPr>
                <w:rFonts w:ascii="Times New Roman" w:hAnsi="Times New Roman"/>
                <w:b/>
              </w:rPr>
            </w:pPr>
            <w:r w:rsidRPr="00B6143C">
              <w:rPr>
                <w:rFonts w:ascii="Times New Roman" w:hAnsi="Times New Roman"/>
                <w:b/>
              </w:rPr>
              <w:t>450 000,-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right"/>
              <w:rPr>
                <w:rFonts w:ascii="Times New Roman" w:hAnsi="Times New Roman"/>
                <w:b/>
              </w:rPr>
            </w:pPr>
            <w:r w:rsidRPr="00B6143C">
              <w:rPr>
                <w:rFonts w:ascii="Times New Roman" w:hAnsi="Times New Roman"/>
                <w:b/>
              </w:rPr>
              <w:t>450 000,-</w:t>
            </w:r>
          </w:p>
        </w:tc>
        <w:tc>
          <w:tcPr>
            <w:tcW w:w="11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right"/>
              <w:rPr>
                <w:rFonts w:ascii="Times New Roman" w:hAnsi="Times New Roman"/>
              </w:rPr>
            </w:pPr>
            <w:r w:rsidRPr="00B6143C">
              <w:rPr>
                <w:rFonts w:ascii="Times New Roman" w:hAnsi="Times New Roman"/>
                <w:b/>
              </w:rPr>
              <w:t>450 000,-</w:t>
            </w:r>
          </w:p>
        </w:tc>
      </w:tr>
      <w:tr>
        <w:tblPrEx>
          <w:tblW w:w="9250" w:type="dxa"/>
          <w:tblCellMar>
            <w:left w:w="0" w:type="dxa"/>
            <w:right w:w="0" w:type="dxa"/>
          </w:tblCellMar>
          <w:tblLook w:val="00A0"/>
        </w:tblPrEx>
        <w:trPr>
          <w:trHeight w:val="135"/>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35" w:lineRule="atLeast"/>
              <w:rPr>
                <w:rFonts w:ascii="Times New Roman" w:hAnsi="Times New Roman"/>
              </w:rPr>
            </w:pPr>
            <w:r w:rsidRPr="00B6143C">
              <w:rPr>
                <w:rFonts w:ascii="Times New Roman" w:hAnsi="Times New Roman"/>
              </w:rPr>
              <w:t>ostatné zdroje financovania</w:t>
            </w:r>
          </w:p>
        </w:tc>
        <w:tc>
          <w:tcPr>
            <w:tcW w:w="13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35" w:lineRule="atLeast"/>
              <w:jc w:val="right"/>
              <w:rPr>
                <w:rFonts w:ascii="Times New Roman" w:hAnsi="Times New Roman"/>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35" w:lineRule="atLeast"/>
              <w:jc w:val="right"/>
              <w:rPr>
                <w:rFonts w:ascii="Times New Roman" w:hAnsi="Times New Roman"/>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35" w:lineRule="atLeast"/>
              <w:jc w:val="right"/>
              <w:rPr>
                <w:rFonts w:ascii="Times New Roman" w:hAnsi="Times New Roman"/>
              </w:rPr>
            </w:pPr>
          </w:p>
        </w:tc>
        <w:tc>
          <w:tcPr>
            <w:tcW w:w="11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135" w:lineRule="atLeast"/>
              <w:jc w:val="right"/>
              <w:rPr>
                <w:rFonts w:ascii="Times New Roman" w:hAnsi="Times New Roman"/>
              </w:rPr>
            </w:pPr>
          </w:p>
        </w:tc>
      </w:tr>
      <w:tr>
        <w:tblPrEx>
          <w:tblW w:w="9250" w:type="dxa"/>
          <w:tblCellMar>
            <w:left w:w="0" w:type="dxa"/>
            <w:right w:w="0" w:type="dxa"/>
          </w:tblCellMar>
          <w:tblLook w:val="00A0"/>
        </w:tblPrEx>
        <w:trPr>
          <w:trHeight w:val="70"/>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rPr>
                <w:rFonts w:ascii="Times New Roman" w:hAnsi="Times New Roman"/>
              </w:rPr>
            </w:pPr>
            <w:r w:rsidRPr="00B6143C">
              <w:rPr>
                <w:rFonts w:ascii="Times New Roman" w:hAnsi="Times New Roman"/>
                <w:b/>
                <w:bCs/>
              </w:rPr>
              <w:t>Rozpočtovo nekrytý vplyv / úspora</w:t>
            </w:r>
          </w:p>
        </w:tc>
        <w:tc>
          <w:tcPr>
            <w:tcW w:w="13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p>
        </w:tc>
        <w:tc>
          <w:tcPr>
            <w:tcW w:w="11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p>
        </w:tc>
      </w:tr>
      <w:tr>
        <w:tblPrEx>
          <w:tblW w:w="9250" w:type="dxa"/>
          <w:tblCellMar>
            <w:left w:w="0" w:type="dxa"/>
            <w:right w:w="0" w:type="dxa"/>
          </w:tblCellMar>
          <w:tblLook w:val="00A0"/>
        </w:tblPrEx>
        <w:tc>
          <w:tcPr>
            <w:tcW w:w="4210" w:type="dxa"/>
            <w:tcBorders>
              <w:top w:val="nil"/>
              <w:left w:val="nil"/>
              <w:bottom w:val="nil"/>
              <w:right w:val="nil"/>
            </w:tcBorders>
            <w:textDirection w:val="lrTb"/>
            <w:vAlign w:val="center"/>
          </w:tcPr>
          <w:p w:rsidR="0067427D" w:rsidRPr="00B6143C" w:rsidP="0067427D">
            <w:pPr>
              <w:bidi w:val="0"/>
              <w:rPr>
                <w:rFonts w:ascii="Times New Roman" w:hAnsi="Times New Roman"/>
                <w:sz w:val="2"/>
              </w:rPr>
            </w:pPr>
          </w:p>
        </w:tc>
        <w:tc>
          <w:tcPr>
            <w:tcW w:w="1358" w:type="dxa"/>
            <w:tcBorders>
              <w:top w:val="nil"/>
              <w:left w:val="nil"/>
              <w:bottom w:val="nil"/>
              <w:right w:val="nil"/>
            </w:tcBorders>
            <w:textDirection w:val="lrTb"/>
            <w:vAlign w:val="center"/>
          </w:tcPr>
          <w:p w:rsidR="0067427D" w:rsidRPr="00B6143C" w:rsidP="0067427D">
            <w:pPr>
              <w:bidi w:val="0"/>
              <w:rPr>
                <w:rFonts w:ascii="Times New Roman" w:hAnsi="Times New Roman"/>
                <w:sz w:val="2"/>
              </w:rPr>
            </w:pPr>
          </w:p>
        </w:tc>
        <w:tc>
          <w:tcPr>
            <w:tcW w:w="1264" w:type="dxa"/>
            <w:tcBorders>
              <w:top w:val="nil"/>
              <w:left w:val="nil"/>
              <w:bottom w:val="nil"/>
              <w:right w:val="nil"/>
            </w:tcBorders>
            <w:textDirection w:val="lrTb"/>
            <w:vAlign w:val="center"/>
          </w:tcPr>
          <w:p w:rsidR="0067427D" w:rsidRPr="00B6143C" w:rsidP="0067427D">
            <w:pPr>
              <w:bidi w:val="0"/>
              <w:rPr>
                <w:rFonts w:ascii="Times New Roman" w:hAnsi="Times New Roman"/>
                <w:sz w:val="2"/>
              </w:rPr>
            </w:pPr>
          </w:p>
        </w:tc>
        <w:tc>
          <w:tcPr>
            <w:tcW w:w="1264" w:type="dxa"/>
            <w:tcBorders>
              <w:top w:val="nil"/>
              <w:left w:val="nil"/>
              <w:bottom w:val="nil"/>
              <w:right w:val="nil"/>
            </w:tcBorders>
            <w:textDirection w:val="lrTb"/>
            <w:vAlign w:val="center"/>
          </w:tcPr>
          <w:p w:rsidR="0067427D" w:rsidRPr="00B6143C" w:rsidP="0067427D">
            <w:pPr>
              <w:bidi w:val="0"/>
              <w:rPr>
                <w:rFonts w:ascii="Times New Roman" w:hAnsi="Times New Roman"/>
                <w:sz w:val="2"/>
              </w:rPr>
            </w:pPr>
          </w:p>
        </w:tc>
        <w:tc>
          <w:tcPr>
            <w:tcW w:w="1154" w:type="dxa"/>
            <w:tcBorders>
              <w:top w:val="nil"/>
              <w:left w:val="nil"/>
              <w:bottom w:val="nil"/>
              <w:right w:val="nil"/>
            </w:tcBorders>
            <w:textDirection w:val="lrTb"/>
            <w:vAlign w:val="center"/>
          </w:tcPr>
          <w:p w:rsidR="0067427D" w:rsidRPr="00B6143C" w:rsidP="0067427D">
            <w:pPr>
              <w:bidi w:val="0"/>
              <w:rPr>
                <w:rFonts w:ascii="Times New Roman" w:hAnsi="Times New Roman"/>
                <w:sz w:val="2"/>
              </w:rPr>
            </w:pPr>
          </w:p>
        </w:tc>
      </w:tr>
    </w:tbl>
    <w:p w:rsidR="0067427D" w:rsidRPr="00B6143C" w:rsidP="0067427D">
      <w:pPr>
        <w:bidi w:val="0"/>
        <w:rPr>
          <w:rFonts w:ascii="Times New Roman" w:hAnsi="Times New Roman"/>
        </w:rPr>
      </w:pPr>
    </w:p>
    <w:p w:rsidR="0067427D" w:rsidRPr="00B6143C" w:rsidP="0067427D">
      <w:pPr>
        <w:bidi w:val="0"/>
        <w:rPr>
          <w:rFonts w:ascii="Times New Roman" w:hAnsi="Times New Roman"/>
          <w:b/>
          <w:bCs/>
        </w:rPr>
      </w:pPr>
      <w:r w:rsidRPr="00B6143C">
        <w:rPr>
          <w:rFonts w:ascii="Times New Roman" w:hAnsi="Times New Roman"/>
          <w:b/>
          <w:bCs/>
        </w:rPr>
        <w:t xml:space="preserve">Návrh na riešenie úbytku príjmov alebo zvýšených výdavkov podľa § 33  ods.  1  zákona č. 523/2004 Z. z. o rozpočtových pravidlách verejnej správy: </w:t>
      </w:r>
    </w:p>
    <w:p w:rsidR="0067427D" w:rsidRPr="00B6143C" w:rsidP="0067427D">
      <w:pPr>
        <w:bidi w:val="0"/>
        <w:rPr>
          <w:rFonts w:ascii="Times New Roman" w:hAnsi="Times New Roman"/>
        </w:rPr>
      </w:pPr>
    </w:p>
    <w:p w:rsidR="0067427D" w:rsidRPr="00B6143C" w:rsidP="0067427D">
      <w:pPr>
        <w:pBdr>
          <w:top w:val="single" w:sz="4" w:space="1" w:color="000000"/>
          <w:left w:val="single" w:sz="4" w:space="4" w:color="000000"/>
          <w:bottom w:val="single" w:sz="4" w:space="1" w:color="000000"/>
          <w:right w:val="single" w:sz="4" w:space="4" w:color="000000"/>
        </w:pBdr>
        <w:bidi w:val="0"/>
        <w:ind w:firstLine="851"/>
        <w:jc w:val="both"/>
        <w:rPr>
          <w:rFonts w:ascii="Times New Roman" w:hAnsi="Times New Roman"/>
          <w:b/>
          <w:bCs/>
        </w:rPr>
      </w:pPr>
      <w:r w:rsidRPr="00B6143C">
        <w:rPr>
          <w:rFonts w:ascii="Times New Roman" w:hAnsi="Times New Roman"/>
        </w:rPr>
        <w:t>Návrhom zákona sa umožňuje poskytnúť dotáciu Vojenským lesom a majetkom SR – štátny podnik na úhradu zvýšených nákladov na hospodárenie v lesoch z dôvodu výcviku ozbrojených síl Slovenskej republiky vo vojenskom obvode alebo na územiach slúžiacich na zabezpečenie úloh obrany štátu. Takto poskytnutá dotácia bude rozpočtovo vykrytá z celkového schváleného objemu výdavkov rozpočtovej kapitoly Ministerstva obrany Slovenskej republiky, a to presunom rozpočtových prostriedkov v rámci bežných výdavkov platnej rozpočtovej klasifikácie.</w:t>
      </w:r>
      <w:r w:rsidRPr="00B6143C">
        <w:rPr>
          <w:rFonts w:ascii="Times New Roman" w:hAnsi="Times New Roman"/>
          <w:b/>
          <w:bCs/>
        </w:rPr>
        <w:t> </w:t>
      </w:r>
    </w:p>
    <w:p w:rsidR="0067427D" w:rsidRPr="00B6143C" w:rsidP="0067427D">
      <w:pPr>
        <w:bidi w:val="0"/>
        <w:rPr>
          <w:rFonts w:ascii="Times New Roman" w:hAnsi="Times New Roman"/>
          <w:b/>
        </w:rPr>
      </w:pPr>
      <w:r w:rsidRPr="00B6143C">
        <w:rPr>
          <w:rFonts w:ascii="Times New Roman" w:hAnsi="Times New Roman"/>
          <w:b/>
        </w:rPr>
        <w:t xml:space="preserve">2.3. Popis a charakteristika návrhu </w:t>
      </w:r>
    </w:p>
    <w:p w:rsidR="0067427D" w:rsidRPr="00B6143C" w:rsidP="0067427D">
      <w:pPr>
        <w:bidi w:val="0"/>
        <w:rPr>
          <w:rFonts w:ascii="Times New Roman" w:hAnsi="Times New Roman"/>
          <w:b/>
        </w:rPr>
      </w:pPr>
    </w:p>
    <w:p w:rsidR="0067427D" w:rsidRPr="00B6143C" w:rsidP="0067427D">
      <w:pPr>
        <w:bidi w:val="0"/>
        <w:rPr>
          <w:rFonts w:ascii="Times New Roman" w:hAnsi="Times New Roman"/>
          <w:b/>
        </w:rPr>
      </w:pPr>
      <w:r w:rsidRPr="00B6143C">
        <w:rPr>
          <w:rFonts w:ascii="Times New Roman" w:hAnsi="Times New Roman"/>
          <w:b/>
        </w:rPr>
        <w:t>2.3.1. Popis návrhu</w:t>
      </w:r>
    </w:p>
    <w:p w:rsidR="0067427D" w:rsidRPr="00B6143C" w:rsidP="0067427D">
      <w:pPr>
        <w:bidi w:val="0"/>
        <w:ind w:firstLine="851"/>
        <w:jc w:val="both"/>
        <w:rPr>
          <w:rFonts w:ascii="Times New Roman" w:hAnsi="Times New Roman"/>
          <w:iCs/>
        </w:rPr>
      </w:pPr>
      <w:r w:rsidRPr="00B6143C">
        <w:rPr>
          <w:rFonts w:ascii="Times New Roman" w:hAnsi="Times New Roman"/>
          <w:iCs/>
        </w:rPr>
        <w:t>Navrhovanou právnou úpravou sa rozširujú dotačné tituly pre Vojenské lesy a majetky SR – štátny podnik.</w:t>
      </w:r>
    </w:p>
    <w:p w:rsidR="0067427D" w:rsidP="0067427D">
      <w:pPr>
        <w:bidi w:val="0"/>
        <w:rPr>
          <w:rFonts w:ascii="Times New Roman" w:hAnsi="Times New Roman"/>
          <w:b/>
          <w:bCs/>
        </w:rPr>
      </w:pPr>
    </w:p>
    <w:p w:rsidR="0067427D" w:rsidRPr="00B6143C" w:rsidP="0067427D">
      <w:pPr>
        <w:bidi w:val="0"/>
        <w:rPr>
          <w:rFonts w:ascii="Times New Roman" w:hAnsi="Times New Roman"/>
        </w:rPr>
      </w:pPr>
      <w:r w:rsidRPr="00B6143C">
        <w:rPr>
          <w:rFonts w:ascii="Times New Roman" w:hAnsi="Times New Roman"/>
          <w:b/>
          <w:bCs/>
        </w:rPr>
        <w:t>2.3.2. Charakteristika návrhu:</w:t>
      </w:r>
    </w:p>
    <w:p w:rsidR="0067427D" w:rsidRPr="00B6143C" w:rsidP="0067427D">
      <w:pPr>
        <w:bidi w:val="0"/>
        <w:rPr>
          <w:rFonts w:ascii="Times New Roman" w:hAnsi="Times New Roman"/>
        </w:rPr>
      </w:pPr>
      <w:r w:rsidRPr="00B6143C">
        <w:rPr>
          <w:rFonts w:ascii="Times New Roman" w:hAnsi="Times New Roman"/>
        </w:rPr>
        <w:t> </w:t>
      </w:r>
    </w:p>
    <w:p w:rsidR="0067427D" w:rsidRPr="00B6143C" w:rsidP="0067427D">
      <w:pPr>
        <w:bidi w:val="0"/>
        <w:rPr>
          <w:rFonts w:ascii="Times New Roman" w:hAnsi="Times New Roman"/>
        </w:rPr>
      </w:pPr>
      <w:r w:rsidRPr="00B6143C">
        <w:rPr>
          <w:rFonts w:ascii="Times New Roman" w:hAnsi="Times New Roman"/>
          <w:b/>
          <w:bCs/>
          <w:bdr w:val="single" w:sz="4" w:space="0" w:color="000000" w:frame="1"/>
        </w:rPr>
        <w:t xml:space="preserve">     </w:t>
      </w:r>
      <w:r w:rsidRPr="00B6143C">
        <w:rPr>
          <w:rFonts w:ascii="Times New Roman" w:hAnsi="Times New Roman"/>
          <w:b/>
          <w:bCs/>
        </w:rPr>
        <w:t xml:space="preserve">  </w:t>
      </w:r>
      <w:r w:rsidRPr="00B6143C">
        <w:rPr>
          <w:rFonts w:ascii="Times New Roman" w:hAnsi="Times New Roman"/>
        </w:rPr>
        <w:t>zmena sadzby</w:t>
      </w:r>
    </w:p>
    <w:p w:rsidR="0067427D" w:rsidRPr="00B6143C" w:rsidP="0067427D">
      <w:pPr>
        <w:bidi w:val="0"/>
        <w:rPr>
          <w:rFonts w:ascii="Times New Roman" w:hAnsi="Times New Roman"/>
        </w:rPr>
      </w:pPr>
      <w:r w:rsidRPr="00B6143C">
        <w:rPr>
          <w:rFonts w:ascii="Times New Roman" w:hAnsi="Times New Roman"/>
          <w:bdr w:val="single" w:sz="4" w:space="0" w:color="000000" w:frame="1"/>
        </w:rPr>
        <w:t xml:space="preserve">     </w:t>
      </w:r>
      <w:r w:rsidRPr="00B6143C">
        <w:rPr>
          <w:rFonts w:ascii="Times New Roman" w:hAnsi="Times New Roman"/>
        </w:rPr>
        <w:t>  zmena v nároku</w:t>
      </w:r>
    </w:p>
    <w:p w:rsidR="0067427D" w:rsidRPr="00B6143C" w:rsidP="0067427D">
      <w:pPr>
        <w:bidi w:val="0"/>
        <w:rPr>
          <w:rFonts w:ascii="Times New Roman" w:hAnsi="Times New Roman"/>
        </w:rPr>
      </w:pPr>
      <w:r w:rsidRPr="00B6143C">
        <w:rPr>
          <w:rFonts w:ascii="Times New Roman" w:hAnsi="Times New Roman"/>
          <w:bdr w:val="single" w:sz="4" w:space="0" w:color="000000" w:frame="1"/>
        </w:rPr>
        <w:t xml:space="preserve">     </w:t>
      </w:r>
      <w:r w:rsidRPr="00B6143C">
        <w:rPr>
          <w:rFonts w:ascii="Times New Roman" w:hAnsi="Times New Roman"/>
        </w:rPr>
        <w:t>  nová služba alebo nariadenie (alebo ich zrušenie)</w:t>
      </w:r>
    </w:p>
    <w:p w:rsidR="0067427D" w:rsidRPr="00B6143C" w:rsidP="0067427D">
      <w:pPr>
        <w:bidi w:val="0"/>
        <w:rPr>
          <w:rFonts w:ascii="Times New Roman" w:hAnsi="Times New Roman"/>
        </w:rPr>
      </w:pPr>
      <w:r w:rsidRPr="00B6143C">
        <w:rPr>
          <w:rFonts w:ascii="Times New Roman" w:hAnsi="Times New Roman"/>
          <w:bdr w:val="single" w:sz="4" w:space="0" w:color="000000" w:frame="1"/>
        </w:rPr>
        <w:t xml:space="preserve">     </w:t>
      </w:r>
      <w:r w:rsidRPr="00B6143C">
        <w:rPr>
          <w:rFonts w:ascii="Times New Roman" w:hAnsi="Times New Roman"/>
        </w:rPr>
        <w:t>  kombinovaný návrh</w:t>
      </w:r>
    </w:p>
    <w:p w:rsidR="0067427D" w:rsidRPr="00B6143C" w:rsidP="0067427D">
      <w:pPr>
        <w:bidi w:val="0"/>
        <w:rPr>
          <w:rFonts w:ascii="Times New Roman" w:hAnsi="Times New Roman"/>
        </w:rPr>
      </w:pPr>
      <w:r w:rsidRPr="00B6143C">
        <w:rPr>
          <w:rFonts w:ascii="Times New Roman" w:hAnsi="Times New Roman"/>
          <w:bdr w:val="single" w:sz="4" w:space="0" w:color="000000" w:frame="1"/>
        </w:rPr>
        <w:t xml:space="preserve">X  </w:t>
      </w:r>
      <w:r w:rsidRPr="00B6143C">
        <w:rPr>
          <w:rFonts w:ascii="Times New Roman" w:hAnsi="Times New Roman"/>
        </w:rPr>
        <w:t xml:space="preserve">  iné </w:t>
      </w:r>
    </w:p>
    <w:p w:rsidR="0067427D" w:rsidRPr="00B6143C" w:rsidP="0067427D">
      <w:pPr>
        <w:bidi w:val="0"/>
        <w:rPr>
          <w:rFonts w:ascii="Times New Roman" w:hAnsi="Times New Roman"/>
        </w:rPr>
      </w:pPr>
      <w:r w:rsidRPr="00B6143C">
        <w:rPr>
          <w:rFonts w:ascii="Times New Roman" w:hAnsi="Times New Roman"/>
        </w:rPr>
        <w:t> </w:t>
      </w:r>
    </w:p>
    <w:p w:rsidR="0067427D" w:rsidRPr="00B6143C" w:rsidP="0067427D">
      <w:pPr>
        <w:bidi w:val="0"/>
        <w:rPr>
          <w:rFonts w:ascii="Times New Roman" w:hAnsi="Times New Roman"/>
          <w:b/>
        </w:rPr>
      </w:pPr>
      <w:r w:rsidRPr="00B6143C">
        <w:rPr>
          <w:rFonts w:ascii="Times New Roman" w:hAnsi="Times New Roman"/>
          <w:b/>
        </w:rPr>
        <w:t xml:space="preserve">2.3.3. Predpokladaný vývoj objemu aktivít </w:t>
      </w:r>
    </w:p>
    <w:p w:rsidR="0067427D" w:rsidRPr="00B6143C" w:rsidP="0067427D">
      <w:pPr>
        <w:bidi w:val="0"/>
        <w:ind w:firstLine="851"/>
        <w:rPr>
          <w:rFonts w:ascii="Times New Roman" w:hAnsi="Times New Roman"/>
        </w:rPr>
      </w:pPr>
    </w:p>
    <w:p w:rsidR="0067427D" w:rsidRPr="00B6143C" w:rsidP="0067427D">
      <w:pPr>
        <w:bidi w:val="0"/>
        <w:rPr>
          <w:rFonts w:ascii="Times New Roman" w:hAnsi="Times New Roman"/>
        </w:rPr>
      </w:pPr>
      <w:r w:rsidRPr="00B6143C">
        <w:rPr>
          <w:rFonts w:ascii="Times New Roman" w:hAnsi="Times New Roman"/>
          <w:b/>
          <w:bCs/>
        </w:rPr>
        <w:t>2.3.4. Výpočty vplyvov na verejné financie</w:t>
      </w:r>
    </w:p>
    <w:p w:rsidR="0067427D" w:rsidRPr="00B6143C" w:rsidP="0067427D">
      <w:pPr>
        <w:bidi w:val="0"/>
        <w:rPr>
          <w:rFonts w:ascii="Times New Roman" w:hAnsi="Times New Roman"/>
        </w:rPr>
      </w:pPr>
    </w:p>
    <w:p w:rsidR="0067427D" w:rsidRPr="00B6143C" w:rsidP="0067427D">
      <w:pPr>
        <w:bidi w:val="0"/>
        <w:jc w:val="both"/>
        <w:rPr>
          <w:rFonts w:ascii="Times New Roman" w:hAnsi="Times New Roman"/>
        </w:rPr>
      </w:pPr>
      <w:r w:rsidRPr="00B6143C">
        <w:rPr>
          <w:rFonts w:ascii="Times New Roman" w:hAnsi="Times New Roman"/>
        </w:rPr>
        <w:tab/>
        <w:tab/>
        <w:tab/>
        <w:tab/>
        <w:tab/>
        <w:tab/>
        <w:tab/>
        <w:tab/>
        <w:tab/>
        <w:tab/>
        <w:tab/>
        <w:t>Tabuľka č. 4</w:t>
      </w:r>
    </w:p>
    <w:tbl>
      <w:tblPr>
        <w:tblStyle w:val="TableNormal"/>
        <w:tblW w:w="9250" w:type="dxa"/>
        <w:tblCellMar>
          <w:left w:w="0" w:type="dxa"/>
          <w:right w:w="0" w:type="dxa"/>
        </w:tblCellMar>
        <w:tblLook w:val="00A0"/>
      </w:tblPr>
      <w:tblGrid>
        <w:gridCol w:w="4465"/>
        <w:gridCol w:w="850"/>
        <w:gridCol w:w="851"/>
        <w:gridCol w:w="852"/>
        <w:gridCol w:w="1020"/>
        <w:gridCol w:w="1212"/>
      </w:tblGrid>
      <w:tr>
        <w:tblPrEx>
          <w:tblW w:w="9250" w:type="dxa"/>
          <w:tblCellMar>
            <w:left w:w="0" w:type="dxa"/>
            <w:right w:w="0" w:type="dxa"/>
          </w:tblCellMar>
          <w:tblLook w:val="00A0"/>
        </w:tblPrEx>
        <w:trPr>
          <w:trHeight w:val="255"/>
        </w:trPr>
        <w:tc>
          <w:tcPr>
            <w:tcW w:w="4465"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7427D" w:rsidRPr="00B6143C" w:rsidP="0067427D">
            <w:pPr>
              <w:bidi w:val="0"/>
              <w:jc w:val="center"/>
              <w:rPr>
                <w:rFonts w:ascii="Times New Roman" w:hAnsi="Times New Roman"/>
              </w:rPr>
            </w:pPr>
            <w:r w:rsidRPr="00B6143C">
              <w:rPr>
                <w:rFonts w:ascii="Times New Roman" w:hAnsi="Times New Roman"/>
                <w:b/>
                <w:bCs/>
                <w:color w:val="FFFFFF"/>
              </w:rPr>
              <w:t>Príjmy (v eurách)</w:t>
            </w:r>
          </w:p>
        </w:tc>
        <w:tc>
          <w:tcPr>
            <w:tcW w:w="3573" w:type="dxa"/>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bCs/>
                <w:color w:val="FFFFFF"/>
              </w:rPr>
              <w:t>Vplyv na rozpočet verejnej správy</w:t>
            </w:r>
          </w:p>
        </w:tc>
        <w:tc>
          <w:tcPr>
            <w:tcW w:w="1212"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7427D" w:rsidRPr="00B6143C" w:rsidP="0067427D">
            <w:pPr>
              <w:bidi w:val="0"/>
              <w:jc w:val="center"/>
              <w:rPr>
                <w:rFonts w:ascii="Times New Roman" w:hAnsi="Times New Roman"/>
              </w:rPr>
            </w:pPr>
            <w:r w:rsidRPr="00B6143C">
              <w:rPr>
                <w:rFonts w:ascii="Times New Roman" w:hAnsi="Times New Roman"/>
                <w:b/>
                <w:bCs/>
                <w:color w:val="FFFFFF"/>
              </w:rPr>
              <w:t>poznámka</w:t>
            </w:r>
          </w:p>
        </w:tc>
      </w:tr>
      <w:tr>
        <w:tblPrEx>
          <w:tblW w:w="9250" w:type="dxa"/>
          <w:tblCellMar>
            <w:left w:w="0" w:type="dxa"/>
            <w:right w:w="0" w:type="dxa"/>
          </w:tblCellMar>
          <w:tblLook w:val="00A0"/>
        </w:tblPrEx>
        <w:trPr>
          <w:trHeight w:val="255"/>
        </w:trPr>
        <w:tc>
          <w:tcPr>
            <w:tcW w:w="4465" w:type="dxa"/>
            <w:vMerge/>
            <w:tcBorders>
              <w:top w:val="single" w:sz="4" w:space="0" w:color="000000"/>
              <w:left w:val="single" w:sz="4" w:space="0" w:color="000000"/>
              <w:bottom w:val="single" w:sz="4" w:space="0" w:color="000000"/>
              <w:right w:val="single" w:sz="4" w:space="0" w:color="000000"/>
            </w:tcBorders>
            <w:textDirection w:val="lrTb"/>
            <w:vAlign w:val="center"/>
          </w:tcPr>
          <w:p w:rsidR="0067427D" w:rsidRPr="00B6143C" w:rsidP="0067427D">
            <w:pPr>
              <w:bidi w:val="0"/>
              <w:rPr>
                <w:rFonts w:ascii="Times New Roman" w:hAnsi="Times New Roman"/>
              </w:rPr>
            </w:pPr>
          </w:p>
        </w:tc>
        <w:tc>
          <w:tcPr>
            <w:tcW w:w="8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bCs/>
                <w:color w:val="FFFFFF"/>
              </w:rPr>
              <w:t>2013</w:t>
            </w:r>
          </w:p>
        </w:tc>
        <w:tc>
          <w:tcPr>
            <w:tcW w:w="851"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bCs/>
                <w:color w:val="FFFFFF"/>
              </w:rPr>
              <w:t>2014</w:t>
            </w:r>
          </w:p>
        </w:tc>
        <w:tc>
          <w:tcPr>
            <w:tcW w:w="852"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bCs/>
                <w:color w:val="FFFFFF"/>
              </w:rPr>
              <w:t>2015</w:t>
            </w:r>
          </w:p>
        </w:tc>
        <w:tc>
          <w:tcPr>
            <w:tcW w:w="102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bCs/>
                <w:color w:val="FFFFFF"/>
              </w:rPr>
              <w:t>2016</w:t>
            </w:r>
          </w:p>
        </w:tc>
        <w:tc>
          <w:tcPr>
            <w:tcW w:w="1212" w:type="dxa"/>
            <w:vMerge/>
            <w:tcBorders>
              <w:top w:val="single" w:sz="4" w:space="0" w:color="000000"/>
              <w:left w:val="single" w:sz="4" w:space="0" w:color="000000"/>
              <w:bottom w:val="single" w:sz="4" w:space="0" w:color="000000"/>
              <w:right w:val="single" w:sz="4" w:space="0" w:color="000000"/>
            </w:tcBorders>
            <w:textDirection w:val="lrTb"/>
            <w:vAlign w:val="center"/>
          </w:tcPr>
          <w:p w:rsidR="0067427D" w:rsidRPr="00B6143C" w:rsidP="0067427D">
            <w:pPr>
              <w:bidi w:val="0"/>
              <w:rPr>
                <w:rFonts w:ascii="Times New Roman" w:hAnsi="Times New Roman"/>
              </w:rPr>
            </w:pPr>
          </w:p>
        </w:tc>
      </w:tr>
      <w:tr>
        <w:tblPrEx>
          <w:tblW w:w="9250" w:type="dxa"/>
          <w:tblCellMar>
            <w:left w:w="0" w:type="dxa"/>
            <w:right w:w="0" w:type="dxa"/>
          </w:tblCellMar>
          <w:tblLook w:val="00A0"/>
        </w:tblPrEx>
        <w:trPr>
          <w:trHeight w:val="384"/>
        </w:trPr>
        <w:tc>
          <w:tcPr>
            <w:tcW w:w="446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rPr>
                <w:rFonts w:ascii="Times New Roman" w:hAnsi="Times New Roman"/>
              </w:rPr>
            </w:pPr>
            <w:r w:rsidRPr="00B6143C">
              <w:rPr>
                <w:rFonts w:ascii="Times New Roman" w:hAnsi="Times New Roman"/>
                <w:b/>
                <w:bCs/>
              </w:rPr>
              <w:t>Daňové príjmy (100)</w:t>
            </w:r>
            <w:r w:rsidRPr="00B6143C">
              <w:rPr>
                <w:rFonts w:ascii="Times New Roman" w:hAnsi="Times New Roman"/>
                <w:b/>
                <w:bCs/>
                <w:sz w:val="16"/>
                <w:szCs w:val="16"/>
                <w:vertAlign w:val="superscript"/>
              </w:rPr>
              <w:t>1</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p>
        </w:tc>
        <w:tc>
          <w:tcPr>
            <w:tcW w:w="8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bCs/>
              </w:rPr>
              <w:t> </w:t>
            </w:r>
          </w:p>
        </w:tc>
        <w:tc>
          <w:tcPr>
            <w:tcW w:w="8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bCs/>
              </w:rPr>
              <w:t> </w:t>
            </w:r>
          </w:p>
        </w:tc>
        <w:tc>
          <w:tcPr>
            <w:tcW w:w="10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p>
        </w:tc>
        <w:tc>
          <w:tcPr>
            <w:tcW w:w="121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7427D" w:rsidRPr="00B6143C" w:rsidP="0067427D">
            <w:pPr>
              <w:bidi w:val="0"/>
              <w:rPr>
                <w:rFonts w:ascii="Times New Roman" w:hAnsi="Times New Roman"/>
              </w:rPr>
            </w:pPr>
            <w:r w:rsidRPr="00B6143C">
              <w:rPr>
                <w:rFonts w:ascii="Times New Roman" w:hAnsi="Times New Roman"/>
              </w:rPr>
              <w:t> </w:t>
            </w:r>
          </w:p>
        </w:tc>
      </w:tr>
      <w:tr>
        <w:tblPrEx>
          <w:tblW w:w="9250" w:type="dxa"/>
          <w:tblCellMar>
            <w:left w:w="0" w:type="dxa"/>
            <w:right w:w="0" w:type="dxa"/>
          </w:tblCellMar>
          <w:tblLook w:val="00A0"/>
        </w:tblPrEx>
        <w:trPr>
          <w:trHeight w:val="255"/>
        </w:trPr>
        <w:tc>
          <w:tcPr>
            <w:tcW w:w="446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rPr>
                <w:rFonts w:ascii="Times New Roman" w:hAnsi="Times New Roman"/>
              </w:rPr>
            </w:pPr>
            <w:r w:rsidRPr="00B6143C">
              <w:rPr>
                <w:rFonts w:ascii="Times New Roman" w:hAnsi="Times New Roman"/>
                <w:b/>
                <w:bCs/>
              </w:rPr>
              <w:t>Nedaňové príjmy (200 – RP 222)</w:t>
            </w:r>
            <w:r w:rsidRPr="00B6143C">
              <w:rPr>
                <w:rFonts w:ascii="Times New Roman" w:hAnsi="Times New Roman"/>
                <w:b/>
                <w:bCs/>
                <w:sz w:val="16"/>
                <w:szCs w:val="16"/>
                <w:vertAlign w:val="superscript"/>
              </w:rPr>
              <w:t>1</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rPr>
                <w:rFonts w:ascii="Times New Roman" w:hAnsi="Times New Roman"/>
                <w:sz w:val="20"/>
                <w:szCs w:val="20"/>
              </w:rPr>
            </w:pPr>
          </w:p>
        </w:tc>
        <w:tc>
          <w:tcPr>
            <w:tcW w:w="8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sz w:val="20"/>
                <w:szCs w:val="20"/>
              </w:rPr>
            </w:pPr>
          </w:p>
        </w:tc>
        <w:tc>
          <w:tcPr>
            <w:tcW w:w="8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sz w:val="20"/>
                <w:szCs w:val="20"/>
              </w:rPr>
            </w:pPr>
          </w:p>
        </w:tc>
        <w:tc>
          <w:tcPr>
            <w:tcW w:w="10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sz w:val="20"/>
                <w:szCs w:val="20"/>
              </w:rPr>
            </w:pPr>
          </w:p>
        </w:tc>
        <w:tc>
          <w:tcPr>
            <w:tcW w:w="121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7427D" w:rsidRPr="00B6143C" w:rsidP="0067427D">
            <w:pPr>
              <w:bidi w:val="0"/>
              <w:rPr>
                <w:rFonts w:ascii="Times New Roman" w:hAnsi="Times New Roman"/>
              </w:rPr>
            </w:pPr>
            <w:r w:rsidRPr="00B6143C">
              <w:rPr>
                <w:rFonts w:ascii="Times New Roman" w:hAnsi="Times New Roman"/>
              </w:rPr>
              <w:t> </w:t>
            </w:r>
          </w:p>
        </w:tc>
      </w:tr>
      <w:tr>
        <w:tblPrEx>
          <w:tblW w:w="9250" w:type="dxa"/>
          <w:tblCellMar>
            <w:left w:w="0" w:type="dxa"/>
            <w:right w:w="0" w:type="dxa"/>
          </w:tblCellMar>
          <w:tblLook w:val="00A0"/>
        </w:tblPrEx>
        <w:trPr>
          <w:trHeight w:val="255"/>
        </w:trPr>
        <w:tc>
          <w:tcPr>
            <w:tcW w:w="446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rPr>
                <w:rFonts w:ascii="Times New Roman" w:hAnsi="Times New Roman"/>
              </w:rPr>
            </w:pPr>
            <w:r w:rsidRPr="00B6143C">
              <w:rPr>
                <w:rFonts w:ascii="Times New Roman" w:hAnsi="Times New Roman"/>
                <w:b/>
                <w:bCs/>
              </w:rPr>
              <w:t>Granty a transfery (300)</w:t>
            </w:r>
            <w:r w:rsidRPr="00B6143C">
              <w:rPr>
                <w:rFonts w:ascii="Times New Roman" w:hAnsi="Times New Roman"/>
                <w:b/>
                <w:bCs/>
                <w:sz w:val="16"/>
                <w:szCs w:val="16"/>
                <w:vertAlign w:val="superscript"/>
              </w:rPr>
              <w:t>1</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bCs/>
              </w:rPr>
              <w:t> </w:t>
            </w:r>
          </w:p>
        </w:tc>
        <w:tc>
          <w:tcPr>
            <w:tcW w:w="8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bCs/>
              </w:rPr>
              <w:t> </w:t>
            </w:r>
          </w:p>
        </w:tc>
        <w:tc>
          <w:tcPr>
            <w:tcW w:w="8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bCs/>
              </w:rPr>
              <w:t> </w:t>
            </w:r>
          </w:p>
        </w:tc>
        <w:tc>
          <w:tcPr>
            <w:tcW w:w="10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bCs/>
              </w:rPr>
              <w:t> </w:t>
            </w:r>
          </w:p>
        </w:tc>
        <w:tc>
          <w:tcPr>
            <w:tcW w:w="121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7427D" w:rsidRPr="00B6143C" w:rsidP="0067427D">
            <w:pPr>
              <w:bidi w:val="0"/>
              <w:rPr>
                <w:rFonts w:ascii="Times New Roman" w:hAnsi="Times New Roman"/>
              </w:rPr>
            </w:pPr>
            <w:r w:rsidRPr="00B6143C">
              <w:rPr>
                <w:rFonts w:ascii="Times New Roman" w:hAnsi="Times New Roman"/>
              </w:rPr>
              <w:t> </w:t>
            </w:r>
          </w:p>
        </w:tc>
      </w:tr>
      <w:tr>
        <w:tblPrEx>
          <w:tblW w:w="9250" w:type="dxa"/>
          <w:tblCellMar>
            <w:left w:w="0" w:type="dxa"/>
            <w:right w:w="0" w:type="dxa"/>
          </w:tblCellMar>
          <w:tblLook w:val="00A0"/>
        </w:tblPrEx>
        <w:trPr>
          <w:trHeight w:val="255"/>
        </w:trPr>
        <w:tc>
          <w:tcPr>
            <w:tcW w:w="446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rPr>
                <w:rFonts w:ascii="Times New Roman" w:hAnsi="Times New Roman"/>
              </w:rPr>
            </w:pPr>
            <w:r w:rsidRPr="00B6143C">
              <w:rPr>
                <w:rFonts w:ascii="Times New Roman" w:hAnsi="Times New Roman"/>
                <w:b/>
                <w:bCs/>
              </w:rPr>
              <w:t>Príjmy z transakcií s finančnými aktívami a finančnými pasívami (400)</w:t>
            </w:r>
          </w:p>
        </w:tc>
        <w:tc>
          <w:tcPr>
            <w:tcW w:w="85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bCs/>
              </w:rPr>
              <w:t> </w:t>
            </w:r>
          </w:p>
        </w:tc>
        <w:tc>
          <w:tcPr>
            <w:tcW w:w="851"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bCs/>
              </w:rPr>
              <w:t> </w:t>
            </w:r>
          </w:p>
        </w:tc>
        <w:tc>
          <w:tcPr>
            <w:tcW w:w="852"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bCs/>
              </w:rPr>
              <w:t> </w:t>
            </w:r>
          </w:p>
        </w:tc>
        <w:tc>
          <w:tcPr>
            <w:tcW w:w="102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bCs/>
              </w:rPr>
              <w:t> </w:t>
            </w:r>
          </w:p>
        </w:tc>
        <w:tc>
          <w:tcPr>
            <w:tcW w:w="121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7427D" w:rsidRPr="00B6143C" w:rsidP="0067427D">
            <w:pPr>
              <w:bidi w:val="0"/>
              <w:rPr>
                <w:rFonts w:ascii="Times New Roman" w:hAnsi="Times New Roman"/>
              </w:rPr>
            </w:pPr>
            <w:r w:rsidRPr="00B6143C">
              <w:rPr>
                <w:rFonts w:ascii="Times New Roman" w:hAnsi="Times New Roman"/>
              </w:rPr>
              <w:t> </w:t>
            </w:r>
          </w:p>
        </w:tc>
      </w:tr>
      <w:tr>
        <w:tblPrEx>
          <w:tblW w:w="9250" w:type="dxa"/>
          <w:tblCellMar>
            <w:left w:w="0" w:type="dxa"/>
            <w:right w:w="0" w:type="dxa"/>
          </w:tblCellMar>
          <w:tblLook w:val="00A0"/>
        </w:tblPrEx>
        <w:trPr>
          <w:trHeight w:val="255"/>
        </w:trPr>
        <w:tc>
          <w:tcPr>
            <w:tcW w:w="446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rPr>
                <w:rFonts w:ascii="Times New Roman" w:hAnsi="Times New Roman"/>
              </w:rPr>
            </w:pPr>
            <w:r w:rsidRPr="00B6143C">
              <w:rPr>
                <w:rFonts w:ascii="Times New Roman" w:hAnsi="Times New Roman"/>
                <w:b/>
                <w:bCs/>
              </w:rPr>
              <w:t>Prijaté úvery, pôžičky a návratné finančné výpomoci (500)</w:t>
            </w:r>
          </w:p>
        </w:tc>
        <w:tc>
          <w:tcPr>
            <w:tcW w:w="85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67427D" w:rsidRPr="00B6143C" w:rsidP="0067427D">
            <w:pPr>
              <w:bidi w:val="0"/>
              <w:rPr>
                <w:rFonts w:ascii="Times New Roman" w:hAnsi="Times New Roman"/>
                <w:sz w:val="20"/>
                <w:szCs w:val="20"/>
              </w:rPr>
            </w:pPr>
            <w:r w:rsidRPr="00B6143C">
              <w:rPr>
                <w:rFonts w:ascii="Times New Roman" w:hAnsi="Times New Roman"/>
                <w:bCs/>
                <w:sz w:val="20"/>
                <w:szCs w:val="20"/>
              </w:rPr>
              <w:t> </w:t>
            </w:r>
          </w:p>
        </w:tc>
        <w:tc>
          <w:tcPr>
            <w:tcW w:w="851"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sz w:val="20"/>
                <w:szCs w:val="20"/>
              </w:rPr>
            </w:pPr>
            <w:r w:rsidRPr="00B6143C">
              <w:rPr>
                <w:rFonts w:ascii="Times New Roman" w:hAnsi="Times New Roman"/>
                <w:bCs/>
                <w:sz w:val="20"/>
                <w:szCs w:val="20"/>
              </w:rPr>
              <w:t> </w:t>
            </w:r>
          </w:p>
        </w:tc>
        <w:tc>
          <w:tcPr>
            <w:tcW w:w="852"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sz w:val="20"/>
                <w:szCs w:val="20"/>
              </w:rPr>
            </w:pPr>
            <w:r w:rsidRPr="00B6143C">
              <w:rPr>
                <w:rFonts w:ascii="Times New Roman" w:hAnsi="Times New Roman"/>
                <w:bCs/>
                <w:sz w:val="20"/>
                <w:szCs w:val="20"/>
              </w:rPr>
              <w:t> </w:t>
            </w:r>
          </w:p>
        </w:tc>
        <w:tc>
          <w:tcPr>
            <w:tcW w:w="102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sz w:val="20"/>
                <w:szCs w:val="20"/>
              </w:rPr>
            </w:pPr>
            <w:r w:rsidRPr="00B6143C">
              <w:rPr>
                <w:rFonts w:ascii="Times New Roman" w:hAnsi="Times New Roman"/>
                <w:bCs/>
                <w:sz w:val="20"/>
                <w:szCs w:val="20"/>
              </w:rPr>
              <w:t> </w:t>
            </w:r>
          </w:p>
        </w:tc>
        <w:tc>
          <w:tcPr>
            <w:tcW w:w="121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7427D" w:rsidRPr="00B6143C" w:rsidP="0067427D">
            <w:pPr>
              <w:bidi w:val="0"/>
              <w:rPr>
                <w:rFonts w:ascii="Times New Roman" w:hAnsi="Times New Roman"/>
              </w:rPr>
            </w:pPr>
            <w:r w:rsidRPr="00B6143C">
              <w:rPr>
                <w:rFonts w:ascii="Times New Roman" w:hAnsi="Times New Roman"/>
              </w:rPr>
              <w:t> </w:t>
            </w:r>
          </w:p>
        </w:tc>
      </w:tr>
      <w:tr>
        <w:tblPrEx>
          <w:tblW w:w="9250" w:type="dxa"/>
          <w:tblCellMar>
            <w:left w:w="0" w:type="dxa"/>
            <w:right w:w="0" w:type="dxa"/>
          </w:tblCellMar>
          <w:tblLook w:val="00A0"/>
        </w:tblPrEx>
        <w:trPr>
          <w:trHeight w:val="255"/>
        </w:trPr>
        <w:tc>
          <w:tcPr>
            <w:tcW w:w="4465"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7427D" w:rsidRPr="00B6143C" w:rsidP="0067427D">
            <w:pPr>
              <w:bidi w:val="0"/>
              <w:rPr>
                <w:rFonts w:ascii="Times New Roman" w:hAnsi="Times New Roman"/>
              </w:rPr>
            </w:pPr>
            <w:r w:rsidRPr="00B6143C">
              <w:rPr>
                <w:rFonts w:ascii="Times New Roman" w:hAnsi="Times New Roman"/>
                <w:b/>
                <w:bCs/>
                <w:color w:val="FFFFFF"/>
              </w:rPr>
              <w:t>Dopad na príjmy verejnej správy celkom</w:t>
            </w:r>
          </w:p>
        </w:tc>
        <w:tc>
          <w:tcPr>
            <w:tcW w:w="8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sz w:val="20"/>
                <w:szCs w:val="20"/>
              </w:rPr>
            </w:pPr>
            <w:r w:rsidRPr="00B6143C">
              <w:rPr>
                <w:rFonts w:ascii="Times New Roman" w:hAnsi="Times New Roman"/>
                <w:sz w:val="20"/>
                <w:szCs w:val="20"/>
              </w:rPr>
              <w:t>0</w:t>
            </w:r>
          </w:p>
        </w:tc>
        <w:tc>
          <w:tcPr>
            <w:tcW w:w="851"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sz w:val="20"/>
                <w:szCs w:val="20"/>
              </w:rPr>
            </w:pPr>
            <w:r w:rsidRPr="00B6143C">
              <w:rPr>
                <w:rFonts w:ascii="Times New Roman" w:hAnsi="Times New Roman"/>
                <w:sz w:val="20"/>
                <w:szCs w:val="20"/>
              </w:rPr>
              <w:t>0</w:t>
            </w:r>
          </w:p>
        </w:tc>
        <w:tc>
          <w:tcPr>
            <w:tcW w:w="852"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sz w:val="20"/>
                <w:szCs w:val="20"/>
              </w:rPr>
            </w:pPr>
            <w:r w:rsidRPr="00B6143C">
              <w:rPr>
                <w:rFonts w:ascii="Times New Roman" w:hAnsi="Times New Roman"/>
                <w:sz w:val="20"/>
                <w:szCs w:val="20"/>
              </w:rPr>
              <w:t>0</w:t>
            </w:r>
          </w:p>
        </w:tc>
        <w:tc>
          <w:tcPr>
            <w:tcW w:w="102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sz w:val="20"/>
                <w:szCs w:val="20"/>
              </w:rPr>
            </w:pPr>
            <w:r w:rsidRPr="00B6143C">
              <w:rPr>
                <w:rFonts w:ascii="Times New Roman" w:hAnsi="Times New Roman"/>
                <w:sz w:val="20"/>
                <w:szCs w:val="20"/>
              </w:rPr>
              <w:t>0</w:t>
            </w:r>
          </w:p>
        </w:tc>
        <w:tc>
          <w:tcPr>
            <w:tcW w:w="1212"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67427D" w:rsidRPr="00B6143C" w:rsidP="0067427D">
            <w:pPr>
              <w:bidi w:val="0"/>
              <w:rPr>
                <w:rFonts w:ascii="Times New Roman" w:hAnsi="Times New Roman"/>
              </w:rPr>
            </w:pPr>
            <w:r w:rsidRPr="00B6143C">
              <w:rPr>
                <w:rFonts w:ascii="Times New Roman" w:hAnsi="Times New Roman"/>
                <w:color w:val="FFFFFF"/>
              </w:rPr>
              <w:t> </w:t>
            </w:r>
          </w:p>
        </w:tc>
      </w:tr>
      <w:tr>
        <w:tblPrEx>
          <w:tblW w:w="9250" w:type="dxa"/>
          <w:tblCellMar>
            <w:left w:w="0" w:type="dxa"/>
            <w:right w:w="0" w:type="dxa"/>
          </w:tblCellMar>
          <w:tblLook w:val="00A0"/>
        </w:tblPrEx>
        <w:tc>
          <w:tcPr>
            <w:tcW w:w="4465" w:type="dxa"/>
            <w:tcBorders>
              <w:top w:val="nil"/>
              <w:left w:val="nil"/>
              <w:bottom w:val="nil"/>
              <w:right w:val="nil"/>
            </w:tcBorders>
            <w:textDirection w:val="lrTb"/>
            <w:vAlign w:val="center"/>
          </w:tcPr>
          <w:p w:rsidR="0067427D" w:rsidRPr="00B6143C" w:rsidP="0067427D">
            <w:pPr>
              <w:bidi w:val="0"/>
              <w:rPr>
                <w:rFonts w:ascii="Times New Roman" w:hAnsi="Times New Roman"/>
                <w:sz w:val="2"/>
              </w:rPr>
            </w:pPr>
          </w:p>
        </w:tc>
        <w:tc>
          <w:tcPr>
            <w:tcW w:w="850" w:type="dxa"/>
            <w:tcBorders>
              <w:top w:val="nil"/>
              <w:left w:val="nil"/>
              <w:bottom w:val="nil"/>
              <w:right w:val="nil"/>
            </w:tcBorders>
            <w:textDirection w:val="lrTb"/>
            <w:vAlign w:val="center"/>
          </w:tcPr>
          <w:p w:rsidR="0067427D" w:rsidRPr="00B6143C" w:rsidP="0067427D">
            <w:pPr>
              <w:bidi w:val="0"/>
              <w:rPr>
                <w:rFonts w:ascii="Times New Roman" w:hAnsi="Times New Roman"/>
                <w:sz w:val="2"/>
              </w:rPr>
            </w:pPr>
          </w:p>
        </w:tc>
        <w:tc>
          <w:tcPr>
            <w:tcW w:w="851" w:type="dxa"/>
            <w:tcBorders>
              <w:top w:val="nil"/>
              <w:left w:val="nil"/>
              <w:bottom w:val="nil"/>
              <w:right w:val="nil"/>
            </w:tcBorders>
            <w:textDirection w:val="lrTb"/>
            <w:vAlign w:val="center"/>
          </w:tcPr>
          <w:p w:rsidR="0067427D" w:rsidRPr="00B6143C" w:rsidP="0067427D">
            <w:pPr>
              <w:bidi w:val="0"/>
              <w:rPr>
                <w:rFonts w:ascii="Times New Roman" w:hAnsi="Times New Roman"/>
                <w:sz w:val="2"/>
              </w:rPr>
            </w:pPr>
          </w:p>
        </w:tc>
        <w:tc>
          <w:tcPr>
            <w:tcW w:w="852" w:type="dxa"/>
            <w:tcBorders>
              <w:top w:val="nil"/>
              <w:left w:val="nil"/>
              <w:bottom w:val="nil"/>
              <w:right w:val="nil"/>
            </w:tcBorders>
            <w:textDirection w:val="lrTb"/>
            <w:vAlign w:val="center"/>
          </w:tcPr>
          <w:p w:rsidR="0067427D" w:rsidRPr="00B6143C" w:rsidP="0067427D">
            <w:pPr>
              <w:bidi w:val="0"/>
              <w:rPr>
                <w:rFonts w:ascii="Times New Roman" w:hAnsi="Times New Roman"/>
                <w:sz w:val="2"/>
              </w:rPr>
            </w:pPr>
            <w:r w:rsidRPr="00B6143C">
              <w:rPr>
                <w:rFonts w:ascii="Times New Roman" w:hAnsi="Times New Roman"/>
                <w:sz w:val="2"/>
              </w:rPr>
              <w:t>0</w:t>
            </w:r>
          </w:p>
        </w:tc>
        <w:tc>
          <w:tcPr>
            <w:tcW w:w="1020" w:type="dxa"/>
            <w:tcBorders>
              <w:top w:val="nil"/>
              <w:left w:val="nil"/>
              <w:bottom w:val="nil"/>
              <w:right w:val="nil"/>
            </w:tcBorders>
            <w:textDirection w:val="lrTb"/>
            <w:vAlign w:val="center"/>
          </w:tcPr>
          <w:p w:rsidR="0067427D" w:rsidRPr="00B6143C" w:rsidP="0067427D">
            <w:pPr>
              <w:bidi w:val="0"/>
              <w:rPr>
                <w:rFonts w:ascii="Times New Roman" w:hAnsi="Times New Roman"/>
                <w:sz w:val="2"/>
              </w:rPr>
            </w:pPr>
          </w:p>
        </w:tc>
        <w:tc>
          <w:tcPr>
            <w:tcW w:w="1212" w:type="dxa"/>
            <w:tcBorders>
              <w:top w:val="nil"/>
              <w:left w:val="nil"/>
              <w:bottom w:val="nil"/>
              <w:right w:val="nil"/>
            </w:tcBorders>
            <w:textDirection w:val="lrTb"/>
            <w:vAlign w:val="center"/>
          </w:tcPr>
          <w:p w:rsidR="0067427D" w:rsidRPr="00B6143C" w:rsidP="0067427D">
            <w:pPr>
              <w:bidi w:val="0"/>
              <w:rPr>
                <w:rFonts w:ascii="Times New Roman" w:hAnsi="Times New Roman"/>
                <w:sz w:val="2"/>
              </w:rPr>
            </w:pPr>
          </w:p>
        </w:tc>
      </w:tr>
    </w:tbl>
    <w:p w:rsidR="0067427D" w:rsidRPr="00B6143C" w:rsidP="0067427D">
      <w:pPr>
        <w:bidi w:val="0"/>
        <w:jc w:val="both"/>
        <w:rPr>
          <w:rFonts w:ascii="Times New Roman" w:hAnsi="Times New Roman"/>
        </w:rPr>
      </w:pPr>
    </w:p>
    <w:p w:rsidR="0067427D" w:rsidRPr="00B6143C" w:rsidP="0067427D">
      <w:pPr>
        <w:bidi w:val="0"/>
        <w:jc w:val="both"/>
        <w:rPr>
          <w:rFonts w:ascii="Times New Roman" w:hAnsi="Times New Roman"/>
        </w:rPr>
      </w:pPr>
      <w:r w:rsidRPr="00B6143C">
        <w:rPr>
          <w:rFonts w:ascii="Times New Roman" w:hAnsi="Times New Roman"/>
        </w:rPr>
        <w:t> </w:t>
        <w:tab/>
        <w:tab/>
        <w:tab/>
        <w:tab/>
        <w:tab/>
        <w:tab/>
        <w:tab/>
        <w:tab/>
        <w:tab/>
        <w:tab/>
        <w:tab/>
        <w:t>Tabuľka č. 5</w:t>
      </w:r>
    </w:p>
    <w:tbl>
      <w:tblPr>
        <w:tblStyle w:val="TableNormal"/>
        <w:tblW w:w="9250" w:type="dxa"/>
        <w:tblCellMar>
          <w:left w:w="0" w:type="dxa"/>
          <w:right w:w="0" w:type="dxa"/>
        </w:tblCellMar>
        <w:tblLook w:val="00A0"/>
      </w:tblPr>
      <w:tblGrid>
        <w:gridCol w:w="3776"/>
        <w:gridCol w:w="1060"/>
        <w:gridCol w:w="1060"/>
        <w:gridCol w:w="1060"/>
        <w:gridCol w:w="1060"/>
        <w:gridCol w:w="1234"/>
      </w:tblGrid>
      <w:tr>
        <w:tblPrEx>
          <w:tblW w:w="9250" w:type="dxa"/>
          <w:tblCellMar>
            <w:left w:w="0" w:type="dxa"/>
            <w:right w:w="0" w:type="dxa"/>
          </w:tblCellMar>
          <w:tblLook w:val="00A0"/>
        </w:tblPrEx>
        <w:trPr>
          <w:trHeight w:val="255"/>
        </w:trPr>
        <w:tc>
          <w:tcPr>
            <w:tcW w:w="3776"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7427D" w:rsidRPr="00B6143C" w:rsidP="0067427D">
            <w:pPr>
              <w:bidi w:val="0"/>
              <w:jc w:val="center"/>
              <w:rPr>
                <w:rFonts w:ascii="Times New Roman" w:hAnsi="Times New Roman"/>
              </w:rPr>
            </w:pPr>
            <w:r w:rsidRPr="00B6143C">
              <w:rPr>
                <w:rFonts w:ascii="Times New Roman" w:hAnsi="Times New Roman"/>
                <w:b/>
                <w:bCs/>
                <w:color w:val="FFFFFF"/>
                <w:sz w:val="20"/>
                <w:szCs w:val="20"/>
              </w:rPr>
              <w:t>Výdavky (v eurách)</w:t>
            </w:r>
          </w:p>
        </w:tc>
        <w:tc>
          <w:tcPr>
            <w:tcW w:w="4240" w:type="dxa"/>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bCs/>
                <w:color w:val="FFFFFF"/>
                <w:sz w:val="20"/>
                <w:szCs w:val="20"/>
              </w:rPr>
              <w:t>Vplyv na rozpočet verejnej správy</w:t>
            </w:r>
          </w:p>
        </w:tc>
        <w:tc>
          <w:tcPr>
            <w:tcW w:w="123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7427D" w:rsidRPr="00B6143C" w:rsidP="0067427D">
            <w:pPr>
              <w:bidi w:val="0"/>
              <w:jc w:val="center"/>
              <w:rPr>
                <w:rFonts w:ascii="Times New Roman" w:hAnsi="Times New Roman"/>
              </w:rPr>
            </w:pPr>
            <w:r w:rsidRPr="00B6143C">
              <w:rPr>
                <w:rFonts w:ascii="Times New Roman" w:hAnsi="Times New Roman"/>
                <w:b/>
                <w:bCs/>
                <w:color w:val="FFFFFF"/>
              </w:rPr>
              <w:t>poznámka</w:t>
            </w:r>
          </w:p>
        </w:tc>
      </w:tr>
      <w:tr>
        <w:tblPrEx>
          <w:tblW w:w="9250" w:type="dxa"/>
          <w:tblCellMar>
            <w:left w:w="0" w:type="dxa"/>
            <w:right w:w="0" w:type="dxa"/>
          </w:tblCellMar>
          <w:tblLook w:val="00A0"/>
        </w:tblPrEx>
        <w:trPr>
          <w:trHeight w:val="255"/>
        </w:trPr>
        <w:tc>
          <w:tcPr>
            <w:tcW w:w="3776" w:type="dxa"/>
            <w:vMerge/>
            <w:tcBorders>
              <w:top w:val="single" w:sz="4" w:space="0" w:color="000000"/>
              <w:left w:val="single" w:sz="4" w:space="0" w:color="000000"/>
              <w:bottom w:val="single" w:sz="4" w:space="0" w:color="000000"/>
              <w:right w:val="single" w:sz="4" w:space="0" w:color="000000"/>
            </w:tcBorders>
            <w:textDirection w:val="lrTb"/>
            <w:vAlign w:val="center"/>
          </w:tcPr>
          <w:p w:rsidR="0067427D" w:rsidRPr="00B6143C" w:rsidP="0067427D">
            <w:pPr>
              <w:bidi w:val="0"/>
              <w:rPr>
                <w:rFonts w:ascii="Times New Roman" w:hAnsi="Times New Roman"/>
              </w:rPr>
            </w:pPr>
          </w:p>
        </w:tc>
        <w:tc>
          <w:tcPr>
            <w:tcW w:w="106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bCs/>
                <w:color w:val="FFFFFF"/>
                <w:sz w:val="20"/>
                <w:szCs w:val="20"/>
              </w:rPr>
              <w:t>2013</w:t>
            </w:r>
          </w:p>
        </w:tc>
        <w:tc>
          <w:tcPr>
            <w:tcW w:w="106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bCs/>
                <w:color w:val="FFFFFF"/>
                <w:sz w:val="20"/>
                <w:szCs w:val="20"/>
              </w:rPr>
              <w:t>2014</w:t>
            </w:r>
          </w:p>
        </w:tc>
        <w:tc>
          <w:tcPr>
            <w:tcW w:w="106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bCs/>
                <w:color w:val="FFFFFF"/>
                <w:sz w:val="20"/>
                <w:szCs w:val="20"/>
              </w:rPr>
              <w:t>2015</w:t>
            </w:r>
          </w:p>
        </w:tc>
        <w:tc>
          <w:tcPr>
            <w:tcW w:w="106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sz w:val="20"/>
                <w:szCs w:val="20"/>
              </w:rPr>
            </w:pPr>
            <w:r w:rsidRPr="00B6143C">
              <w:rPr>
                <w:rFonts w:ascii="Times New Roman" w:hAnsi="Times New Roman"/>
                <w:b/>
                <w:bCs/>
                <w:color w:val="FFFFFF"/>
                <w:sz w:val="20"/>
                <w:szCs w:val="20"/>
              </w:rPr>
              <w:t>2016</w:t>
            </w:r>
          </w:p>
        </w:tc>
        <w:tc>
          <w:tcPr>
            <w:tcW w:w="1234" w:type="dxa"/>
            <w:vMerge/>
            <w:tcBorders>
              <w:top w:val="single" w:sz="4" w:space="0" w:color="000000"/>
              <w:left w:val="single" w:sz="4" w:space="0" w:color="000000"/>
              <w:bottom w:val="single" w:sz="4" w:space="0" w:color="000000"/>
              <w:right w:val="single" w:sz="4" w:space="0" w:color="000000"/>
            </w:tcBorders>
            <w:textDirection w:val="lrTb"/>
            <w:vAlign w:val="center"/>
          </w:tcPr>
          <w:p w:rsidR="0067427D" w:rsidRPr="00B6143C" w:rsidP="0067427D">
            <w:pPr>
              <w:bidi w:val="0"/>
              <w:rPr>
                <w:rFonts w:ascii="Times New Roman" w:hAnsi="Times New Roman"/>
              </w:rPr>
            </w:pPr>
          </w:p>
        </w:tc>
      </w:tr>
      <w:tr>
        <w:tblPrEx>
          <w:tblW w:w="9250" w:type="dxa"/>
          <w:tblCellMar>
            <w:left w:w="0" w:type="dxa"/>
            <w:right w:w="0" w:type="dxa"/>
          </w:tblCellMar>
          <w:tblLook w:val="00A0"/>
        </w:tblPrEx>
        <w:trPr>
          <w:trHeight w:val="255"/>
        </w:trPr>
        <w:tc>
          <w:tcPr>
            <w:tcW w:w="377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rPr>
                <w:rFonts w:ascii="Times New Roman" w:hAnsi="Times New Roman"/>
              </w:rPr>
            </w:pPr>
            <w:r w:rsidRPr="00B6143C">
              <w:rPr>
                <w:rFonts w:ascii="Times New Roman" w:hAnsi="Times New Roman"/>
                <w:b/>
                <w:bCs/>
                <w:sz w:val="20"/>
                <w:szCs w:val="20"/>
              </w:rPr>
              <w:t>Bežné výdavky (600)</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r w:rsidRPr="00B6143C">
              <w:rPr>
                <w:rFonts w:ascii="Times New Roman" w:hAnsi="Times New Roman"/>
                <w:b/>
              </w:rPr>
              <w:t>450 000,-</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r w:rsidRPr="00B6143C">
              <w:rPr>
                <w:rFonts w:ascii="Times New Roman" w:hAnsi="Times New Roman"/>
                <w:b/>
              </w:rPr>
              <w:t>450 000,-</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r w:rsidRPr="00B6143C">
              <w:rPr>
                <w:rFonts w:ascii="Times New Roman" w:hAnsi="Times New Roman"/>
                <w:b/>
              </w:rPr>
              <w:t>450 000,-</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r w:rsidRPr="00B6143C">
              <w:rPr>
                <w:rFonts w:ascii="Times New Roman" w:hAnsi="Times New Roman"/>
                <w:b/>
              </w:rPr>
              <w:t>450 000,-</w:t>
            </w:r>
          </w:p>
        </w:tc>
        <w:tc>
          <w:tcPr>
            <w:tcW w:w="12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7427D" w:rsidRPr="00B6143C" w:rsidP="0067427D">
            <w:pPr>
              <w:bidi w:val="0"/>
              <w:rPr>
                <w:rFonts w:ascii="Times New Roman" w:hAnsi="Times New Roman"/>
              </w:rPr>
            </w:pPr>
            <w:r w:rsidRPr="00B6143C">
              <w:rPr>
                <w:rFonts w:ascii="Times New Roman" w:hAnsi="Times New Roman"/>
              </w:rPr>
              <w:t> </w:t>
            </w:r>
          </w:p>
        </w:tc>
      </w:tr>
      <w:tr>
        <w:tblPrEx>
          <w:tblW w:w="9250" w:type="dxa"/>
          <w:tblCellMar>
            <w:left w:w="0" w:type="dxa"/>
            <w:right w:w="0" w:type="dxa"/>
          </w:tblCellMar>
          <w:tblLook w:val="00A0"/>
        </w:tblPrEx>
        <w:trPr>
          <w:trHeight w:val="255"/>
        </w:trPr>
        <w:tc>
          <w:tcPr>
            <w:tcW w:w="377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rPr>
                <w:rFonts w:ascii="Times New Roman" w:hAnsi="Times New Roman"/>
                <w:sz w:val="20"/>
                <w:szCs w:val="20"/>
              </w:rPr>
            </w:pPr>
            <w:r w:rsidRPr="00B6143C">
              <w:rPr>
                <w:rFonts w:ascii="Times New Roman" w:hAnsi="Times New Roman"/>
                <w:sz w:val="20"/>
                <w:szCs w:val="20"/>
              </w:rPr>
              <w:t xml:space="preserve">  Mzdy, platy, služobné príjmy a ostatné osobné  </w:t>
            </w:r>
          </w:p>
          <w:p w:rsidR="0067427D" w:rsidRPr="00B6143C" w:rsidP="0067427D">
            <w:pPr>
              <w:bidi w:val="0"/>
              <w:rPr>
                <w:rFonts w:ascii="Times New Roman" w:hAnsi="Times New Roman"/>
              </w:rPr>
            </w:pPr>
            <w:r w:rsidRPr="00B6143C">
              <w:rPr>
                <w:rFonts w:ascii="Times New Roman" w:hAnsi="Times New Roman"/>
                <w:sz w:val="20"/>
                <w:szCs w:val="20"/>
              </w:rPr>
              <w:t xml:space="preserve">  vyrovnania (610)</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sz w:val="20"/>
                <w:szCs w:val="20"/>
              </w:rPr>
            </w:pPr>
          </w:p>
        </w:tc>
        <w:tc>
          <w:tcPr>
            <w:tcW w:w="12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7427D" w:rsidRPr="00B6143C" w:rsidP="0067427D">
            <w:pPr>
              <w:bidi w:val="0"/>
              <w:rPr>
                <w:rFonts w:ascii="Times New Roman" w:hAnsi="Times New Roman"/>
              </w:rPr>
            </w:pPr>
            <w:r w:rsidRPr="00B6143C">
              <w:rPr>
                <w:rFonts w:ascii="Times New Roman" w:hAnsi="Times New Roman"/>
              </w:rPr>
              <w:t> </w:t>
            </w:r>
          </w:p>
        </w:tc>
      </w:tr>
      <w:tr>
        <w:tblPrEx>
          <w:tblW w:w="9250" w:type="dxa"/>
          <w:tblCellMar>
            <w:left w:w="0" w:type="dxa"/>
            <w:right w:w="0" w:type="dxa"/>
          </w:tblCellMar>
          <w:tblLook w:val="00A0"/>
        </w:tblPrEx>
        <w:trPr>
          <w:trHeight w:val="255"/>
        </w:trPr>
        <w:tc>
          <w:tcPr>
            <w:tcW w:w="377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rPr>
                <w:rFonts w:ascii="Times New Roman" w:hAnsi="Times New Roman"/>
              </w:rPr>
            </w:pPr>
            <w:r w:rsidRPr="00B6143C">
              <w:rPr>
                <w:rFonts w:ascii="Times New Roman" w:hAnsi="Times New Roman"/>
                <w:sz w:val="20"/>
                <w:szCs w:val="20"/>
              </w:rPr>
              <w:t>  Poistné a príspevok do poisťovní (620)</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sz w:val="20"/>
                <w:szCs w:val="20"/>
              </w:rPr>
            </w:pPr>
          </w:p>
        </w:tc>
        <w:tc>
          <w:tcPr>
            <w:tcW w:w="12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7427D" w:rsidRPr="00B6143C" w:rsidP="0067427D">
            <w:pPr>
              <w:bidi w:val="0"/>
              <w:rPr>
                <w:rFonts w:ascii="Times New Roman" w:hAnsi="Times New Roman"/>
              </w:rPr>
            </w:pPr>
            <w:r w:rsidRPr="00B6143C">
              <w:rPr>
                <w:rFonts w:ascii="Times New Roman" w:hAnsi="Times New Roman"/>
              </w:rPr>
              <w:t> </w:t>
            </w:r>
          </w:p>
        </w:tc>
      </w:tr>
      <w:tr>
        <w:tblPrEx>
          <w:tblW w:w="9250" w:type="dxa"/>
          <w:tblCellMar>
            <w:left w:w="0" w:type="dxa"/>
            <w:right w:w="0" w:type="dxa"/>
          </w:tblCellMar>
          <w:tblLook w:val="00A0"/>
        </w:tblPrEx>
        <w:trPr>
          <w:trHeight w:val="255"/>
        </w:trPr>
        <w:tc>
          <w:tcPr>
            <w:tcW w:w="377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rPr>
                <w:rFonts w:ascii="Times New Roman" w:hAnsi="Times New Roman"/>
              </w:rPr>
            </w:pPr>
            <w:r w:rsidRPr="00B6143C">
              <w:rPr>
                <w:rFonts w:ascii="Times New Roman" w:hAnsi="Times New Roman"/>
                <w:sz w:val="20"/>
                <w:szCs w:val="20"/>
              </w:rPr>
              <w:t>  Tovary a služby (630 – RP 633)</w:t>
            </w:r>
            <w:r w:rsidRPr="00B6143C">
              <w:rPr>
                <w:rFonts w:ascii="Times New Roman" w:hAnsi="Times New Roman"/>
                <w:sz w:val="13"/>
                <w:szCs w:val="13"/>
                <w:vertAlign w:val="superscript"/>
              </w:rPr>
              <w:t>2</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sz w:val="20"/>
                <w:szCs w:val="20"/>
              </w:rPr>
            </w:pPr>
          </w:p>
        </w:tc>
        <w:tc>
          <w:tcPr>
            <w:tcW w:w="12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7427D" w:rsidRPr="00B6143C" w:rsidP="0067427D">
            <w:pPr>
              <w:bidi w:val="0"/>
              <w:rPr>
                <w:rFonts w:ascii="Times New Roman" w:hAnsi="Times New Roman"/>
              </w:rPr>
            </w:pPr>
            <w:r w:rsidRPr="00B6143C">
              <w:rPr>
                <w:rFonts w:ascii="Times New Roman" w:hAnsi="Times New Roman"/>
              </w:rPr>
              <w:t> </w:t>
            </w:r>
          </w:p>
        </w:tc>
      </w:tr>
      <w:tr>
        <w:tblPrEx>
          <w:tblW w:w="9250" w:type="dxa"/>
          <w:tblCellMar>
            <w:left w:w="0" w:type="dxa"/>
            <w:right w:w="0" w:type="dxa"/>
          </w:tblCellMar>
          <w:tblLook w:val="00A0"/>
        </w:tblPrEx>
        <w:trPr>
          <w:trHeight w:val="255"/>
        </w:trPr>
        <w:tc>
          <w:tcPr>
            <w:tcW w:w="377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rPr>
                <w:rFonts w:ascii="Times New Roman" w:hAnsi="Times New Roman"/>
              </w:rPr>
            </w:pPr>
            <w:r w:rsidRPr="00B6143C">
              <w:rPr>
                <w:rFonts w:ascii="Times New Roman" w:hAnsi="Times New Roman"/>
                <w:sz w:val="20"/>
                <w:szCs w:val="20"/>
              </w:rPr>
              <w:t>  Bežné transfery (640)</w:t>
            </w:r>
            <w:r w:rsidRPr="00B6143C">
              <w:rPr>
                <w:rFonts w:ascii="Times New Roman" w:hAnsi="Times New Roman"/>
                <w:sz w:val="13"/>
                <w:szCs w:val="13"/>
                <w:vertAlign w:val="superscript"/>
              </w:rPr>
              <w:t>2</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b/>
              </w:rPr>
            </w:pPr>
            <w:r w:rsidRPr="00B6143C">
              <w:rPr>
                <w:rFonts w:ascii="Times New Roman" w:hAnsi="Times New Roman"/>
                <w:b/>
              </w:rPr>
              <w:t>450 000,-</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r w:rsidRPr="00B6143C">
              <w:rPr>
                <w:rFonts w:ascii="Times New Roman" w:hAnsi="Times New Roman"/>
                <w:b/>
              </w:rPr>
              <w:t>450 000,-</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r w:rsidRPr="00B6143C">
              <w:rPr>
                <w:rFonts w:ascii="Times New Roman" w:hAnsi="Times New Roman"/>
                <w:b/>
              </w:rPr>
              <w:t>450 000,-</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spacing w:line="70" w:lineRule="atLeast"/>
              <w:jc w:val="right"/>
              <w:rPr>
                <w:rFonts w:ascii="Times New Roman" w:hAnsi="Times New Roman"/>
              </w:rPr>
            </w:pPr>
            <w:r w:rsidRPr="00B6143C">
              <w:rPr>
                <w:rFonts w:ascii="Times New Roman" w:hAnsi="Times New Roman"/>
                <w:b/>
              </w:rPr>
              <w:t>450 000,-</w:t>
            </w:r>
          </w:p>
        </w:tc>
        <w:tc>
          <w:tcPr>
            <w:tcW w:w="12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7427D" w:rsidRPr="00B6143C" w:rsidP="0067427D">
            <w:pPr>
              <w:bidi w:val="0"/>
              <w:rPr>
                <w:rFonts w:ascii="Times New Roman" w:hAnsi="Times New Roman"/>
              </w:rPr>
            </w:pPr>
            <w:r w:rsidRPr="00B6143C">
              <w:rPr>
                <w:rFonts w:ascii="Times New Roman" w:hAnsi="Times New Roman"/>
              </w:rPr>
              <w:t> </w:t>
            </w:r>
          </w:p>
        </w:tc>
      </w:tr>
      <w:tr>
        <w:tblPrEx>
          <w:tblW w:w="9250" w:type="dxa"/>
          <w:tblCellMar>
            <w:left w:w="0" w:type="dxa"/>
            <w:right w:w="0" w:type="dxa"/>
          </w:tblCellMar>
          <w:tblLook w:val="00A0"/>
        </w:tblPrEx>
        <w:trPr>
          <w:trHeight w:val="255"/>
        </w:trPr>
        <w:tc>
          <w:tcPr>
            <w:tcW w:w="377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7427D" w:rsidRPr="00B6143C" w:rsidP="0067427D">
            <w:pPr>
              <w:bidi w:val="0"/>
              <w:rPr>
                <w:rFonts w:ascii="Times New Roman" w:hAnsi="Times New Roman"/>
                <w:sz w:val="20"/>
                <w:szCs w:val="20"/>
              </w:rPr>
            </w:pPr>
            <w:r w:rsidRPr="00B6143C">
              <w:rPr>
                <w:rFonts w:ascii="Times New Roman" w:hAnsi="Times New Roman"/>
                <w:sz w:val="20"/>
                <w:szCs w:val="20"/>
              </w:rPr>
              <w:t xml:space="preserve">  Splácanie úrokov a ostatné platby súvisiace  </w:t>
            </w:r>
          </w:p>
          <w:p w:rsidR="0067427D" w:rsidRPr="00B6143C" w:rsidP="0067427D">
            <w:pPr>
              <w:bidi w:val="0"/>
              <w:rPr>
                <w:rFonts w:ascii="Times New Roman" w:hAnsi="Times New Roman"/>
              </w:rPr>
            </w:pPr>
            <w:r w:rsidRPr="00B6143C">
              <w:rPr>
                <w:rFonts w:ascii="Times New Roman" w:hAnsi="Times New Roman"/>
                <w:sz w:val="20"/>
                <w:szCs w:val="20"/>
              </w:rPr>
              <w:t xml:space="preserve">  s úvermi, pôžičkami a NFV (650)</w:t>
            </w:r>
            <w:r w:rsidRPr="00B6143C">
              <w:rPr>
                <w:rFonts w:ascii="Times New Roman" w:hAnsi="Times New Roman"/>
                <w:sz w:val="13"/>
                <w:szCs w:val="13"/>
                <w:vertAlign w:val="superscript"/>
              </w:rPr>
              <w:t>2</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sz w:val="20"/>
                <w:szCs w:val="20"/>
              </w:rPr>
              <w:t> </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sz w:val="20"/>
                <w:szCs w:val="20"/>
              </w:rPr>
              <w:t> </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sz w:val="20"/>
                <w:szCs w:val="20"/>
              </w:rPr>
              <w:t> </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sz w:val="20"/>
                <w:szCs w:val="20"/>
              </w:rPr>
            </w:pPr>
            <w:r w:rsidRPr="00B6143C">
              <w:rPr>
                <w:rFonts w:ascii="Times New Roman" w:hAnsi="Times New Roman"/>
                <w:sz w:val="20"/>
                <w:szCs w:val="20"/>
              </w:rPr>
              <w:t> </w:t>
            </w:r>
          </w:p>
        </w:tc>
        <w:tc>
          <w:tcPr>
            <w:tcW w:w="12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7427D" w:rsidRPr="00B6143C" w:rsidP="0067427D">
            <w:pPr>
              <w:bidi w:val="0"/>
              <w:rPr>
                <w:rFonts w:ascii="Times New Roman" w:hAnsi="Times New Roman"/>
              </w:rPr>
            </w:pPr>
            <w:r w:rsidRPr="00B6143C">
              <w:rPr>
                <w:rFonts w:ascii="Times New Roman" w:hAnsi="Times New Roman"/>
              </w:rPr>
              <w:t> </w:t>
            </w:r>
          </w:p>
        </w:tc>
      </w:tr>
      <w:tr>
        <w:tblPrEx>
          <w:tblW w:w="9250" w:type="dxa"/>
          <w:tblCellMar>
            <w:left w:w="0" w:type="dxa"/>
            <w:right w:w="0" w:type="dxa"/>
          </w:tblCellMar>
          <w:tblLook w:val="00A0"/>
        </w:tblPrEx>
        <w:trPr>
          <w:trHeight w:val="255"/>
        </w:trPr>
        <w:tc>
          <w:tcPr>
            <w:tcW w:w="377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rPr>
                <w:rFonts w:ascii="Times New Roman" w:hAnsi="Times New Roman"/>
              </w:rPr>
            </w:pPr>
            <w:r w:rsidRPr="00B6143C">
              <w:rPr>
                <w:rFonts w:ascii="Times New Roman" w:hAnsi="Times New Roman"/>
                <w:b/>
                <w:bCs/>
                <w:sz w:val="20"/>
                <w:szCs w:val="20"/>
              </w:rPr>
              <w:t>Kapitálové výdavky (700)</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Cs/>
                <w:sz w:val="20"/>
                <w:szCs w:val="20"/>
              </w:rPr>
              <w:t> </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Cs/>
                <w:sz w:val="20"/>
                <w:szCs w:val="20"/>
              </w:rPr>
              <w:t> </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Cs/>
                <w:sz w:val="20"/>
                <w:szCs w:val="20"/>
              </w:rPr>
              <w:t> </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sz w:val="20"/>
                <w:szCs w:val="20"/>
              </w:rPr>
            </w:pPr>
            <w:r w:rsidRPr="00B6143C">
              <w:rPr>
                <w:rFonts w:ascii="Times New Roman" w:hAnsi="Times New Roman"/>
                <w:bCs/>
                <w:sz w:val="20"/>
                <w:szCs w:val="20"/>
              </w:rPr>
              <w:t> </w:t>
            </w:r>
          </w:p>
        </w:tc>
        <w:tc>
          <w:tcPr>
            <w:tcW w:w="12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7427D" w:rsidRPr="00B6143C" w:rsidP="0067427D">
            <w:pPr>
              <w:bidi w:val="0"/>
              <w:rPr>
                <w:rFonts w:ascii="Times New Roman" w:hAnsi="Times New Roman"/>
              </w:rPr>
            </w:pPr>
            <w:r w:rsidRPr="00B6143C">
              <w:rPr>
                <w:rFonts w:ascii="Times New Roman" w:hAnsi="Times New Roman"/>
              </w:rPr>
              <w:t> </w:t>
            </w:r>
          </w:p>
        </w:tc>
      </w:tr>
      <w:tr>
        <w:tblPrEx>
          <w:tblW w:w="9250" w:type="dxa"/>
          <w:tblCellMar>
            <w:left w:w="0" w:type="dxa"/>
            <w:right w:w="0" w:type="dxa"/>
          </w:tblCellMar>
          <w:tblLook w:val="00A0"/>
        </w:tblPrEx>
        <w:trPr>
          <w:trHeight w:val="255"/>
        </w:trPr>
        <w:tc>
          <w:tcPr>
            <w:tcW w:w="377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rPr>
                <w:rFonts w:ascii="Times New Roman" w:hAnsi="Times New Roman"/>
              </w:rPr>
            </w:pPr>
            <w:r w:rsidRPr="00B6143C">
              <w:rPr>
                <w:rFonts w:ascii="Times New Roman" w:hAnsi="Times New Roman"/>
                <w:sz w:val="20"/>
                <w:szCs w:val="20"/>
              </w:rPr>
              <w:t>  Obstarávanie kapitálových aktív (710)</w:t>
            </w:r>
            <w:r w:rsidRPr="00B6143C">
              <w:rPr>
                <w:rFonts w:ascii="Times New Roman" w:hAnsi="Times New Roman"/>
                <w:sz w:val="13"/>
                <w:szCs w:val="13"/>
                <w:vertAlign w:val="superscript"/>
              </w:rPr>
              <w:t>2</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sz w:val="20"/>
                <w:szCs w:val="20"/>
              </w:rPr>
              <w:t> </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sz w:val="20"/>
                <w:szCs w:val="20"/>
              </w:rPr>
              <w:t> </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sz w:val="20"/>
                <w:szCs w:val="20"/>
              </w:rPr>
              <w:t> </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sz w:val="20"/>
                <w:szCs w:val="20"/>
              </w:rPr>
            </w:pPr>
            <w:r w:rsidRPr="00B6143C">
              <w:rPr>
                <w:rFonts w:ascii="Times New Roman" w:hAnsi="Times New Roman"/>
                <w:sz w:val="20"/>
                <w:szCs w:val="20"/>
              </w:rPr>
              <w:t> </w:t>
            </w:r>
          </w:p>
        </w:tc>
        <w:tc>
          <w:tcPr>
            <w:tcW w:w="12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7427D" w:rsidRPr="00B6143C" w:rsidP="0067427D">
            <w:pPr>
              <w:bidi w:val="0"/>
              <w:rPr>
                <w:rFonts w:ascii="Times New Roman" w:hAnsi="Times New Roman"/>
              </w:rPr>
            </w:pPr>
            <w:r w:rsidRPr="00B6143C">
              <w:rPr>
                <w:rFonts w:ascii="Times New Roman" w:hAnsi="Times New Roman"/>
              </w:rPr>
              <w:t> </w:t>
            </w:r>
          </w:p>
        </w:tc>
      </w:tr>
      <w:tr>
        <w:tblPrEx>
          <w:tblW w:w="9250" w:type="dxa"/>
          <w:tblCellMar>
            <w:left w:w="0" w:type="dxa"/>
            <w:right w:w="0" w:type="dxa"/>
          </w:tblCellMar>
          <w:tblLook w:val="00A0"/>
        </w:tblPrEx>
        <w:trPr>
          <w:trHeight w:val="255"/>
        </w:trPr>
        <w:tc>
          <w:tcPr>
            <w:tcW w:w="3776" w:type="dxa"/>
            <w:tcBorders>
              <w:top w:val="none" w:sz="0" w:space="0" w:color="auto"/>
              <w:left w:val="single" w:sz="4" w:space="0" w:color="000000"/>
              <w:bottom w:val="single" w:sz="4" w:space="0" w:color="auto"/>
              <w:right w:val="single" w:sz="4" w:space="0" w:color="000000"/>
            </w:tcBorders>
            <w:tcMar>
              <w:top w:w="0" w:type="dxa"/>
              <w:left w:w="70" w:type="dxa"/>
              <w:bottom w:w="0" w:type="dxa"/>
              <w:right w:w="70" w:type="dxa"/>
            </w:tcMar>
            <w:textDirection w:val="lrTb"/>
            <w:vAlign w:val="top"/>
          </w:tcPr>
          <w:p w:rsidR="0067427D" w:rsidRPr="00B6143C" w:rsidP="0067427D">
            <w:pPr>
              <w:bidi w:val="0"/>
              <w:rPr>
                <w:rFonts w:ascii="Times New Roman" w:hAnsi="Times New Roman"/>
              </w:rPr>
            </w:pPr>
            <w:r w:rsidRPr="00B6143C">
              <w:rPr>
                <w:rFonts w:ascii="Times New Roman" w:hAnsi="Times New Roman"/>
                <w:sz w:val="20"/>
                <w:szCs w:val="20"/>
              </w:rPr>
              <w:t>  Kapitálové transfery (720)</w:t>
            </w:r>
            <w:r w:rsidRPr="00B6143C">
              <w:rPr>
                <w:rFonts w:ascii="Times New Roman" w:hAnsi="Times New Roman"/>
                <w:sz w:val="13"/>
                <w:szCs w:val="13"/>
                <w:vertAlign w:val="superscript"/>
              </w:rPr>
              <w:t>2</w:t>
            </w:r>
          </w:p>
        </w:tc>
        <w:tc>
          <w:tcPr>
            <w:tcW w:w="1060" w:type="dxa"/>
            <w:tcBorders>
              <w:top w:val="none" w:sz="0"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sz w:val="20"/>
                <w:szCs w:val="20"/>
              </w:rPr>
              <w:t> </w:t>
            </w:r>
          </w:p>
        </w:tc>
        <w:tc>
          <w:tcPr>
            <w:tcW w:w="1060" w:type="dxa"/>
            <w:tcBorders>
              <w:top w:val="none" w:sz="0"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sz w:val="20"/>
                <w:szCs w:val="20"/>
              </w:rPr>
              <w:t> </w:t>
            </w:r>
          </w:p>
        </w:tc>
        <w:tc>
          <w:tcPr>
            <w:tcW w:w="1060" w:type="dxa"/>
            <w:tcBorders>
              <w:top w:val="none" w:sz="0"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sz w:val="20"/>
                <w:szCs w:val="20"/>
              </w:rPr>
              <w:t> </w:t>
            </w:r>
          </w:p>
        </w:tc>
        <w:tc>
          <w:tcPr>
            <w:tcW w:w="1060" w:type="dxa"/>
            <w:tcBorders>
              <w:top w:val="single" w:sz="4" w:space="0" w:color="000000"/>
              <w:left w:val="none" w:sz="0" w:space="0" w:color="auto"/>
              <w:bottom w:val="single" w:sz="4" w:space="0" w:color="auto"/>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sz w:val="20"/>
                <w:szCs w:val="20"/>
              </w:rPr>
            </w:pPr>
            <w:r w:rsidRPr="00B6143C">
              <w:rPr>
                <w:rFonts w:ascii="Times New Roman" w:hAnsi="Times New Roman"/>
                <w:sz w:val="20"/>
                <w:szCs w:val="20"/>
              </w:rPr>
              <w:t> </w:t>
            </w:r>
          </w:p>
        </w:tc>
        <w:tc>
          <w:tcPr>
            <w:tcW w:w="1234" w:type="dxa"/>
            <w:tcBorders>
              <w:top w:val="none" w:sz="0"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bottom"/>
          </w:tcPr>
          <w:p w:rsidR="0067427D" w:rsidRPr="00B6143C" w:rsidP="0067427D">
            <w:pPr>
              <w:bidi w:val="0"/>
              <w:rPr>
                <w:rFonts w:ascii="Times New Roman" w:hAnsi="Times New Roman"/>
              </w:rPr>
            </w:pPr>
            <w:r w:rsidRPr="00B6143C">
              <w:rPr>
                <w:rFonts w:ascii="Times New Roman" w:hAnsi="Times New Roman"/>
              </w:rPr>
              <w:t> </w:t>
            </w:r>
          </w:p>
        </w:tc>
      </w:tr>
      <w:tr>
        <w:tblPrEx>
          <w:tblW w:w="9250" w:type="dxa"/>
          <w:tblCellMar>
            <w:left w:w="0" w:type="dxa"/>
            <w:right w:w="0" w:type="dxa"/>
          </w:tblCellMar>
          <w:tblLook w:val="00A0"/>
        </w:tblPrEx>
        <w:trPr>
          <w:trHeight w:val="255"/>
        </w:trPr>
        <w:tc>
          <w:tcPr>
            <w:tcW w:w="3776"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rPr>
                <w:rFonts w:ascii="Times New Roman" w:hAnsi="Times New Roman"/>
              </w:rPr>
            </w:pPr>
            <w:r w:rsidRPr="00B6143C">
              <w:rPr>
                <w:rFonts w:ascii="Times New Roman" w:hAnsi="Times New Roman"/>
                <w:b/>
                <w:bCs/>
                <w:sz w:val="20"/>
                <w:szCs w:val="20"/>
              </w:rPr>
              <w:t>Výdavky z transakcií s finančnými aktívami a finančnými pasívami (800)</w:t>
            </w:r>
          </w:p>
        </w:tc>
        <w:tc>
          <w:tcPr>
            <w:tcW w:w="1060" w:type="dxa"/>
            <w:tcBorders>
              <w:top w:val="single" w:sz="4"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Cs/>
                <w:sz w:val="20"/>
                <w:szCs w:val="20"/>
              </w:rPr>
              <w:t> </w:t>
            </w:r>
          </w:p>
        </w:tc>
        <w:tc>
          <w:tcPr>
            <w:tcW w:w="1060" w:type="dxa"/>
            <w:tcBorders>
              <w:top w:val="single" w:sz="4"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Cs/>
                <w:sz w:val="20"/>
                <w:szCs w:val="20"/>
              </w:rPr>
              <w:t> </w:t>
            </w:r>
          </w:p>
        </w:tc>
        <w:tc>
          <w:tcPr>
            <w:tcW w:w="1060" w:type="dxa"/>
            <w:tcBorders>
              <w:top w:val="single" w:sz="4"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Cs/>
                <w:sz w:val="20"/>
                <w:szCs w:val="20"/>
              </w:rPr>
              <w:t> </w:t>
            </w:r>
          </w:p>
        </w:tc>
        <w:tc>
          <w:tcPr>
            <w:tcW w:w="1060" w:type="dxa"/>
            <w:tcBorders>
              <w:top w:val="single" w:sz="4"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Cs/>
              </w:rPr>
              <w:t> </w:t>
            </w:r>
          </w:p>
        </w:tc>
        <w:tc>
          <w:tcPr>
            <w:tcW w:w="1234" w:type="dxa"/>
            <w:tcBorders>
              <w:top w:val="single" w:sz="4"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7427D" w:rsidRPr="00B6143C" w:rsidP="0067427D">
            <w:pPr>
              <w:bidi w:val="0"/>
              <w:rPr>
                <w:rFonts w:ascii="Times New Roman" w:hAnsi="Times New Roman"/>
              </w:rPr>
            </w:pPr>
            <w:r w:rsidRPr="00B6143C">
              <w:rPr>
                <w:rFonts w:ascii="Times New Roman" w:hAnsi="Times New Roman"/>
              </w:rPr>
              <w:t> </w:t>
            </w:r>
          </w:p>
        </w:tc>
      </w:tr>
      <w:tr>
        <w:tblPrEx>
          <w:tblW w:w="9250" w:type="dxa"/>
          <w:tblCellMar>
            <w:left w:w="0" w:type="dxa"/>
            <w:right w:w="0" w:type="dxa"/>
          </w:tblCellMar>
          <w:tblLook w:val="00A0"/>
        </w:tblPrEx>
        <w:trPr>
          <w:trHeight w:val="255"/>
        </w:trPr>
        <w:tc>
          <w:tcPr>
            <w:tcW w:w="3776"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67427D" w:rsidRPr="00B6143C" w:rsidP="0067427D">
            <w:pPr>
              <w:bidi w:val="0"/>
              <w:rPr>
                <w:rFonts w:ascii="Times New Roman" w:hAnsi="Times New Roman"/>
              </w:rPr>
            </w:pPr>
            <w:r w:rsidRPr="00B6143C">
              <w:rPr>
                <w:rFonts w:ascii="Times New Roman" w:hAnsi="Times New Roman"/>
                <w:b/>
                <w:bCs/>
                <w:color w:val="FFFFFF"/>
                <w:sz w:val="20"/>
                <w:szCs w:val="20"/>
              </w:rPr>
              <w:t>Dopad na výdavky verejnej správy celkom</w:t>
            </w:r>
          </w:p>
        </w:tc>
        <w:tc>
          <w:tcPr>
            <w:tcW w:w="106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rPr>
              <w:t>450 000,-</w:t>
            </w:r>
          </w:p>
        </w:tc>
        <w:tc>
          <w:tcPr>
            <w:tcW w:w="106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rPr>
              <w:t>450 000,-</w:t>
            </w:r>
          </w:p>
        </w:tc>
        <w:tc>
          <w:tcPr>
            <w:tcW w:w="106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rPr>
              <w:t>450 000,-</w:t>
            </w:r>
          </w:p>
        </w:tc>
        <w:tc>
          <w:tcPr>
            <w:tcW w:w="106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sz w:val="20"/>
                <w:szCs w:val="20"/>
              </w:rPr>
            </w:pPr>
            <w:r w:rsidRPr="00B6143C">
              <w:rPr>
                <w:rFonts w:ascii="Times New Roman" w:hAnsi="Times New Roman"/>
                <w:b/>
              </w:rPr>
              <w:t>450 000,-</w:t>
            </w:r>
          </w:p>
        </w:tc>
        <w:tc>
          <w:tcPr>
            <w:tcW w:w="1234"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67427D" w:rsidRPr="00B6143C" w:rsidP="0067427D">
            <w:pPr>
              <w:bidi w:val="0"/>
              <w:rPr>
                <w:rFonts w:ascii="Times New Roman" w:hAnsi="Times New Roman"/>
              </w:rPr>
            </w:pPr>
            <w:r w:rsidRPr="00B6143C">
              <w:rPr>
                <w:rFonts w:ascii="Times New Roman" w:hAnsi="Times New Roman"/>
                <w:color w:val="FFFFFF"/>
              </w:rPr>
              <w:t> </w:t>
            </w:r>
          </w:p>
        </w:tc>
      </w:tr>
      <w:tr>
        <w:tblPrEx>
          <w:tblW w:w="9250" w:type="dxa"/>
          <w:tblCellMar>
            <w:left w:w="0" w:type="dxa"/>
            <w:right w:w="0" w:type="dxa"/>
          </w:tblCellMar>
          <w:tblLook w:val="00A0"/>
        </w:tblPrEx>
        <w:trPr>
          <w:trHeight w:val="255"/>
        </w:trPr>
        <w:tc>
          <w:tcPr>
            <w:tcW w:w="377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rPr>
                <w:rFonts w:ascii="Times New Roman" w:hAnsi="Times New Roman"/>
              </w:rPr>
            </w:pPr>
            <w:r w:rsidRPr="00B6143C">
              <w:rPr>
                <w:rFonts w:ascii="Times New Roman" w:hAnsi="Times New Roman"/>
                <w:b/>
                <w:bCs/>
                <w:sz w:val="20"/>
                <w:szCs w:val="20"/>
              </w:rPr>
              <w:t>  z toho výdavky na ŠR</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rPr>
              <w:t>450 000,-</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rPr>
              <w:t>450 000,-</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
              </w:rPr>
              <w:t>450 000,-</w:t>
            </w:r>
          </w:p>
        </w:tc>
        <w:tc>
          <w:tcPr>
            <w:tcW w:w="10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sz w:val="20"/>
                <w:szCs w:val="20"/>
              </w:rPr>
            </w:pPr>
            <w:r w:rsidRPr="00B6143C">
              <w:rPr>
                <w:rFonts w:ascii="Times New Roman" w:hAnsi="Times New Roman"/>
                <w:b/>
              </w:rPr>
              <w:t>450 000,-</w:t>
            </w:r>
          </w:p>
        </w:tc>
        <w:tc>
          <w:tcPr>
            <w:tcW w:w="12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7427D" w:rsidRPr="00B6143C" w:rsidP="0067427D">
            <w:pPr>
              <w:bidi w:val="0"/>
              <w:rPr>
                <w:rFonts w:ascii="Times New Roman" w:hAnsi="Times New Roman"/>
              </w:rPr>
            </w:pPr>
            <w:r w:rsidRPr="00B6143C">
              <w:rPr>
                <w:rFonts w:ascii="Times New Roman" w:hAnsi="Times New Roman"/>
              </w:rPr>
              <w:t> </w:t>
            </w:r>
          </w:p>
        </w:tc>
      </w:tr>
      <w:tr>
        <w:tblPrEx>
          <w:tblW w:w="9250" w:type="dxa"/>
          <w:tblCellMar>
            <w:left w:w="0" w:type="dxa"/>
            <w:right w:w="0" w:type="dxa"/>
          </w:tblCellMar>
          <w:tblLook w:val="00A0"/>
        </w:tblPrEx>
        <w:trPr>
          <w:trHeight w:val="255"/>
        </w:trPr>
        <w:tc>
          <w:tcPr>
            <w:tcW w:w="37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rPr>
                <w:rFonts w:ascii="Times New Roman" w:hAnsi="Times New Roman"/>
              </w:rPr>
            </w:pPr>
            <w:r w:rsidRPr="00B6143C">
              <w:rPr>
                <w:rFonts w:ascii="Times New Roman" w:hAnsi="Times New Roman"/>
                <w:sz w:val="20"/>
                <w:szCs w:val="20"/>
              </w:rPr>
              <w:t>  Bežné výdavky</w:t>
            </w:r>
            <w:r w:rsidRPr="00B6143C">
              <w:rPr>
                <w:rFonts w:ascii="Times New Roman" w:hAnsi="Times New Roman"/>
                <w:b/>
                <w:bCs/>
                <w:sz w:val="20"/>
                <w:szCs w:val="20"/>
              </w:rPr>
              <w:t xml:space="preserve"> </w:t>
            </w:r>
            <w:r w:rsidRPr="00B6143C">
              <w:rPr>
                <w:rFonts w:ascii="Times New Roman" w:hAnsi="Times New Roman"/>
                <w:sz w:val="20"/>
                <w:szCs w:val="20"/>
              </w:rPr>
              <w:t>(600)</w:t>
            </w:r>
            <w:r w:rsidRPr="00B6143C">
              <w:rPr>
                <w:rFonts w:ascii="Times New Roman" w:hAnsi="Times New Roman"/>
                <w:b/>
                <w:bCs/>
                <w:sz w:val="20"/>
                <w:szCs w:val="20"/>
              </w:rPr>
              <w:t xml:space="preserve"> </w:t>
            </w:r>
          </w:p>
        </w:tc>
        <w:tc>
          <w:tcPr>
            <w:tcW w:w="106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p>
        </w:tc>
        <w:tc>
          <w:tcPr>
            <w:tcW w:w="106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p>
        </w:tc>
        <w:tc>
          <w:tcPr>
            <w:tcW w:w="106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p>
        </w:tc>
        <w:tc>
          <w:tcPr>
            <w:tcW w:w="106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sz w:val="20"/>
                <w:szCs w:val="20"/>
              </w:rPr>
            </w:pPr>
          </w:p>
        </w:tc>
        <w:tc>
          <w:tcPr>
            <w:tcW w:w="1234"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7427D" w:rsidRPr="00B6143C" w:rsidP="0067427D">
            <w:pPr>
              <w:bidi w:val="0"/>
              <w:rPr>
                <w:rFonts w:ascii="Times New Roman" w:hAnsi="Times New Roman"/>
              </w:rPr>
            </w:pPr>
            <w:r w:rsidRPr="00B6143C">
              <w:rPr>
                <w:rFonts w:ascii="Times New Roman" w:hAnsi="Times New Roman"/>
              </w:rPr>
              <w:t> </w:t>
            </w:r>
          </w:p>
        </w:tc>
      </w:tr>
      <w:tr>
        <w:tblPrEx>
          <w:tblW w:w="9250" w:type="dxa"/>
          <w:tblCellMar>
            <w:left w:w="0" w:type="dxa"/>
            <w:right w:w="0" w:type="dxa"/>
          </w:tblCellMar>
          <w:tblLook w:val="00A0"/>
        </w:tblPrEx>
        <w:trPr>
          <w:trHeight w:val="255"/>
        </w:trPr>
        <w:tc>
          <w:tcPr>
            <w:tcW w:w="37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rPr>
                <w:rFonts w:ascii="Times New Roman" w:hAnsi="Times New Roman"/>
                <w:sz w:val="20"/>
                <w:szCs w:val="20"/>
              </w:rPr>
            </w:pPr>
            <w:r w:rsidRPr="00B6143C">
              <w:rPr>
                <w:rFonts w:ascii="Times New Roman" w:hAnsi="Times New Roman"/>
                <w:b/>
                <w:bCs/>
                <w:sz w:val="20"/>
                <w:szCs w:val="20"/>
              </w:rPr>
              <w:t>         </w:t>
            </w:r>
            <w:r w:rsidRPr="00B6143C">
              <w:rPr>
                <w:rFonts w:ascii="Times New Roman" w:hAnsi="Times New Roman"/>
                <w:sz w:val="20"/>
                <w:szCs w:val="20"/>
              </w:rPr>
              <w:t xml:space="preserve">Mzdy, platy, služobné príjmy a ostatné osobné   </w:t>
            </w:r>
          </w:p>
          <w:p w:rsidR="0067427D" w:rsidRPr="00B6143C" w:rsidP="0067427D">
            <w:pPr>
              <w:bidi w:val="0"/>
              <w:rPr>
                <w:rFonts w:ascii="Times New Roman" w:hAnsi="Times New Roman"/>
              </w:rPr>
            </w:pPr>
            <w:r w:rsidRPr="00B6143C">
              <w:rPr>
                <w:rFonts w:ascii="Times New Roman" w:hAnsi="Times New Roman"/>
                <w:sz w:val="20"/>
                <w:szCs w:val="20"/>
              </w:rPr>
              <w:t xml:space="preserve">         vyrovnania (610)</w:t>
            </w:r>
          </w:p>
        </w:tc>
        <w:tc>
          <w:tcPr>
            <w:tcW w:w="106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Cs/>
                <w:sz w:val="20"/>
                <w:szCs w:val="20"/>
              </w:rPr>
              <w:t> </w:t>
            </w:r>
          </w:p>
        </w:tc>
        <w:tc>
          <w:tcPr>
            <w:tcW w:w="106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Cs/>
                <w:sz w:val="20"/>
                <w:szCs w:val="20"/>
              </w:rPr>
              <w:t> </w:t>
            </w:r>
          </w:p>
        </w:tc>
        <w:tc>
          <w:tcPr>
            <w:tcW w:w="106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Cs/>
                <w:sz w:val="20"/>
                <w:szCs w:val="20"/>
              </w:rPr>
              <w:t> </w:t>
            </w:r>
          </w:p>
        </w:tc>
        <w:tc>
          <w:tcPr>
            <w:tcW w:w="106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sz w:val="20"/>
                <w:szCs w:val="20"/>
              </w:rPr>
            </w:pPr>
            <w:r w:rsidRPr="00B6143C">
              <w:rPr>
                <w:rFonts w:ascii="Times New Roman" w:hAnsi="Times New Roman"/>
                <w:bCs/>
                <w:sz w:val="20"/>
                <w:szCs w:val="20"/>
              </w:rPr>
              <w:t> </w:t>
            </w:r>
          </w:p>
        </w:tc>
        <w:tc>
          <w:tcPr>
            <w:tcW w:w="1234"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7427D" w:rsidRPr="00B6143C" w:rsidP="0067427D">
            <w:pPr>
              <w:bidi w:val="0"/>
              <w:rPr>
                <w:rFonts w:ascii="Times New Roman" w:hAnsi="Times New Roman"/>
              </w:rPr>
            </w:pPr>
            <w:r w:rsidRPr="00B6143C">
              <w:rPr>
                <w:rFonts w:ascii="Times New Roman" w:hAnsi="Times New Roman"/>
              </w:rPr>
              <w:t> </w:t>
            </w:r>
          </w:p>
        </w:tc>
      </w:tr>
      <w:tr>
        <w:tblPrEx>
          <w:tblW w:w="9250" w:type="dxa"/>
          <w:tblCellMar>
            <w:left w:w="0" w:type="dxa"/>
            <w:right w:w="0" w:type="dxa"/>
          </w:tblCellMar>
          <w:tblLook w:val="00A0"/>
        </w:tblPrEx>
        <w:trPr>
          <w:trHeight w:val="255"/>
        </w:trPr>
        <w:tc>
          <w:tcPr>
            <w:tcW w:w="37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rPr>
                <w:rFonts w:ascii="Times New Roman" w:hAnsi="Times New Roman"/>
              </w:rPr>
            </w:pPr>
            <w:r w:rsidRPr="00B6143C">
              <w:rPr>
                <w:rFonts w:ascii="Times New Roman" w:hAnsi="Times New Roman"/>
                <w:sz w:val="20"/>
                <w:szCs w:val="20"/>
              </w:rPr>
              <w:t>  Kapitálové výdavky (700)</w:t>
            </w:r>
          </w:p>
        </w:tc>
        <w:tc>
          <w:tcPr>
            <w:tcW w:w="106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Cs/>
                <w:sz w:val="20"/>
                <w:szCs w:val="20"/>
              </w:rPr>
              <w:t> </w:t>
            </w:r>
          </w:p>
        </w:tc>
        <w:tc>
          <w:tcPr>
            <w:tcW w:w="106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Cs/>
                <w:sz w:val="20"/>
                <w:szCs w:val="20"/>
              </w:rPr>
              <w:t> </w:t>
            </w:r>
          </w:p>
        </w:tc>
        <w:tc>
          <w:tcPr>
            <w:tcW w:w="106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Cs/>
                <w:sz w:val="20"/>
                <w:szCs w:val="20"/>
              </w:rPr>
              <w:t> </w:t>
            </w:r>
          </w:p>
        </w:tc>
        <w:tc>
          <w:tcPr>
            <w:tcW w:w="106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sz w:val="20"/>
                <w:szCs w:val="20"/>
              </w:rPr>
            </w:pPr>
            <w:r w:rsidRPr="00B6143C">
              <w:rPr>
                <w:rFonts w:ascii="Times New Roman" w:hAnsi="Times New Roman"/>
                <w:bCs/>
                <w:sz w:val="20"/>
                <w:szCs w:val="20"/>
              </w:rPr>
              <w:t> </w:t>
            </w:r>
          </w:p>
        </w:tc>
        <w:tc>
          <w:tcPr>
            <w:tcW w:w="1234"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7427D" w:rsidRPr="00B6143C" w:rsidP="0067427D">
            <w:pPr>
              <w:bidi w:val="0"/>
              <w:rPr>
                <w:rFonts w:ascii="Times New Roman" w:hAnsi="Times New Roman"/>
              </w:rPr>
            </w:pPr>
            <w:r w:rsidRPr="00B6143C">
              <w:rPr>
                <w:rFonts w:ascii="Times New Roman" w:hAnsi="Times New Roman"/>
              </w:rPr>
              <w:t> </w:t>
            </w:r>
          </w:p>
        </w:tc>
      </w:tr>
      <w:tr>
        <w:tblPrEx>
          <w:tblW w:w="9250" w:type="dxa"/>
          <w:tblCellMar>
            <w:left w:w="0" w:type="dxa"/>
            <w:right w:w="0" w:type="dxa"/>
          </w:tblCellMar>
          <w:tblLook w:val="00A0"/>
        </w:tblPrEx>
        <w:trPr>
          <w:trHeight w:val="255"/>
        </w:trPr>
        <w:tc>
          <w:tcPr>
            <w:tcW w:w="37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rPr>
                <w:rFonts w:ascii="Times New Roman" w:hAnsi="Times New Roman"/>
                <w:sz w:val="20"/>
                <w:szCs w:val="20"/>
              </w:rPr>
            </w:pPr>
            <w:r w:rsidRPr="00B6143C">
              <w:rPr>
                <w:rFonts w:ascii="Times New Roman" w:hAnsi="Times New Roman"/>
                <w:sz w:val="20"/>
                <w:szCs w:val="20"/>
              </w:rPr>
              <w:t xml:space="preserve">        Výdavky z transakcií s  finančnými  aktívami a </w:t>
            </w:r>
          </w:p>
          <w:p w:rsidR="0067427D" w:rsidRPr="00B6143C" w:rsidP="0067427D">
            <w:pPr>
              <w:bidi w:val="0"/>
              <w:rPr>
                <w:rFonts w:ascii="Times New Roman" w:hAnsi="Times New Roman"/>
              </w:rPr>
            </w:pPr>
            <w:r w:rsidRPr="00B6143C">
              <w:rPr>
                <w:rFonts w:ascii="Times New Roman" w:hAnsi="Times New Roman"/>
                <w:sz w:val="20"/>
                <w:szCs w:val="20"/>
              </w:rPr>
              <w:t xml:space="preserve">         finančnými pasívami (800)</w:t>
            </w:r>
          </w:p>
        </w:tc>
        <w:tc>
          <w:tcPr>
            <w:tcW w:w="106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Cs/>
                <w:sz w:val="20"/>
                <w:szCs w:val="20"/>
              </w:rPr>
              <w:t> </w:t>
            </w:r>
          </w:p>
        </w:tc>
        <w:tc>
          <w:tcPr>
            <w:tcW w:w="106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Cs/>
                <w:sz w:val="20"/>
                <w:szCs w:val="20"/>
              </w:rPr>
              <w:t> </w:t>
            </w:r>
          </w:p>
        </w:tc>
        <w:tc>
          <w:tcPr>
            <w:tcW w:w="106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rPr>
            </w:pPr>
            <w:r w:rsidRPr="00B6143C">
              <w:rPr>
                <w:rFonts w:ascii="Times New Roman" w:hAnsi="Times New Roman"/>
                <w:bCs/>
                <w:sz w:val="20"/>
                <w:szCs w:val="20"/>
              </w:rPr>
              <w:t> </w:t>
            </w:r>
          </w:p>
        </w:tc>
        <w:tc>
          <w:tcPr>
            <w:tcW w:w="106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7427D" w:rsidRPr="00B6143C" w:rsidP="0067427D">
            <w:pPr>
              <w:bidi w:val="0"/>
              <w:jc w:val="center"/>
              <w:rPr>
                <w:rFonts w:ascii="Times New Roman" w:hAnsi="Times New Roman"/>
                <w:sz w:val="20"/>
                <w:szCs w:val="20"/>
              </w:rPr>
            </w:pPr>
            <w:r w:rsidRPr="00B6143C">
              <w:rPr>
                <w:rFonts w:ascii="Times New Roman" w:hAnsi="Times New Roman"/>
                <w:bCs/>
                <w:sz w:val="20"/>
                <w:szCs w:val="20"/>
              </w:rPr>
              <w:t> </w:t>
            </w:r>
          </w:p>
        </w:tc>
        <w:tc>
          <w:tcPr>
            <w:tcW w:w="1234"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7427D" w:rsidRPr="00B6143C" w:rsidP="0067427D">
            <w:pPr>
              <w:bidi w:val="0"/>
              <w:rPr>
                <w:rFonts w:ascii="Times New Roman" w:hAnsi="Times New Roman"/>
              </w:rPr>
            </w:pPr>
            <w:r w:rsidRPr="00B6143C">
              <w:rPr>
                <w:rFonts w:ascii="Times New Roman" w:hAnsi="Times New Roman"/>
              </w:rPr>
              <w:t> </w:t>
            </w:r>
          </w:p>
        </w:tc>
      </w:tr>
      <w:tr>
        <w:tblPrEx>
          <w:tblW w:w="9250" w:type="dxa"/>
          <w:tblCellMar>
            <w:left w:w="0" w:type="dxa"/>
            <w:right w:w="0" w:type="dxa"/>
          </w:tblCellMar>
          <w:tblLook w:val="00A0"/>
        </w:tblPrEx>
        <w:tc>
          <w:tcPr>
            <w:tcW w:w="3776" w:type="dxa"/>
            <w:tcBorders>
              <w:top w:val="nil"/>
              <w:left w:val="nil"/>
              <w:bottom w:val="nil"/>
              <w:right w:val="nil"/>
            </w:tcBorders>
            <w:textDirection w:val="lrTb"/>
            <w:vAlign w:val="center"/>
          </w:tcPr>
          <w:p w:rsidR="0067427D" w:rsidRPr="00B6143C" w:rsidP="0067427D">
            <w:pPr>
              <w:bidi w:val="0"/>
              <w:rPr>
                <w:rFonts w:ascii="Times New Roman" w:hAnsi="Times New Roman"/>
                <w:sz w:val="2"/>
              </w:rPr>
            </w:pPr>
          </w:p>
        </w:tc>
        <w:tc>
          <w:tcPr>
            <w:tcW w:w="1060" w:type="dxa"/>
            <w:tcBorders>
              <w:top w:val="nil"/>
              <w:left w:val="nil"/>
              <w:bottom w:val="nil"/>
              <w:right w:val="nil"/>
            </w:tcBorders>
            <w:textDirection w:val="lrTb"/>
            <w:vAlign w:val="center"/>
          </w:tcPr>
          <w:p w:rsidR="0067427D" w:rsidRPr="00B6143C" w:rsidP="0067427D">
            <w:pPr>
              <w:bidi w:val="0"/>
              <w:rPr>
                <w:rFonts w:ascii="Times New Roman" w:hAnsi="Times New Roman"/>
                <w:sz w:val="2"/>
              </w:rPr>
            </w:pPr>
          </w:p>
        </w:tc>
        <w:tc>
          <w:tcPr>
            <w:tcW w:w="1060" w:type="dxa"/>
            <w:tcBorders>
              <w:top w:val="nil"/>
              <w:left w:val="nil"/>
              <w:bottom w:val="nil"/>
              <w:right w:val="nil"/>
            </w:tcBorders>
            <w:textDirection w:val="lrTb"/>
            <w:vAlign w:val="center"/>
          </w:tcPr>
          <w:p w:rsidR="0067427D" w:rsidRPr="00B6143C" w:rsidP="0067427D">
            <w:pPr>
              <w:bidi w:val="0"/>
              <w:rPr>
                <w:rFonts w:ascii="Times New Roman" w:hAnsi="Times New Roman"/>
                <w:sz w:val="2"/>
              </w:rPr>
            </w:pPr>
          </w:p>
        </w:tc>
        <w:tc>
          <w:tcPr>
            <w:tcW w:w="1060" w:type="dxa"/>
            <w:tcBorders>
              <w:top w:val="nil"/>
              <w:left w:val="nil"/>
              <w:bottom w:val="nil"/>
              <w:right w:val="nil"/>
            </w:tcBorders>
            <w:textDirection w:val="lrTb"/>
            <w:vAlign w:val="center"/>
          </w:tcPr>
          <w:p w:rsidR="0067427D" w:rsidRPr="00B6143C" w:rsidP="0067427D">
            <w:pPr>
              <w:bidi w:val="0"/>
              <w:rPr>
                <w:rFonts w:ascii="Times New Roman" w:hAnsi="Times New Roman"/>
                <w:sz w:val="2"/>
              </w:rPr>
            </w:pPr>
          </w:p>
        </w:tc>
        <w:tc>
          <w:tcPr>
            <w:tcW w:w="1060" w:type="dxa"/>
            <w:tcBorders>
              <w:top w:val="nil"/>
              <w:left w:val="nil"/>
              <w:bottom w:val="nil"/>
              <w:right w:val="nil"/>
            </w:tcBorders>
            <w:textDirection w:val="lrTb"/>
            <w:vAlign w:val="center"/>
          </w:tcPr>
          <w:p w:rsidR="0067427D" w:rsidRPr="00B6143C" w:rsidP="0067427D">
            <w:pPr>
              <w:bidi w:val="0"/>
              <w:rPr>
                <w:rFonts w:ascii="Times New Roman" w:hAnsi="Times New Roman"/>
                <w:sz w:val="2"/>
              </w:rPr>
            </w:pPr>
          </w:p>
        </w:tc>
        <w:tc>
          <w:tcPr>
            <w:tcW w:w="1234" w:type="dxa"/>
            <w:tcBorders>
              <w:top w:val="nil"/>
              <w:left w:val="nil"/>
              <w:bottom w:val="nil"/>
              <w:right w:val="nil"/>
            </w:tcBorders>
            <w:textDirection w:val="lrTb"/>
            <w:vAlign w:val="center"/>
          </w:tcPr>
          <w:p w:rsidR="0067427D" w:rsidRPr="00B6143C" w:rsidP="0067427D">
            <w:pPr>
              <w:bidi w:val="0"/>
              <w:rPr>
                <w:rFonts w:ascii="Times New Roman" w:hAnsi="Times New Roman"/>
                <w:sz w:val="2"/>
              </w:rPr>
            </w:pPr>
          </w:p>
        </w:tc>
      </w:tr>
    </w:tbl>
    <w:p w:rsidR="0067427D" w:rsidRPr="00B6143C" w:rsidP="0067427D">
      <w:pPr>
        <w:bidi w:val="0"/>
        <w:jc w:val="both"/>
        <w:rPr>
          <w:rFonts w:ascii="Times New Roman" w:hAnsi="Times New Roman"/>
          <w:sz w:val="20"/>
          <w:szCs w:val="20"/>
        </w:rPr>
      </w:pPr>
      <w:r w:rsidRPr="00B6143C">
        <w:rPr>
          <w:rFonts w:ascii="Times New Roman" w:hAnsi="Times New Roman"/>
          <w:sz w:val="20"/>
          <w:szCs w:val="20"/>
        </w:rPr>
        <w:t> </w:t>
      </w:r>
    </w:p>
    <w:p w:rsidR="0067427D" w:rsidRPr="00B6143C" w:rsidP="0067427D">
      <w:pPr>
        <w:pStyle w:val="NormalWeb"/>
        <w:bidi w:val="0"/>
        <w:spacing w:before="0" w:beforeAutospacing="0" w:after="0" w:afterAutospacing="0"/>
        <w:ind w:firstLine="851"/>
        <w:rPr>
          <w:rFonts w:ascii="Times New Roman" w:hAnsi="Times New Roman"/>
        </w:rPr>
      </w:pPr>
      <w:r w:rsidRPr="00B6143C">
        <w:rPr>
          <w:rFonts w:ascii="Times New Roman" w:hAnsi="Times New Roman"/>
        </w:rPr>
        <w:t>Návrh zákona nemá vplyv na zamestnanosť vo verejnej správe, z tohto dôvodu sa tabuľka vplyvov na zamestnanosť (tabuľka č. 6) nepredkladá.</w:t>
      </w: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P="0067427D">
      <w:pPr>
        <w:bidi w:val="0"/>
        <w:rPr>
          <w:rFonts w:ascii="Times New Roman" w:hAnsi="Times New Roman"/>
        </w:rPr>
      </w:pPr>
    </w:p>
    <w:p w:rsidR="0067427D"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jc w:val="center"/>
        <w:rPr>
          <w:rFonts w:ascii="Times New Roman" w:hAnsi="Times New Roman"/>
          <w:b/>
          <w:caps/>
          <w:spacing w:val="30"/>
        </w:rPr>
      </w:pPr>
      <w:r w:rsidRPr="00B6143C">
        <w:rPr>
          <w:rFonts w:ascii="Times New Roman" w:hAnsi="Times New Roman"/>
          <w:b/>
          <w:caps/>
          <w:spacing w:val="30"/>
        </w:rPr>
        <w:t>Doložka zlučiteľnosti</w:t>
      </w:r>
    </w:p>
    <w:p w:rsidR="0067427D" w:rsidRPr="00B6143C" w:rsidP="0067427D">
      <w:pPr>
        <w:bidi w:val="0"/>
        <w:jc w:val="center"/>
        <w:rPr>
          <w:rFonts w:ascii="Times New Roman" w:hAnsi="Times New Roman"/>
          <w:b/>
        </w:rPr>
      </w:pPr>
      <w:r w:rsidRPr="00B6143C">
        <w:rPr>
          <w:rFonts w:ascii="Times New Roman" w:hAnsi="Times New Roman"/>
          <w:b/>
        </w:rPr>
        <w:t>právneho predpisu s právom Európskej únie </w:t>
      </w:r>
    </w:p>
    <w:p w:rsidR="0067427D" w:rsidRPr="00B6143C" w:rsidP="0067427D">
      <w:pPr>
        <w:bidi w:val="0"/>
        <w:rPr>
          <w:rFonts w:ascii="Times New Roman" w:hAnsi="Times New Roman"/>
        </w:rPr>
      </w:pPr>
    </w:p>
    <w:p w:rsidR="0067427D" w:rsidRPr="00B6143C" w:rsidP="0067427D">
      <w:pPr>
        <w:bidi w:val="0"/>
        <w:rPr>
          <w:rFonts w:ascii="Times New Roman" w:hAnsi="Times New Roman"/>
        </w:rPr>
      </w:pPr>
    </w:p>
    <w:p w:rsidR="0067427D" w:rsidRPr="00B6143C" w:rsidP="0067427D">
      <w:pPr>
        <w:bidi w:val="0"/>
        <w:ind w:left="360" w:hanging="360"/>
        <w:rPr>
          <w:rFonts w:ascii="Times New Roman" w:hAnsi="Times New Roman"/>
          <w:b/>
        </w:rPr>
      </w:pPr>
      <w:r w:rsidRPr="00B6143C">
        <w:rPr>
          <w:rFonts w:ascii="Times New Roman" w:hAnsi="Times New Roman"/>
          <w:b/>
        </w:rPr>
        <w:t>1.</w:t>
        <w:tab/>
        <w:t>Predkladateľ právneho predpisu:</w:t>
      </w:r>
      <w:r w:rsidRPr="00B6143C">
        <w:rPr>
          <w:rFonts w:ascii="Times New Roman" w:hAnsi="Times New Roman"/>
        </w:rPr>
        <w:t xml:space="preserve"> vláda Slovenskej republiky </w:t>
      </w:r>
    </w:p>
    <w:p w:rsidR="0067427D" w:rsidRPr="00B6143C" w:rsidP="0067427D">
      <w:pPr>
        <w:tabs>
          <w:tab w:val="left" w:pos="360"/>
        </w:tabs>
        <w:bidi w:val="0"/>
        <w:ind w:left="360"/>
        <w:rPr>
          <w:rFonts w:ascii="Times New Roman" w:hAnsi="Times New Roman"/>
        </w:rPr>
      </w:pPr>
      <w:r w:rsidRPr="00B6143C">
        <w:rPr>
          <w:rFonts w:ascii="Times New Roman" w:hAnsi="Times New Roman"/>
        </w:rPr>
        <w:t xml:space="preserve"> </w:t>
      </w:r>
    </w:p>
    <w:p w:rsidR="0067427D" w:rsidRPr="00B6143C" w:rsidP="0067427D">
      <w:pPr>
        <w:bidi w:val="0"/>
        <w:ind w:left="360" w:hanging="360"/>
        <w:rPr>
          <w:rFonts w:ascii="Times New Roman" w:hAnsi="Times New Roman"/>
          <w:b/>
        </w:rPr>
      </w:pPr>
      <w:r w:rsidRPr="00B6143C">
        <w:rPr>
          <w:rFonts w:ascii="Times New Roman" w:hAnsi="Times New Roman"/>
          <w:b/>
        </w:rPr>
        <w:t>2.</w:t>
        <w:tab/>
        <w:t>Názov návrhu právneho predpisu:</w:t>
      </w:r>
      <w:r w:rsidRPr="00B6143C">
        <w:rPr>
          <w:rFonts w:ascii="Times New Roman" w:hAnsi="Times New Roman"/>
        </w:rPr>
        <w:t xml:space="preserve"> Návrh zákona, ktorým sa mení a dopĺňa zákon č. 435/2010 Z. z. o poskytovaní dotácií v pôsobnosti Ministerstva obrany Slovenskej republiky </w:t>
      </w:r>
    </w:p>
    <w:p w:rsidR="0067427D" w:rsidRPr="00B6143C" w:rsidP="0067427D">
      <w:pPr>
        <w:bidi w:val="0"/>
        <w:rPr>
          <w:rFonts w:ascii="Times New Roman" w:hAnsi="Times New Roman"/>
        </w:rPr>
      </w:pPr>
    </w:p>
    <w:p w:rsidR="0067427D" w:rsidRPr="00B6143C" w:rsidP="0067427D">
      <w:pPr>
        <w:bidi w:val="0"/>
        <w:ind w:left="360" w:hanging="360"/>
        <w:rPr>
          <w:rFonts w:ascii="Times New Roman" w:hAnsi="Times New Roman"/>
          <w:b/>
        </w:rPr>
      </w:pPr>
      <w:r w:rsidRPr="00B6143C">
        <w:rPr>
          <w:rFonts w:ascii="Times New Roman" w:hAnsi="Times New Roman"/>
          <w:b/>
        </w:rPr>
        <w:t>3.</w:t>
        <w:tab/>
        <w:t>Problematika návrhu právneho predpisu:</w:t>
      </w:r>
    </w:p>
    <w:p w:rsidR="0067427D" w:rsidRPr="00B6143C" w:rsidP="0067427D">
      <w:pPr>
        <w:bidi w:val="0"/>
        <w:ind w:firstLine="360"/>
        <w:rPr>
          <w:rFonts w:ascii="Times New Roman" w:hAnsi="Times New Roman"/>
        </w:rPr>
      </w:pPr>
    </w:p>
    <w:p w:rsidR="0067427D" w:rsidRPr="00B6143C" w:rsidP="0067427D">
      <w:pPr>
        <w:bidi w:val="0"/>
        <w:ind w:left="709" w:hanging="349"/>
        <w:rPr>
          <w:rFonts w:ascii="Times New Roman" w:hAnsi="Times New Roman"/>
        </w:rPr>
      </w:pPr>
      <w:r w:rsidRPr="00B6143C">
        <w:rPr>
          <w:rFonts w:ascii="Times New Roman" w:hAnsi="Times New Roman"/>
        </w:rPr>
        <w:t>a)</w:t>
        <w:tab/>
        <w:t>je upravená v práve Európskej únie</w:t>
      </w:r>
    </w:p>
    <w:p w:rsidR="0067427D" w:rsidRPr="00B6143C" w:rsidP="0067427D">
      <w:pPr>
        <w:bidi w:val="0"/>
        <w:ind w:left="360"/>
        <w:rPr>
          <w:rFonts w:ascii="Times New Roman" w:hAnsi="Times New Roman"/>
        </w:rPr>
      </w:pPr>
    </w:p>
    <w:p w:rsidR="0067427D" w:rsidRPr="00B6143C" w:rsidP="0067427D">
      <w:pPr>
        <w:tabs>
          <w:tab w:val="left" w:pos="1068"/>
        </w:tabs>
        <w:bidi w:val="0"/>
        <w:ind w:left="879" w:hanging="171"/>
        <w:rPr>
          <w:rFonts w:ascii="Times New Roman" w:hAnsi="Times New Roman"/>
          <w:i/>
        </w:rPr>
      </w:pPr>
      <w:r w:rsidRPr="00B6143C">
        <w:rPr>
          <w:rFonts w:ascii="Times New Roman" w:hAnsi="Times New Roman"/>
        </w:rPr>
        <w:t>-</w:t>
        <w:tab/>
      </w:r>
      <w:r w:rsidRPr="00B6143C">
        <w:rPr>
          <w:rFonts w:ascii="Times New Roman" w:hAnsi="Times New Roman"/>
          <w:i/>
        </w:rPr>
        <w:t>primárnom</w:t>
      </w:r>
    </w:p>
    <w:p w:rsidR="0067427D" w:rsidRPr="00B6143C" w:rsidP="0067427D">
      <w:pPr>
        <w:bidi w:val="0"/>
        <w:ind w:left="851"/>
        <w:rPr>
          <w:rFonts w:ascii="Times New Roman" w:hAnsi="Times New Roman"/>
        </w:rPr>
      </w:pPr>
    </w:p>
    <w:p w:rsidR="0067427D" w:rsidRPr="00B6143C" w:rsidP="0067427D">
      <w:pPr>
        <w:bidi w:val="0"/>
        <w:ind w:left="851"/>
        <w:rPr>
          <w:rFonts w:ascii="Times New Roman" w:hAnsi="Times New Roman"/>
        </w:rPr>
      </w:pPr>
      <w:r w:rsidRPr="00B6143C">
        <w:rPr>
          <w:rFonts w:ascii="Times New Roman" w:hAnsi="Times New Roman"/>
        </w:rPr>
        <w:t xml:space="preserve">Článok 107 a 108 Zmluvy o fungovaní Európskej únie (Ú. v. EÚ C 83, 30.3.2010) </w:t>
        <w:br/>
        <w:br/>
        <w:t> </w:t>
      </w:r>
    </w:p>
    <w:p w:rsidR="0067427D" w:rsidRPr="00B6143C" w:rsidP="0067427D">
      <w:pPr>
        <w:bidi w:val="0"/>
        <w:ind w:firstLine="360"/>
        <w:rPr>
          <w:rFonts w:ascii="Times New Roman" w:hAnsi="Times New Roman"/>
        </w:rPr>
      </w:pPr>
    </w:p>
    <w:p w:rsidR="0067427D" w:rsidRPr="00B6143C" w:rsidP="0067427D">
      <w:pPr>
        <w:tabs>
          <w:tab w:val="left" w:pos="1068"/>
        </w:tabs>
        <w:bidi w:val="0"/>
        <w:ind w:left="879" w:hanging="171"/>
        <w:rPr>
          <w:rFonts w:ascii="Times New Roman" w:hAnsi="Times New Roman"/>
          <w:i/>
        </w:rPr>
      </w:pPr>
      <w:r w:rsidRPr="00B6143C">
        <w:rPr>
          <w:rFonts w:ascii="Times New Roman" w:hAnsi="Times New Roman"/>
        </w:rPr>
        <w:t>-</w:t>
        <w:tab/>
      </w:r>
      <w:r w:rsidRPr="00B6143C">
        <w:rPr>
          <w:rFonts w:ascii="Times New Roman" w:hAnsi="Times New Roman"/>
          <w:i/>
        </w:rPr>
        <w:t>sekundárnom (prijatom po nadobudnutím platnosti Lisabonskej zmluvy, ktorou sa mení a dopĺňa Zmluva o Európskom spoločenstve a Zmluva o Európskej únii – po 30. novembri 2009)</w:t>
      </w:r>
    </w:p>
    <w:p w:rsidR="0067427D" w:rsidRPr="00B6143C" w:rsidP="0067427D">
      <w:pPr>
        <w:tabs>
          <w:tab w:val="left" w:pos="1068"/>
        </w:tabs>
        <w:bidi w:val="0"/>
        <w:ind w:left="879" w:hanging="171"/>
        <w:rPr>
          <w:rFonts w:ascii="Times New Roman" w:hAnsi="Times New Roman"/>
          <w:i/>
        </w:rPr>
      </w:pPr>
    </w:p>
    <w:p w:rsidR="0067427D" w:rsidRPr="00B6143C" w:rsidP="0067427D">
      <w:pPr>
        <w:bidi w:val="0"/>
        <w:ind w:left="1239" w:hanging="360"/>
        <w:rPr>
          <w:rFonts w:ascii="Times New Roman" w:hAnsi="Times New Roman"/>
          <w:i/>
        </w:rPr>
      </w:pPr>
      <w:r w:rsidRPr="00B6143C">
        <w:rPr>
          <w:rFonts w:ascii="Times New Roman" w:hAnsi="Times New Roman"/>
        </w:rPr>
        <w:t>1.</w:t>
        <w:tab/>
        <w:t xml:space="preserve">legislatívne akty </w:t>
      </w:r>
    </w:p>
    <w:p w:rsidR="0067427D" w:rsidRPr="00B6143C" w:rsidP="0067427D">
      <w:pPr>
        <w:bidi w:val="0"/>
        <w:ind w:firstLine="360"/>
        <w:rPr>
          <w:rFonts w:ascii="Times New Roman" w:hAnsi="Times New Roman"/>
        </w:rPr>
      </w:pPr>
    </w:p>
    <w:p w:rsidR="0067427D" w:rsidRPr="00B6143C" w:rsidP="0067427D">
      <w:pPr>
        <w:bidi w:val="0"/>
        <w:ind w:left="851"/>
        <w:rPr>
          <w:rFonts w:ascii="Times New Roman" w:hAnsi="Times New Roman"/>
        </w:rPr>
      </w:pPr>
      <w:r w:rsidRPr="00B6143C">
        <w:rPr>
          <w:rFonts w:ascii="Times New Roman" w:hAnsi="Times New Roman"/>
        </w:rPr>
        <w:t> </w:t>
      </w:r>
    </w:p>
    <w:p w:rsidR="0067427D" w:rsidRPr="00B6143C" w:rsidP="0067427D">
      <w:pPr>
        <w:bidi w:val="0"/>
        <w:ind w:left="851"/>
        <w:rPr>
          <w:rFonts w:ascii="Times New Roman" w:hAnsi="Times New Roman"/>
        </w:rPr>
      </w:pPr>
    </w:p>
    <w:p w:rsidR="0067427D" w:rsidRPr="00B6143C" w:rsidP="0067427D">
      <w:pPr>
        <w:bidi w:val="0"/>
        <w:ind w:left="1239" w:hanging="360"/>
        <w:jc w:val="both"/>
        <w:rPr>
          <w:rFonts w:ascii="Times New Roman" w:hAnsi="Times New Roman"/>
          <w:i/>
        </w:rPr>
      </w:pPr>
      <w:r w:rsidRPr="00B6143C">
        <w:rPr>
          <w:rFonts w:ascii="Times New Roman" w:hAnsi="Times New Roman"/>
        </w:rPr>
        <w:t>2.</w:t>
        <w:tab/>
        <w:t>nelegislatívne akty</w:t>
      </w:r>
    </w:p>
    <w:p w:rsidR="0067427D" w:rsidRPr="00B6143C" w:rsidP="0067427D">
      <w:pPr>
        <w:bidi w:val="0"/>
        <w:ind w:firstLine="708"/>
        <w:jc w:val="both"/>
        <w:rPr>
          <w:rFonts w:ascii="Times New Roman" w:hAnsi="Times New Roman"/>
        </w:rPr>
      </w:pPr>
      <w:r w:rsidRPr="00B6143C">
        <w:rPr>
          <w:rFonts w:ascii="Times New Roman" w:hAnsi="Times New Roman"/>
        </w:rPr>
        <w:t xml:space="preserve"> </w:t>
      </w: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67427D" w:rsidRPr="00B6143C" w:rsidP="0067427D">
            <w:pPr>
              <w:bidi w:val="0"/>
              <w:jc w:val="both"/>
              <w:rPr>
                <w:rFonts w:ascii="Times New Roman" w:hAnsi="Times New Roman"/>
              </w:rPr>
            </w:pPr>
            <w:r w:rsidRPr="00B6143C">
              <w:rPr>
                <w:rFonts w:ascii="Times New Roman" w:hAnsi="Times New Roman"/>
              </w:rPr>
              <w:t> </w:t>
            </w:r>
          </w:p>
        </w:tc>
      </w:tr>
    </w:tbl>
    <w:p w:rsidR="0067427D" w:rsidRPr="00B6143C" w:rsidP="0067427D">
      <w:pPr>
        <w:bidi w:val="0"/>
        <w:ind w:firstLine="708"/>
        <w:jc w:val="both"/>
        <w:rPr>
          <w:rFonts w:ascii="Times New Roman" w:hAnsi="Times New Roman"/>
        </w:rPr>
      </w:pPr>
    </w:p>
    <w:p w:rsidR="0067427D" w:rsidRPr="00B6143C" w:rsidP="0067427D">
      <w:pPr>
        <w:bidi w:val="0"/>
        <w:ind w:left="879" w:hanging="171"/>
        <w:jc w:val="both"/>
        <w:rPr>
          <w:rFonts w:ascii="Times New Roman" w:hAnsi="Times New Roman"/>
          <w:i/>
        </w:rPr>
      </w:pPr>
      <w:r w:rsidRPr="00B6143C">
        <w:rPr>
          <w:rFonts w:ascii="Times New Roman" w:hAnsi="Times New Roman"/>
        </w:rPr>
        <w:t>-</w:t>
        <w:tab/>
      </w:r>
      <w:r w:rsidRPr="00B6143C">
        <w:rPr>
          <w:rFonts w:ascii="Times New Roman" w:hAnsi="Times New Roman"/>
          <w:i/>
        </w:rPr>
        <w:t>sekundárnom (prijatom pred nadobudnutím platnosti Lisabonskej zmluvy, ktorou sa mení a dopĺňa Zmluva o Európskom spoločenstve a Zmluva o Európskej únii – do 30. novembra 2009)</w:t>
      </w:r>
    </w:p>
    <w:p w:rsidR="0067427D" w:rsidRPr="00B6143C" w:rsidP="0067427D">
      <w:pPr>
        <w:bidi w:val="0"/>
        <w:ind w:firstLine="708"/>
        <w:jc w:val="both"/>
        <w:rPr>
          <w:rFonts w:ascii="Times New Roman" w:hAnsi="Times New Roman"/>
        </w:rPr>
      </w:pP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67427D" w:rsidRPr="00B6143C" w:rsidP="0067427D">
            <w:pPr>
              <w:bidi w:val="0"/>
              <w:jc w:val="both"/>
              <w:rPr>
                <w:rFonts w:ascii="Times New Roman" w:hAnsi="Times New Roman"/>
              </w:rPr>
            </w:pPr>
            <w:r w:rsidRPr="00B6143C">
              <w:rPr>
                <w:rFonts w:ascii="Times New Roman" w:hAnsi="Times New Roman"/>
              </w:rPr>
              <w:t xml:space="preserve">Rámec Spoločenstva pre štátnu pomoc na výskum, vývoj a inovácie (Ú. v. EÚ C323, 30.12.2006) </w:t>
              <w:br/>
              <w:t xml:space="preserve">Nariadenie Komisie (ES) č. 800/2008 zo 6. augusta 2008 o vyhlásení určitých kategórií pomoci za zlučiteľné so spoločným trhom podľa článkov 87 a 88 zmluvy (Všeobecné nariadenie o skupinových výnimkách) (Ú. v. EÚ L 214, 9.8.2008) </w:t>
              <w:br/>
              <w:br/>
              <w:t> </w:t>
            </w:r>
          </w:p>
        </w:tc>
      </w:tr>
    </w:tbl>
    <w:p w:rsidR="0067427D" w:rsidRPr="00B6143C" w:rsidP="0067427D">
      <w:pPr>
        <w:bidi w:val="0"/>
        <w:ind w:left="851"/>
        <w:rPr>
          <w:rFonts w:ascii="Times New Roman" w:hAnsi="Times New Roman"/>
        </w:rPr>
      </w:pPr>
    </w:p>
    <w:p w:rsidR="0067427D" w:rsidRPr="00B6143C" w:rsidP="0067427D">
      <w:pPr>
        <w:bidi w:val="0"/>
        <w:ind w:left="360"/>
        <w:rPr>
          <w:rFonts w:ascii="Times New Roman" w:hAnsi="Times New Roman"/>
        </w:rPr>
      </w:pPr>
    </w:p>
    <w:p w:rsidR="0067427D" w:rsidRPr="00B6143C" w:rsidP="0067427D">
      <w:pPr>
        <w:bidi w:val="0"/>
        <w:ind w:firstLine="360"/>
        <w:rPr>
          <w:rFonts w:ascii="Times New Roman" w:hAnsi="Times New Roman"/>
        </w:rPr>
      </w:pPr>
    </w:p>
    <w:p w:rsidR="0067427D" w:rsidRPr="00B6143C" w:rsidP="0067427D">
      <w:pPr>
        <w:bidi w:val="0"/>
        <w:ind w:left="709" w:hanging="349"/>
        <w:rPr>
          <w:rFonts w:ascii="Times New Roman" w:hAnsi="Times New Roman"/>
        </w:rPr>
      </w:pPr>
      <w:r w:rsidRPr="00B6143C">
        <w:rPr>
          <w:rFonts w:ascii="Times New Roman" w:hAnsi="Times New Roman"/>
        </w:rPr>
        <w:t>b)</w:t>
        <w:tab/>
        <w:t>nie je obsiahnutá v judikatúre Súdneho dvora Európskej únie.</w:t>
      </w:r>
    </w:p>
    <w:p w:rsidR="0067427D" w:rsidRPr="00B6143C" w:rsidP="0067427D">
      <w:pPr>
        <w:bidi w:val="0"/>
        <w:ind w:left="360"/>
        <w:rPr>
          <w:rFonts w:ascii="Times New Roman" w:hAnsi="Times New Roman"/>
        </w:rPr>
      </w:pPr>
    </w:p>
    <w:p w:rsidR="0067427D" w:rsidRPr="00B6143C" w:rsidP="0067427D">
      <w:pPr>
        <w:bidi w:val="0"/>
        <w:rPr>
          <w:rFonts w:ascii="Times New Roman" w:hAnsi="Times New Roman"/>
        </w:rPr>
      </w:pPr>
    </w:p>
    <w:p w:rsidR="0067427D" w:rsidRPr="00B6143C" w:rsidP="0067427D">
      <w:pPr>
        <w:bidi w:val="0"/>
        <w:ind w:left="360" w:hanging="360"/>
        <w:rPr>
          <w:rFonts w:ascii="Times New Roman" w:hAnsi="Times New Roman"/>
          <w:b/>
        </w:rPr>
      </w:pPr>
      <w:r w:rsidRPr="00B6143C">
        <w:rPr>
          <w:rFonts w:ascii="Times New Roman" w:hAnsi="Times New Roman"/>
          <w:b/>
        </w:rPr>
        <w:t>4.</w:t>
        <w:tab/>
        <w:t xml:space="preserve">Záväzky Slovenskej republiky vo vzťahu k Európskej únii: </w:t>
      </w:r>
    </w:p>
    <w:p w:rsidR="0067427D" w:rsidRPr="00B6143C" w:rsidP="0067427D">
      <w:pPr>
        <w:bidi w:val="0"/>
        <w:rPr>
          <w:rFonts w:ascii="Times New Roman" w:hAnsi="Times New Roman"/>
        </w:rPr>
      </w:pPr>
    </w:p>
    <w:p w:rsidR="0067427D" w:rsidRPr="00B6143C" w:rsidP="0067427D">
      <w:pPr>
        <w:bidi w:val="0"/>
        <w:ind w:left="709" w:hanging="349"/>
        <w:rPr>
          <w:rFonts w:ascii="Times New Roman" w:hAnsi="Times New Roman"/>
        </w:rPr>
      </w:pPr>
      <w:r w:rsidRPr="00B6143C">
        <w:rPr>
          <w:rFonts w:ascii="Times New Roman" w:hAnsi="Times New Roman"/>
        </w:rPr>
        <w:t>a)</w:t>
        <w:tab/>
        <w:t>lehota na prebratie smernice alebo lehota na implementáciu nariadenia alebo rozhodnutia</w:t>
      </w:r>
    </w:p>
    <w:p w:rsidR="0067427D" w:rsidRPr="00B6143C" w:rsidP="0067427D">
      <w:pPr>
        <w:bidi w:val="0"/>
        <w:ind w:left="720"/>
        <w:rPr>
          <w:rFonts w:ascii="Times New Roman" w:hAnsi="Times New Roman"/>
        </w:rPr>
      </w:pPr>
    </w:p>
    <w:p w:rsidR="0067427D" w:rsidRPr="00B6143C" w:rsidP="0067427D">
      <w:pPr>
        <w:bidi w:val="0"/>
        <w:ind w:left="720"/>
        <w:rPr>
          <w:rFonts w:ascii="Times New Roman" w:hAnsi="Times New Roman"/>
        </w:rPr>
      </w:pPr>
      <w:r w:rsidRPr="00B6143C">
        <w:rPr>
          <w:rFonts w:ascii="Times New Roman" w:hAnsi="Times New Roman"/>
        </w:rPr>
        <w:t>Bezpredmetné. </w:t>
      </w:r>
    </w:p>
    <w:p w:rsidR="0067427D" w:rsidRPr="00B6143C" w:rsidP="0067427D">
      <w:pPr>
        <w:bidi w:val="0"/>
        <w:rPr>
          <w:rFonts w:ascii="Times New Roman" w:hAnsi="Times New Roman"/>
        </w:rPr>
      </w:pPr>
    </w:p>
    <w:p w:rsidR="0067427D" w:rsidRPr="00B6143C" w:rsidP="0067427D">
      <w:pPr>
        <w:bidi w:val="0"/>
        <w:ind w:left="709" w:hanging="349"/>
        <w:rPr>
          <w:rFonts w:ascii="Times New Roman" w:hAnsi="Times New Roman"/>
        </w:rPr>
      </w:pPr>
      <w:r w:rsidRPr="00B6143C">
        <w:rPr>
          <w:rFonts w:ascii="Times New Roman" w:hAnsi="Times New Roman"/>
        </w:rPr>
        <w:t>b)</w:t>
        <w:tab/>
      </w:r>
      <w:r w:rsidRPr="00B6143C">
        <w:rPr>
          <w:rFonts w:ascii="Times New Roman" w:hAnsi="Times New Roman"/>
          <w:color w:val="000000"/>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67427D" w:rsidRPr="00B6143C" w:rsidP="0067427D">
      <w:pPr>
        <w:bidi w:val="0"/>
        <w:ind w:left="709" w:hanging="349"/>
        <w:rPr>
          <w:rFonts w:ascii="Times New Roman" w:hAnsi="Times New Roman"/>
        </w:rPr>
      </w:pPr>
      <w:r w:rsidRPr="00B6143C">
        <w:rPr>
          <w:rFonts w:ascii="Times New Roman" w:hAnsi="Times New Roman"/>
        </w:rPr>
        <w:tab/>
      </w:r>
    </w:p>
    <w:p w:rsidR="0067427D" w:rsidRPr="00B6143C" w:rsidP="0067427D">
      <w:pPr>
        <w:bidi w:val="0"/>
        <w:ind w:left="709" w:hanging="349"/>
        <w:rPr>
          <w:rFonts w:ascii="Times New Roman" w:hAnsi="Times New Roman"/>
        </w:rPr>
      </w:pPr>
      <w:r w:rsidRPr="00B6143C">
        <w:rPr>
          <w:rFonts w:ascii="Times New Roman" w:hAnsi="Times New Roman"/>
        </w:rPr>
        <w:tab/>
        <w:t>Bezpredmetné. </w:t>
      </w:r>
    </w:p>
    <w:p w:rsidR="0067427D" w:rsidRPr="00B6143C" w:rsidP="0067427D">
      <w:pPr>
        <w:bidi w:val="0"/>
        <w:ind w:left="709" w:hanging="349"/>
        <w:rPr>
          <w:rFonts w:ascii="Times New Roman" w:hAnsi="Times New Roman"/>
        </w:rPr>
      </w:pPr>
    </w:p>
    <w:p w:rsidR="0067427D" w:rsidRPr="00B6143C" w:rsidP="0067427D">
      <w:pPr>
        <w:bidi w:val="0"/>
        <w:ind w:left="709" w:hanging="349"/>
        <w:rPr>
          <w:rFonts w:ascii="Times New Roman" w:hAnsi="Times New Roman"/>
        </w:rPr>
      </w:pPr>
      <w:r w:rsidRPr="00B6143C">
        <w:rPr>
          <w:rFonts w:ascii="Times New Roman" w:hAnsi="Times New Roman"/>
        </w:rPr>
        <w:t>c)</w:t>
        <w:tab/>
        <w:t>informácia o konaní začatom proti Slovenskej republike o porušení podľa čl. 258 až 260 Zmluvy o fungovaní Európskej únie</w:t>
      </w:r>
    </w:p>
    <w:p w:rsidR="0067427D" w:rsidRPr="00B6143C" w:rsidP="0067427D">
      <w:pPr>
        <w:bidi w:val="0"/>
        <w:ind w:left="720"/>
        <w:rPr>
          <w:rFonts w:ascii="Times New Roman" w:hAnsi="Times New Roman"/>
        </w:rPr>
      </w:pPr>
    </w:p>
    <w:p w:rsidR="0067427D" w:rsidRPr="00B6143C" w:rsidP="0067427D">
      <w:pPr>
        <w:bidi w:val="0"/>
        <w:ind w:firstLine="708"/>
        <w:rPr>
          <w:rFonts w:ascii="Times New Roman" w:hAnsi="Times New Roman"/>
        </w:rPr>
      </w:pPr>
      <w:r w:rsidRPr="00B6143C">
        <w:rPr>
          <w:rFonts w:ascii="Times New Roman" w:hAnsi="Times New Roman"/>
        </w:rPr>
        <w:t>Proti Slovenskej republike nebolo začaté konanie o porušení podľa čl. 258 až 268 Zmluvy o fungovaní Európskej únie. </w:t>
      </w:r>
    </w:p>
    <w:p w:rsidR="0067427D" w:rsidRPr="00B6143C" w:rsidP="0067427D">
      <w:pPr>
        <w:bidi w:val="0"/>
        <w:ind w:firstLine="708"/>
        <w:rPr>
          <w:rFonts w:ascii="Times New Roman" w:hAnsi="Times New Roman"/>
        </w:rPr>
      </w:pPr>
    </w:p>
    <w:p w:rsidR="0067427D" w:rsidRPr="00B6143C" w:rsidP="0067427D">
      <w:pPr>
        <w:bidi w:val="0"/>
        <w:ind w:left="709" w:hanging="349"/>
        <w:rPr>
          <w:rFonts w:ascii="Times New Roman" w:hAnsi="Times New Roman"/>
        </w:rPr>
      </w:pPr>
      <w:r w:rsidRPr="00B6143C">
        <w:rPr>
          <w:rFonts w:ascii="Times New Roman" w:hAnsi="Times New Roman"/>
        </w:rPr>
        <w:t>d)</w:t>
        <w:tab/>
        <w:t>informácia o právnych predpisoch, v ktorých sú preberané smernice už prebraté spolu s uvedením rozsahu tohto prebratia</w:t>
      </w:r>
    </w:p>
    <w:p w:rsidR="0067427D" w:rsidRPr="00B6143C" w:rsidP="0067427D">
      <w:pPr>
        <w:bidi w:val="0"/>
        <w:ind w:left="720"/>
        <w:rPr>
          <w:rFonts w:ascii="Times New Roman" w:hAnsi="Times New Roman"/>
        </w:rPr>
      </w:pPr>
    </w:p>
    <w:p w:rsidR="0067427D" w:rsidRPr="00B6143C" w:rsidP="0067427D">
      <w:pPr>
        <w:bidi w:val="0"/>
        <w:ind w:firstLine="708"/>
        <w:rPr>
          <w:rFonts w:ascii="Times New Roman" w:hAnsi="Times New Roman"/>
        </w:rPr>
      </w:pPr>
      <w:r w:rsidRPr="00B6143C">
        <w:rPr>
          <w:rFonts w:ascii="Times New Roman" w:hAnsi="Times New Roman"/>
        </w:rPr>
        <w:t>Bezpredmetné. </w:t>
      </w:r>
    </w:p>
    <w:p w:rsidR="0067427D" w:rsidRPr="00B6143C" w:rsidP="0067427D">
      <w:pPr>
        <w:bidi w:val="0"/>
        <w:ind w:firstLine="708"/>
        <w:rPr>
          <w:rFonts w:ascii="Times New Roman" w:hAnsi="Times New Roman"/>
        </w:rPr>
      </w:pPr>
    </w:p>
    <w:p w:rsidR="0067427D" w:rsidRPr="00B6143C" w:rsidP="0067427D">
      <w:pPr>
        <w:bidi w:val="0"/>
        <w:ind w:left="360" w:hanging="360"/>
        <w:rPr>
          <w:rFonts w:ascii="Times New Roman" w:hAnsi="Times New Roman"/>
          <w:b/>
        </w:rPr>
      </w:pPr>
      <w:r w:rsidRPr="00B6143C">
        <w:rPr>
          <w:rFonts w:ascii="Times New Roman" w:hAnsi="Times New Roman"/>
          <w:b/>
        </w:rPr>
        <w:t>5.</w:t>
        <w:tab/>
        <w:t>Stupeň zlučiteľnosti návrhu právneho predpisu s právom Európskej únie:</w:t>
      </w:r>
    </w:p>
    <w:p w:rsidR="0067427D" w:rsidRPr="00B6143C" w:rsidP="0067427D">
      <w:pPr>
        <w:bidi w:val="0"/>
        <w:rPr>
          <w:rFonts w:ascii="Times New Roman" w:hAnsi="Times New Roman"/>
        </w:rPr>
      </w:pPr>
    </w:p>
    <w:p w:rsidR="0067427D" w:rsidRPr="00B6143C" w:rsidP="0067427D">
      <w:pPr>
        <w:bidi w:val="0"/>
        <w:ind w:firstLine="360"/>
        <w:rPr>
          <w:rFonts w:ascii="Times New Roman" w:hAnsi="Times New Roman"/>
        </w:rPr>
      </w:pPr>
      <w:r w:rsidRPr="00B6143C">
        <w:rPr>
          <w:rFonts w:ascii="Times New Roman" w:hAnsi="Times New Roman"/>
        </w:rPr>
        <w:t>Stupeň zlučiteľnosti - úplný </w:t>
      </w:r>
    </w:p>
    <w:p w:rsidR="0067427D" w:rsidRPr="00B6143C" w:rsidP="0067427D">
      <w:pPr>
        <w:bidi w:val="0"/>
        <w:rPr>
          <w:rFonts w:ascii="Times New Roman" w:hAnsi="Times New Roman"/>
        </w:rPr>
      </w:pPr>
    </w:p>
    <w:p w:rsidR="0067427D" w:rsidRPr="00B6143C" w:rsidP="0067427D">
      <w:pPr>
        <w:bidi w:val="0"/>
        <w:ind w:left="360" w:hanging="360"/>
        <w:rPr>
          <w:rFonts w:ascii="Times New Roman" w:hAnsi="Times New Roman"/>
          <w:b/>
        </w:rPr>
      </w:pPr>
      <w:r w:rsidRPr="00B6143C">
        <w:rPr>
          <w:rFonts w:ascii="Times New Roman" w:hAnsi="Times New Roman"/>
          <w:b/>
        </w:rPr>
        <w:t>6.</w:t>
        <w:tab/>
        <w:t xml:space="preserve">Gestor a spolupracujúce rezorty: </w:t>
      </w:r>
    </w:p>
    <w:p w:rsidR="0067427D" w:rsidRPr="00B6143C" w:rsidP="0067427D">
      <w:pPr>
        <w:tabs>
          <w:tab w:val="left" w:pos="360"/>
        </w:tabs>
        <w:bidi w:val="0"/>
        <w:ind w:left="360"/>
        <w:rPr>
          <w:rFonts w:ascii="Times New Roman" w:hAnsi="Times New Roman"/>
        </w:rPr>
      </w:pPr>
    </w:p>
    <w:p w:rsidR="0067427D" w:rsidRPr="00B6143C" w:rsidP="0067427D">
      <w:pPr>
        <w:tabs>
          <w:tab w:val="left" w:pos="360"/>
        </w:tabs>
        <w:bidi w:val="0"/>
        <w:ind w:left="360"/>
        <w:rPr>
          <w:rFonts w:ascii="Times New Roman" w:hAnsi="Times New Roman"/>
        </w:rPr>
      </w:pPr>
      <w:r w:rsidRPr="00B6143C">
        <w:rPr>
          <w:rFonts w:ascii="Times New Roman" w:hAnsi="Times New Roman"/>
        </w:rPr>
        <w:t> </w:t>
      </w:r>
    </w:p>
    <w:p w:rsidR="0067427D" w:rsidRPr="00B6143C" w:rsidP="0067427D">
      <w:pPr>
        <w:tabs>
          <w:tab w:val="left" w:pos="360"/>
        </w:tabs>
        <w:bidi w:val="0"/>
        <w:rPr>
          <w:rFonts w:ascii="Times New Roman" w:hAnsi="Times New Roman"/>
        </w:rPr>
      </w:pPr>
    </w:p>
    <w:p w:rsidR="0067427D" w:rsidRPr="00B6143C" w:rsidP="0067427D">
      <w:pPr>
        <w:bidi w:val="0"/>
        <w:rPr>
          <w:rFonts w:ascii="Times New Roman" w:hAnsi="Times New Roman"/>
        </w:rPr>
      </w:pPr>
    </w:p>
    <w:p w:rsidR="0067427D" w:rsidRPr="00B6143C" w:rsidP="0067427D">
      <w:pPr>
        <w:tabs>
          <w:tab w:val="left" w:pos="360"/>
        </w:tabs>
        <w:bidi w:val="0"/>
        <w:ind w:left="360"/>
        <w:rPr>
          <w:rFonts w:ascii="Times New Roman" w:hAnsi="Times New Roman"/>
        </w:rPr>
      </w:pPr>
    </w:p>
    <w:p w:rsidR="0067427D" w:rsidRPr="00B6143C" w:rsidP="0067427D">
      <w:pPr>
        <w:widowControl/>
        <w:bidi w:val="0"/>
        <w:rPr>
          <w:rFonts w:ascii="Times New Roman" w:hAnsi="Times New Roman"/>
          <w:color w:val="000000"/>
        </w:rPr>
      </w:pPr>
    </w:p>
    <w:p w:rsidR="0067427D" w:rsidRPr="00B6143C" w:rsidP="0067427D">
      <w:pPr>
        <w:widowControl/>
        <w:bidi w:val="0"/>
        <w:rPr>
          <w:rFonts w:ascii="Times New Roman" w:hAnsi="Times New Roman"/>
          <w:color w:val="000000"/>
        </w:rPr>
      </w:pPr>
    </w:p>
    <w:p w:rsidR="0067427D" w:rsidRPr="00B6143C" w:rsidP="0067427D">
      <w:pPr>
        <w:widowControl/>
        <w:bidi w:val="0"/>
        <w:rPr>
          <w:rFonts w:ascii="Times New Roman" w:hAnsi="Times New Roman"/>
          <w:color w:val="000000"/>
        </w:rPr>
      </w:pPr>
    </w:p>
    <w:p w:rsidR="0067427D" w:rsidRPr="00B6143C" w:rsidP="0067427D">
      <w:pPr>
        <w:widowControl/>
        <w:bidi w:val="0"/>
        <w:rPr>
          <w:rFonts w:ascii="Times New Roman" w:hAnsi="Times New Roman"/>
          <w:color w:val="000000"/>
        </w:rPr>
      </w:pPr>
    </w:p>
    <w:p w:rsidR="0067427D" w:rsidRPr="00B6143C" w:rsidP="0067427D">
      <w:pPr>
        <w:widowControl/>
        <w:bidi w:val="0"/>
        <w:rPr>
          <w:rFonts w:ascii="Times New Roman" w:hAnsi="Times New Roman"/>
          <w:color w:val="000000"/>
        </w:rPr>
      </w:pPr>
    </w:p>
    <w:p w:rsidR="0067427D" w:rsidRPr="00B6143C" w:rsidP="0067427D">
      <w:pPr>
        <w:widowControl/>
        <w:bidi w:val="0"/>
        <w:rPr>
          <w:rFonts w:ascii="Times New Roman" w:hAnsi="Times New Roman"/>
          <w:color w:val="000000"/>
        </w:rPr>
      </w:pPr>
    </w:p>
    <w:p w:rsidR="0067427D" w:rsidRPr="00B6143C" w:rsidP="0067427D">
      <w:pPr>
        <w:widowControl/>
        <w:bidi w:val="0"/>
        <w:rPr>
          <w:rFonts w:ascii="Times New Roman" w:hAnsi="Times New Roman"/>
          <w:color w:val="000000"/>
        </w:rPr>
      </w:pPr>
    </w:p>
    <w:p w:rsidR="0067427D" w:rsidRPr="00B6143C" w:rsidP="0067427D">
      <w:pPr>
        <w:widowControl/>
        <w:bidi w:val="0"/>
        <w:rPr>
          <w:rFonts w:ascii="Times New Roman" w:hAnsi="Times New Roman"/>
          <w:color w:val="000000"/>
        </w:rPr>
      </w:pPr>
    </w:p>
    <w:p w:rsidR="0067427D" w:rsidRPr="00B6143C" w:rsidP="0067427D">
      <w:pPr>
        <w:widowControl/>
        <w:bidi w:val="0"/>
        <w:rPr>
          <w:rFonts w:ascii="Times New Roman" w:hAnsi="Times New Roman"/>
          <w:color w:val="000000"/>
        </w:rPr>
      </w:pPr>
    </w:p>
    <w:p w:rsidR="0067427D" w:rsidRPr="00B6143C" w:rsidP="0067427D">
      <w:pPr>
        <w:widowControl/>
        <w:bidi w:val="0"/>
        <w:rPr>
          <w:rFonts w:ascii="Times New Roman" w:hAnsi="Times New Roman"/>
          <w:color w:val="000000"/>
        </w:rPr>
      </w:pPr>
    </w:p>
    <w:p w:rsidR="0067427D" w:rsidRPr="00B6143C" w:rsidP="0067427D">
      <w:pPr>
        <w:widowControl/>
        <w:bidi w:val="0"/>
        <w:rPr>
          <w:rFonts w:ascii="Times New Roman" w:hAnsi="Times New Roman"/>
          <w:color w:val="000000"/>
        </w:rPr>
      </w:pPr>
    </w:p>
    <w:p w:rsidR="0067427D" w:rsidRPr="00B6143C" w:rsidP="0067427D">
      <w:pPr>
        <w:widowControl/>
        <w:bidi w:val="0"/>
        <w:jc w:val="both"/>
        <w:rPr>
          <w:rFonts w:ascii="Times New Roman" w:hAnsi="Times New Roman"/>
          <w:b/>
          <w:color w:val="000000"/>
        </w:rPr>
      </w:pPr>
      <w:r w:rsidRPr="00B6143C">
        <w:rPr>
          <w:rFonts w:ascii="Times New Roman" w:hAnsi="Times New Roman"/>
          <w:b/>
          <w:color w:val="000000"/>
        </w:rPr>
        <w:t>B. Osobitná časť</w:t>
      </w:r>
    </w:p>
    <w:p w:rsidR="0067427D" w:rsidRPr="00B6143C" w:rsidP="0067427D">
      <w:pPr>
        <w:widowControl/>
        <w:bidi w:val="0"/>
        <w:jc w:val="both"/>
        <w:rPr>
          <w:rFonts w:ascii="Times New Roman" w:hAnsi="Times New Roman"/>
          <w:color w:val="000000"/>
        </w:rPr>
      </w:pPr>
    </w:p>
    <w:p w:rsidR="0067427D" w:rsidRPr="00B6143C" w:rsidP="0067427D">
      <w:pPr>
        <w:widowControl/>
        <w:bidi w:val="0"/>
        <w:spacing w:after="120"/>
        <w:jc w:val="both"/>
        <w:rPr>
          <w:rFonts w:ascii="Times New Roman" w:hAnsi="Times New Roman"/>
          <w:color w:val="000000"/>
        </w:rPr>
      </w:pPr>
      <w:r w:rsidRPr="00B6143C">
        <w:rPr>
          <w:rStyle w:val="PlaceholderText"/>
          <w:b/>
          <w:color w:val="000000"/>
        </w:rPr>
        <w:t>K čl. I</w:t>
      </w:r>
    </w:p>
    <w:p w:rsidR="0067427D" w:rsidRPr="00B6143C" w:rsidP="0067427D">
      <w:pPr>
        <w:widowControl/>
        <w:bidi w:val="0"/>
        <w:jc w:val="both"/>
        <w:rPr>
          <w:rStyle w:val="PlaceholderText"/>
          <w:color w:val="000000"/>
        </w:rPr>
      </w:pPr>
      <w:r w:rsidRPr="00B6143C">
        <w:rPr>
          <w:rStyle w:val="PlaceholderText"/>
          <w:b/>
          <w:color w:val="000000"/>
        </w:rPr>
        <w:t>K bodu 1</w:t>
      </w:r>
    </w:p>
    <w:p w:rsidR="0067427D" w:rsidRPr="00B6143C" w:rsidP="0067427D">
      <w:pPr>
        <w:widowControl/>
        <w:bidi w:val="0"/>
        <w:ind w:firstLine="720"/>
        <w:jc w:val="both"/>
        <w:rPr>
          <w:rStyle w:val="PlaceholderText"/>
          <w:color w:val="000000"/>
        </w:rPr>
      </w:pPr>
      <w:r w:rsidRPr="00B6143C">
        <w:rPr>
          <w:rStyle w:val="PlaceholderText"/>
          <w:color w:val="000000"/>
        </w:rPr>
        <w:t>Rozširuje sa, z dôvodu výcviku ozbrojených síl Slovenskej republiky, možnosť poskytnutia dotácie na úhradu zvýšených nákladov na poľnohospodársku výrobu na územiach slúžiacich na zabezpečenie úloh obrany štátu a na hospodárenie v lesoch vo vojenskom obvode alebo na územiach slúžiacich na zabezpečenie úloh obrany štátu.</w:t>
      </w:r>
    </w:p>
    <w:p w:rsidR="0067427D" w:rsidRPr="00B6143C" w:rsidP="0067427D">
      <w:pPr>
        <w:widowControl/>
        <w:bidi w:val="0"/>
        <w:jc w:val="both"/>
        <w:rPr>
          <w:rStyle w:val="PlaceholderText"/>
          <w:color w:val="000000"/>
        </w:rPr>
      </w:pPr>
      <w:r w:rsidRPr="00B6143C">
        <w:rPr>
          <w:rStyle w:val="PlaceholderText"/>
          <w:b/>
          <w:color w:val="000000"/>
        </w:rPr>
        <w:t> </w:t>
      </w:r>
    </w:p>
    <w:p w:rsidR="0067427D" w:rsidRPr="00B6143C" w:rsidP="0067427D">
      <w:pPr>
        <w:widowControl/>
        <w:bidi w:val="0"/>
        <w:jc w:val="both"/>
        <w:rPr>
          <w:rStyle w:val="PlaceholderText"/>
          <w:color w:val="000000"/>
        </w:rPr>
      </w:pPr>
      <w:r w:rsidRPr="00B6143C">
        <w:rPr>
          <w:rStyle w:val="PlaceholderText"/>
          <w:b/>
          <w:color w:val="000000"/>
        </w:rPr>
        <w:t>K bodu 2</w:t>
      </w:r>
    </w:p>
    <w:p w:rsidR="0067427D" w:rsidRPr="00B6143C" w:rsidP="0067427D">
      <w:pPr>
        <w:widowControl/>
        <w:bidi w:val="0"/>
        <w:ind w:firstLine="708"/>
        <w:jc w:val="both"/>
        <w:rPr>
          <w:rStyle w:val="PlaceholderText"/>
          <w:color w:val="000000"/>
        </w:rPr>
      </w:pPr>
      <w:r w:rsidRPr="00B6143C">
        <w:rPr>
          <w:rStyle w:val="PlaceholderText"/>
          <w:color w:val="000000"/>
        </w:rPr>
        <w:t>Legislatívnotechnická úprava. Ide o zosúladenie pojmov používaných vo všeobecne záväzných právnych predpisoch (§ 40 zákona č. 326/2005 Z. z. o lesoch v znení neskorších predpisov).</w:t>
      </w:r>
    </w:p>
    <w:p w:rsidR="0067427D" w:rsidRPr="00B6143C" w:rsidP="0067427D">
      <w:pPr>
        <w:widowControl/>
        <w:bidi w:val="0"/>
        <w:jc w:val="both"/>
        <w:rPr>
          <w:rStyle w:val="PlaceholderText"/>
          <w:color w:val="000000"/>
        </w:rPr>
      </w:pPr>
    </w:p>
    <w:p w:rsidR="0067427D" w:rsidRPr="00B6143C" w:rsidP="0067427D">
      <w:pPr>
        <w:widowControl/>
        <w:bidi w:val="0"/>
        <w:jc w:val="both"/>
        <w:rPr>
          <w:rStyle w:val="PlaceholderText"/>
          <w:color w:val="000000"/>
        </w:rPr>
      </w:pPr>
      <w:r w:rsidRPr="00B6143C">
        <w:rPr>
          <w:rStyle w:val="PlaceholderText"/>
          <w:b/>
          <w:color w:val="000000"/>
        </w:rPr>
        <w:t>K bodu 3</w:t>
      </w:r>
    </w:p>
    <w:p w:rsidR="0067427D" w:rsidRPr="00B6143C" w:rsidP="0067427D">
      <w:pPr>
        <w:widowControl/>
        <w:bidi w:val="0"/>
        <w:ind w:firstLine="720"/>
        <w:jc w:val="both"/>
        <w:rPr>
          <w:rStyle w:val="PlaceholderText"/>
          <w:color w:val="000000"/>
        </w:rPr>
      </w:pPr>
      <w:r w:rsidRPr="00B6143C">
        <w:rPr>
          <w:rStyle w:val="PlaceholderText"/>
          <w:color w:val="000000"/>
        </w:rPr>
        <w:t>Na zmiernenie a zastavenie podkôrnikovej kalamity v smrečinách bolo možné poskytovať dotáciu len na realizáciu biologických opatrení. Keďže aplikácia biologických prípravkov nebola vždy účinná, navrhuje sa rozšíriť možnosť poskytnúť dotáciu aj na mechanické a chemické opatrenia.</w:t>
      </w:r>
    </w:p>
    <w:p w:rsidR="0067427D" w:rsidRPr="00B6143C" w:rsidP="0067427D">
      <w:pPr>
        <w:widowControl/>
        <w:bidi w:val="0"/>
        <w:jc w:val="both"/>
        <w:rPr>
          <w:rStyle w:val="PlaceholderText"/>
          <w:color w:val="000000"/>
        </w:rPr>
      </w:pPr>
    </w:p>
    <w:p w:rsidR="0067427D" w:rsidRPr="00B6143C" w:rsidP="0067427D">
      <w:pPr>
        <w:widowControl/>
        <w:bidi w:val="0"/>
        <w:jc w:val="both"/>
        <w:rPr>
          <w:rStyle w:val="PlaceholderText"/>
          <w:color w:val="000000"/>
        </w:rPr>
      </w:pPr>
      <w:r w:rsidRPr="00B6143C">
        <w:rPr>
          <w:rStyle w:val="PlaceholderText"/>
          <w:b/>
          <w:color w:val="000000"/>
        </w:rPr>
        <w:t>K bodu 4</w:t>
      </w:r>
    </w:p>
    <w:p w:rsidR="0067427D" w:rsidRPr="00B6143C" w:rsidP="0067427D">
      <w:pPr>
        <w:widowControl/>
        <w:bidi w:val="0"/>
        <w:ind w:firstLine="720"/>
        <w:jc w:val="both"/>
        <w:rPr>
          <w:rStyle w:val="PlaceholderText"/>
          <w:color w:val="000000"/>
        </w:rPr>
      </w:pPr>
      <w:r w:rsidRPr="00B6143C">
        <w:rPr>
          <w:rStyle w:val="PlaceholderText"/>
          <w:color w:val="000000"/>
        </w:rPr>
        <w:t>Navrhuje sa poskytnúť dotáciu aj na revitalizáciu lesných pozemkov a lesných porastov.</w:t>
      </w:r>
    </w:p>
    <w:p w:rsidR="0067427D" w:rsidRPr="00B6143C" w:rsidP="0067427D">
      <w:pPr>
        <w:widowControl/>
        <w:bidi w:val="0"/>
        <w:jc w:val="both"/>
        <w:rPr>
          <w:rStyle w:val="PlaceholderText"/>
          <w:color w:val="000000"/>
        </w:rPr>
      </w:pPr>
      <w:r w:rsidRPr="00B6143C">
        <w:rPr>
          <w:rStyle w:val="PlaceholderText"/>
          <w:color w:val="000000"/>
        </w:rPr>
        <w:t> </w:t>
      </w:r>
    </w:p>
    <w:p w:rsidR="0067427D" w:rsidRPr="00B6143C" w:rsidP="0067427D">
      <w:pPr>
        <w:widowControl/>
        <w:bidi w:val="0"/>
        <w:jc w:val="both"/>
        <w:rPr>
          <w:rStyle w:val="PlaceholderText"/>
          <w:color w:val="000000"/>
        </w:rPr>
      </w:pPr>
      <w:r w:rsidRPr="00B6143C">
        <w:rPr>
          <w:rStyle w:val="PlaceholderText"/>
          <w:b/>
          <w:color w:val="000000"/>
        </w:rPr>
        <w:t>K bodu 5</w:t>
      </w:r>
    </w:p>
    <w:p w:rsidR="0067427D" w:rsidRPr="00B6143C" w:rsidP="0067427D">
      <w:pPr>
        <w:widowControl/>
        <w:bidi w:val="0"/>
        <w:ind w:firstLine="720"/>
        <w:jc w:val="both"/>
        <w:rPr>
          <w:rStyle w:val="PlaceholderText"/>
          <w:color w:val="000000"/>
        </w:rPr>
      </w:pPr>
      <w:r w:rsidRPr="00B6143C">
        <w:rPr>
          <w:rStyle w:val="PlaceholderText"/>
          <w:color w:val="000000"/>
        </w:rPr>
        <w:t>Legislatívnotechnická úprava, zosúladenie so znením  § 5 ods. 3 zákona č. 543/2002 Z. z. o ochrane prírody a krajiny v znení zákona č. 117/2010 Z. z.</w:t>
      </w:r>
    </w:p>
    <w:p w:rsidR="0067427D" w:rsidRPr="00B6143C" w:rsidP="0067427D">
      <w:pPr>
        <w:widowControl/>
        <w:bidi w:val="0"/>
        <w:jc w:val="both"/>
        <w:rPr>
          <w:rStyle w:val="PlaceholderText"/>
          <w:color w:val="000000"/>
        </w:rPr>
      </w:pPr>
      <w:r w:rsidRPr="00B6143C">
        <w:rPr>
          <w:rStyle w:val="PlaceholderText"/>
          <w:color w:val="000000"/>
        </w:rPr>
        <w:t> </w:t>
      </w:r>
    </w:p>
    <w:p w:rsidR="0067427D" w:rsidRPr="00B6143C" w:rsidP="0067427D">
      <w:pPr>
        <w:widowControl/>
        <w:bidi w:val="0"/>
        <w:jc w:val="both"/>
        <w:rPr>
          <w:rStyle w:val="PlaceholderText"/>
          <w:color w:val="000000"/>
        </w:rPr>
      </w:pPr>
      <w:r w:rsidRPr="00B6143C">
        <w:rPr>
          <w:rStyle w:val="PlaceholderText"/>
          <w:b/>
          <w:color w:val="000000"/>
        </w:rPr>
        <w:t>K bodu 6</w:t>
      </w:r>
    </w:p>
    <w:p w:rsidR="0067427D" w:rsidRPr="00B6143C" w:rsidP="0067427D">
      <w:pPr>
        <w:widowControl/>
        <w:bidi w:val="0"/>
        <w:ind w:firstLine="720"/>
        <w:jc w:val="both"/>
        <w:rPr>
          <w:rStyle w:val="PlaceholderText"/>
          <w:color w:val="000000"/>
        </w:rPr>
      </w:pPr>
      <w:r w:rsidRPr="00B6143C">
        <w:rPr>
          <w:rStyle w:val="PlaceholderText"/>
          <w:color w:val="000000"/>
        </w:rPr>
        <w:t>Rozširuje sa možnosť poskytnúť dotáciu pre Vojenské lesy a majetky SR – štátny podnik na akcie a činnosti na dosiahnutie a udržanie ekologickej stability, priaznivého stavu životného prostredia a na odstránenie následkov živelných pohrôm vo vojenskom obvode alebo na územiach slúžiacich na zabezpečenie úloh obrany štátu o trvalo udržateľné hospodárenie v lesoch, ktorým je hospodárenie v lesoch takým spôsobom a v takom rozsahu, aby sa zachovala ich biologická diverzita, odolnosť, produkčná a obnovná schopnosť, životnosť a schopnosť plniť funkcie lesov.</w:t>
      </w:r>
    </w:p>
    <w:p w:rsidR="0067427D" w:rsidRPr="00B6143C" w:rsidP="0067427D">
      <w:pPr>
        <w:widowControl/>
        <w:bidi w:val="0"/>
        <w:jc w:val="both"/>
        <w:rPr>
          <w:rStyle w:val="PlaceholderText"/>
          <w:color w:val="000000"/>
        </w:rPr>
      </w:pPr>
      <w:r w:rsidRPr="00B6143C">
        <w:rPr>
          <w:rStyle w:val="PlaceholderText"/>
          <w:color w:val="000000"/>
        </w:rPr>
        <w:t> </w:t>
      </w:r>
    </w:p>
    <w:p w:rsidR="0067427D" w:rsidRPr="00B6143C" w:rsidP="0067427D">
      <w:pPr>
        <w:widowControl/>
        <w:bidi w:val="0"/>
        <w:jc w:val="both"/>
        <w:rPr>
          <w:rStyle w:val="PlaceholderText"/>
          <w:color w:val="000000"/>
        </w:rPr>
      </w:pPr>
      <w:r w:rsidRPr="00B6143C">
        <w:rPr>
          <w:rStyle w:val="PlaceholderText"/>
          <w:b/>
          <w:color w:val="000000"/>
        </w:rPr>
        <w:t>K bodu 7</w:t>
      </w:r>
    </w:p>
    <w:p w:rsidR="0067427D" w:rsidRPr="00B6143C" w:rsidP="0067427D">
      <w:pPr>
        <w:widowControl/>
        <w:bidi w:val="0"/>
        <w:ind w:firstLine="708"/>
        <w:jc w:val="both"/>
        <w:rPr>
          <w:rStyle w:val="PlaceholderText"/>
          <w:color w:val="000000"/>
        </w:rPr>
      </w:pPr>
      <w:r w:rsidRPr="00B6143C">
        <w:rPr>
          <w:rStyle w:val="PlaceholderText"/>
          <w:color w:val="000000"/>
        </w:rPr>
        <w:t>V odseku 5 sa rozširuje možnosť poskytnúť dotáciu podľa § 2 písm. m) aj na lesný majetok vo vlastníctve štátu, ktorý Vojenské lesy a majetky SR – štátny podnik spravujú na základe súhlasu Ministerstva pôdohospodárstva a rozvoja vidieka Slovenskej republiky podľa § 50 ods. 4 zákona č. 326/2005 Z. z. o lesoch v znení zákona č. 360/2007 Z. z.</w:t>
      </w:r>
    </w:p>
    <w:p w:rsidR="0067427D" w:rsidP="0067427D">
      <w:pPr>
        <w:widowControl/>
        <w:bidi w:val="0"/>
        <w:ind w:firstLine="720"/>
        <w:jc w:val="both"/>
        <w:rPr>
          <w:rStyle w:val="PlaceholderText"/>
          <w:color w:val="000000"/>
        </w:rPr>
      </w:pPr>
      <w:r w:rsidRPr="00B6143C">
        <w:rPr>
          <w:rStyle w:val="PlaceholderText"/>
          <w:color w:val="000000"/>
        </w:rPr>
        <w:t xml:space="preserve">V odseku 6 sa ustanovujú podmienky, za ktorých možno poskytnúť dotáciu na trvalo udržateľné hospodárenie v lesoch. Výška sadzby na hektár zabezpečeného mladého lesného porastu v príslušnom hospodárskom súbore lesných typov bude zverejnená vo výzve, ktorú Ministerstvo obrany Slovenskej republiky zverejní na svojom webovom sídle. </w:t>
      </w:r>
    </w:p>
    <w:p w:rsidR="0067427D" w:rsidRPr="00B6143C" w:rsidP="0067427D">
      <w:pPr>
        <w:widowControl/>
        <w:bidi w:val="0"/>
        <w:ind w:firstLine="720"/>
        <w:jc w:val="both"/>
        <w:rPr>
          <w:rStyle w:val="PlaceholderText"/>
          <w:color w:val="000000"/>
        </w:rPr>
      </w:pPr>
    </w:p>
    <w:p w:rsidR="0067427D" w:rsidRPr="00B6143C" w:rsidP="0067427D">
      <w:pPr>
        <w:widowControl/>
        <w:bidi w:val="0"/>
        <w:jc w:val="both"/>
        <w:rPr>
          <w:rStyle w:val="PlaceholderText"/>
          <w:color w:val="000000"/>
        </w:rPr>
      </w:pPr>
      <w:r w:rsidRPr="00B6143C">
        <w:rPr>
          <w:rStyle w:val="PlaceholderText"/>
          <w:b/>
          <w:color w:val="000000"/>
        </w:rPr>
        <w:t>K bodu 8</w:t>
      </w:r>
    </w:p>
    <w:p w:rsidR="0067427D" w:rsidRPr="00B6143C" w:rsidP="0067427D">
      <w:pPr>
        <w:widowControl/>
        <w:bidi w:val="0"/>
        <w:ind w:firstLine="720"/>
        <w:jc w:val="both"/>
        <w:rPr>
          <w:rStyle w:val="PlaceholderText"/>
          <w:color w:val="000000"/>
        </w:rPr>
      </w:pPr>
      <w:r w:rsidRPr="00B6143C">
        <w:rPr>
          <w:rStyle w:val="PlaceholderText"/>
          <w:color w:val="000000"/>
        </w:rPr>
        <w:t>Ustanovuje sa, že žiadosť o dotáciu na účely trvalo udržateľného hospodárenia v lesoch bude žiadateľ predkladať na základe výzvy v termíne a spôsobom, ktorý určí Ministerstvo obrany Slovenskej republiky.</w:t>
      </w:r>
    </w:p>
    <w:p w:rsidR="0067427D" w:rsidRPr="00B6143C" w:rsidP="0067427D">
      <w:pPr>
        <w:widowControl/>
        <w:bidi w:val="0"/>
        <w:jc w:val="both"/>
        <w:rPr>
          <w:rStyle w:val="PlaceholderText"/>
          <w:color w:val="000000"/>
        </w:rPr>
      </w:pPr>
      <w:r w:rsidRPr="00B6143C">
        <w:rPr>
          <w:rStyle w:val="PlaceholderText"/>
          <w:color w:val="000000"/>
        </w:rPr>
        <w:t> </w:t>
      </w:r>
    </w:p>
    <w:p w:rsidR="0067427D" w:rsidRPr="00B6143C" w:rsidP="0067427D">
      <w:pPr>
        <w:widowControl/>
        <w:bidi w:val="0"/>
        <w:jc w:val="both"/>
        <w:rPr>
          <w:rStyle w:val="PlaceholderText"/>
          <w:color w:val="000000"/>
        </w:rPr>
      </w:pPr>
      <w:r w:rsidRPr="00B6143C">
        <w:rPr>
          <w:rStyle w:val="PlaceholderText"/>
          <w:b/>
          <w:color w:val="000000"/>
        </w:rPr>
        <w:t>K bodu 9</w:t>
      </w:r>
    </w:p>
    <w:p w:rsidR="0067427D" w:rsidRPr="00B6143C" w:rsidP="0067427D">
      <w:pPr>
        <w:widowControl/>
        <w:bidi w:val="0"/>
        <w:ind w:firstLine="708"/>
        <w:jc w:val="both"/>
        <w:rPr>
          <w:rStyle w:val="PlaceholderText"/>
          <w:color w:val="000000"/>
        </w:rPr>
      </w:pPr>
      <w:r w:rsidRPr="00B6143C">
        <w:rPr>
          <w:rStyle w:val="PlaceholderText"/>
          <w:color w:val="000000"/>
        </w:rPr>
        <w:t>Podľa § 4 ods. 2 zákona č. 435/2010 Z. z. žiadosť o poskytnutie dotácie predkladá žiadateľ ministerstvu obrany do 31. marca príslušného rozpočtového roka, v ktorom sa dotácia žiada. Vzhľadom na doplnenie účelu poskytovania dotácií a vzhľadom na nadobudnutie účinnosti zákona navrhuje sa v roku 2013 ustanoviť osobitný dátum podania žiadostí na účely podľa § 2 písm. l), okrem žiadosti na úhradu zvýšených nákladov na poľnohospodársku výrobu z dôvodu výcviku ozbrojených síl Slovenskej republiky vo vojenskom obvode a na účely podľa § 2 písm. m), okrem žiadosti na odstraňovanie následkov požiarov, zosuvov, lesných kalamít a povodní a na trvalo udržateľné hospodárenie v lesoch, na lesný majetok vo vlastníctve štátu, ktorý Vojenské lesy a majetky SR – štátny podnik spravujú so súhlasom Ministerstva pôdohospodárstva a rozvoja vidieka Slovenskej republiky.</w:t>
      </w:r>
    </w:p>
    <w:p w:rsidR="0067427D" w:rsidRPr="00B6143C" w:rsidP="0067427D">
      <w:pPr>
        <w:widowControl/>
        <w:bidi w:val="0"/>
        <w:ind w:firstLine="708"/>
        <w:jc w:val="both"/>
        <w:rPr>
          <w:rStyle w:val="PlaceholderText"/>
          <w:color w:val="000000"/>
        </w:rPr>
      </w:pPr>
      <w:r w:rsidRPr="00B6143C">
        <w:rPr>
          <w:rStyle w:val="PlaceholderText"/>
          <w:color w:val="000000"/>
        </w:rPr>
        <w:t xml:space="preserve">Žiadosť na úhradu zvýšených nákladov na poľnohospodársku výrobu z dôvodu výcviku ozbrojených síl Slovenskej republiky vo vojenskom obvode mali Vojenské lesy a majetky SR – štátny podnik možnosť podať do 31. marca. Žiadosť na odstraňovanie následkov požiarov, zosuvov, lesných kalamít a povodní a na trvalo udržateľné hospodárenie v lesoch budú Vojenské lesy a majetky SR - štátny podnik podávať na základe výzvy, ktorú ministerstvo obrany zverejní na svojom webovom sídle a v ktorej uvedie aj termín predloženia žiadosti. </w:t>
      </w:r>
    </w:p>
    <w:p w:rsidR="0067427D" w:rsidRPr="00B6143C" w:rsidP="0067427D">
      <w:pPr>
        <w:widowControl/>
        <w:bidi w:val="0"/>
        <w:jc w:val="both"/>
        <w:rPr>
          <w:rStyle w:val="PlaceholderText"/>
          <w:color w:val="000000"/>
        </w:rPr>
      </w:pPr>
      <w:r w:rsidRPr="00B6143C">
        <w:rPr>
          <w:rStyle w:val="PlaceholderText"/>
          <w:b/>
          <w:color w:val="000000"/>
        </w:rPr>
        <w:t> </w:t>
      </w:r>
    </w:p>
    <w:p w:rsidR="0067427D" w:rsidRPr="00B6143C" w:rsidP="0067427D">
      <w:pPr>
        <w:widowControl/>
        <w:bidi w:val="0"/>
        <w:jc w:val="both"/>
        <w:rPr>
          <w:rStyle w:val="PlaceholderText"/>
          <w:color w:val="000000"/>
        </w:rPr>
      </w:pPr>
      <w:r w:rsidRPr="00B6143C">
        <w:rPr>
          <w:rStyle w:val="PlaceholderText"/>
          <w:b/>
          <w:color w:val="000000"/>
        </w:rPr>
        <w:t>K bodu 10</w:t>
      </w:r>
    </w:p>
    <w:p w:rsidR="0067427D" w:rsidRPr="00B6143C" w:rsidP="0067427D">
      <w:pPr>
        <w:widowControl/>
        <w:bidi w:val="0"/>
        <w:ind w:firstLine="720"/>
        <w:jc w:val="both"/>
        <w:rPr>
          <w:rStyle w:val="PlaceholderText"/>
          <w:color w:val="000000"/>
        </w:rPr>
      </w:pPr>
      <w:r w:rsidRPr="00B6143C">
        <w:rPr>
          <w:rStyle w:val="PlaceholderText"/>
          <w:color w:val="000000"/>
        </w:rPr>
        <w:t xml:space="preserve">Legislatívnotechnická úprava.  Zosúlaďuje sa znenie poznámky x/ s § 3 ods. 3 zákona č. 435/2010 Z. z. </w:t>
      </w:r>
    </w:p>
    <w:p w:rsidR="0067427D" w:rsidRPr="00B6143C" w:rsidP="0067427D">
      <w:pPr>
        <w:widowControl/>
        <w:bidi w:val="0"/>
        <w:jc w:val="both"/>
        <w:rPr>
          <w:rStyle w:val="PlaceholderText"/>
          <w:color w:val="000000"/>
        </w:rPr>
      </w:pPr>
      <w:r w:rsidRPr="00B6143C">
        <w:rPr>
          <w:rStyle w:val="PlaceholderText"/>
          <w:color w:val="000000"/>
        </w:rPr>
        <w:t> </w:t>
      </w:r>
    </w:p>
    <w:p w:rsidR="0067427D" w:rsidRPr="00B6143C" w:rsidP="0067427D">
      <w:pPr>
        <w:widowControl/>
        <w:bidi w:val="0"/>
        <w:jc w:val="both"/>
        <w:rPr>
          <w:rStyle w:val="PlaceholderText"/>
          <w:color w:val="000000"/>
        </w:rPr>
      </w:pPr>
      <w:r w:rsidRPr="00B6143C">
        <w:rPr>
          <w:rStyle w:val="PlaceholderText"/>
          <w:b/>
          <w:color w:val="000000"/>
        </w:rPr>
        <w:t>K bodu 11</w:t>
      </w:r>
    </w:p>
    <w:p w:rsidR="0067427D" w:rsidRPr="00B6143C" w:rsidP="0067427D">
      <w:pPr>
        <w:widowControl/>
        <w:bidi w:val="0"/>
        <w:ind w:firstLine="708"/>
        <w:jc w:val="both"/>
        <w:rPr>
          <w:rStyle w:val="PlaceholderText"/>
          <w:color w:val="000000"/>
        </w:rPr>
      </w:pPr>
      <w:r w:rsidRPr="00B6143C">
        <w:rPr>
          <w:rStyle w:val="PlaceholderText"/>
          <w:color w:val="000000"/>
        </w:rPr>
        <w:t xml:space="preserve">V pôsobnosti Ministerstva obrany Slovenskej republiky možno poskytovať dotácie právnickým osobám alebo fyzickým osobám podnikateľom. Tieto subjekty nemajú postavenie dotknutých osôb podľa § 4 ods. 5 zákona č. 428/2002 Z. z. o ochrane osobných údajov v znení neskorších predpisov, preto nie je potrebné od nich vyžadovať súhlas so spracúvaním osobných údajov. </w:t>
      </w:r>
    </w:p>
    <w:p w:rsidR="0067427D" w:rsidRPr="00B6143C" w:rsidP="0067427D">
      <w:pPr>
        <w:widowControl/>
        <w:bidi w:val="0"/>
        <w:jc w:val="both"/>
        <w:rPr>
          <w:rStyle w:val="PlaceholderText"/>
          <w:color w:val="000000"/>
        </w:rPr>
      </w:pPr>
      <w:r w:rsidRPr="00B6143C">
        <w:rPr>
          <w:rStyle w:val="PlaceholderText"/>
          <w:color w:val="000000"/>
        </w:rPr>
        <w:t> </w:t>
      </w:r>
    </w:p>
    <w:p w:rsidR="0067427D" w:rsidRPr="00B6143C" w:rsidP="0067427D">
      <w:pPr>
        <w:widowControl/>
        <w:bidi w:val="0"/>
        <w:spacing w:after="120"/>
        <w:jc w:val="both"/>
        <w:rPr>
          <w:rStyle w:val="PlaceholderText"/>
          <w:color w:val="000000"/>
        </w:rPr>
      </w:pPr>
      <w:r w:rsidRPr="00B6143C">
        <w:rPr>
          <w:rStyle w:val="PlaceholderText"/>
          <w:b/>
          <w:color w:val="000000"/>
        </w:rPr>
        <w:t>K čl. II</w:t>
      </w:r>
    </w:p>
    <w:p w:rsidR="0067427D" w:rsidRPr="00B6143C" w:rsidP="0067427D">
      <w:pPr>
        <w:widowControl/>
        <w:bidi w:val="0"/>
        <w:jc w:val="both"/>
        <w:rPr>
          <w:rStyle w:val="PlaceholderText"/>
          <w:color w:val="000000"/>
        </w:rPr>
      </w:pPr>
      <w:r w:rsidRPr="00B6143C">
        <w:rPr>
          <w:rStyle w:val="PlaceholderText"/>
          <w:b/>
          <w:color w:val="000000"/>
        </w:rPr>
        <w:t> </w:t>
      </w:r>
      <w:r>
        <w:rPr>
          <w:rStyle w:val="PlaceholderText"/>
          <w:b/>
          <w:color w:val="000000"/>
        </w:rPr>
        <w:tab/>
      </w:r>
      <w:r w:rsidRPr="00B6143C">
        <w:rPr>
          <w:rStyle w:val="PlaceholderText"/>
          <w:color w:val="000000"/>
        </w:rPr>
        <w:t>Navrhuje sa účinnosť zákona.</w:t>
      </w:r>
    </w:p>
    <w:p w:rsidR="0067427D" w:rsidRPr="00B6143C" w:rsidP="0067427D">
      <w:pPr>
        <w:widowControl/>
        <w:bidi w:val="0"/>
        <w:jc w:val="both"/>
        <w:rPr>
          <w:rStyle w:val="PlaceholderText"/>
          <w:color w:val="000000"/>
        </w:rPr>
      </w:pPr>
      <w:r w:rsidRPr="00B6143C">
        <w:rPr>
          <w:rStyle w:val="PlaceholderText"/>
          <w:color w:val="000000"/>
        </w:rPr>
        <w:t> </w:t>
      </w:r>
    </w:p>
    <w:p w:rsidR="0067427D" w:rsidP="0067427D">
      <w:pPr>
        <w:widowControl/>
        <w:bidi w:val="0"/>
        <w:jc w:val="both"/>
        <w:rPr>
          <w:rStyle w:val="PlaceholderText"/>
          <w:color w:val="000000"/>
        </w:rPr>
      </w:pPr>
      <w:r>
        <w:rPr>
          <w:rStyle w:val="PlaceholderText"/>
          <w:color w:val="000000"/>
        </w:rPr>
        <w:t>Bratislava 24. apríla 2013</w:t>
      </w:r>
    </w:p>
    <w:p w:rsidR="0067427D" w:rsidP="0067427D">
      <w:pPr>
        <w:widowControl/>
        <w:bidi w:val="0"/>
        <w:jc w:val="both"/>
        <w:rPr>
          <w:rStyle w:val="PlaceholderText"/>
          <w:color w:val="000000"/>
        </w:rPr>
      </w:pPr>
    </w:p>
    <w:p w:rsidR="0067427D" w:rsidRPr="001F2F20" w:rsidP="0067427D">
      <w:pPr>
        <w:pStyle w:val="BodyText"/>
        <w:bidi w:val="0"/>
        <w:jc w:val="center"/>
        <w:rPr>
          <w:rFonts w:ascii="Times New Roman" w:hAnsi="Times New Roman"/>
          <w:b/>
        </w:rPr>
      </w:pPr>
      <w:r w:rsidRPr="001F2F20">
        <w:rPr>
          <w:rFonts w:ascii="Times New Roman" w:hAnsi="Times New Roman"/>
          <w:b/>
          <w:bCs/>
        </w:rPr>
        <w:t>Robert Fico</w:t>
      </w:r>
      <w:r>
        <w:rPr>
          <w:rFonts w:ascii="Times New Roman" w:hAnsi="Times New Roman"/>
          <w:b/>
          <w:bCs/>
        </w:rPr>
        <w:t>, v. r.</w:t>
      </w:r>
    </w:p>
    <w:p w:rsidR="0067427D" w:rsidRPr="001F2F20" w:rsidP="0067427D">
      <w:pPr>
        <w:bidi w:val="0"/>
        <w:jc w:val="center"/>
        <w:rPr>
          <w:rFonts w:ascii="Times New Roman" w:hAnsi="Times New Roman"/>
        </w:rPr>
      </w:pPr>
    </w:p>
    <w:p w:rsidR="0067427D" w:rsidP="0067427D">
      <w:pPr>
        <w:bidi w:val="0"/>
        <w:jc w:val="center"/>
        <w:rPr>
          <w:rFonts w:ascii="Times New Roman" w:hAnsi="Times New Roman"/>
        </w:rPr>
      </w:pPr>
    </w:p>
    <w:p w:rsidR="0067427D" w:rsidRPr="001F2F20" w:rsidP="0067427D">
      <w:pPr>
        <w:bidi w:val="0"/>
        <w:jc w:val="center"/>
        <w:rPr>
          <w:rFonts w:ascii="Times New Roman" w:hAnsi="Times New Roman"/>
        </w:rPr>
      </w:pPr>
    </w:p>
    <w:p w:rsidR="0067427D" w:rsidRPr="001F2F20" w:rsidP="0067427D">
      <w:pPr>
        <w:bidi w:val="0"/>
        <w:jc w:val="center"/>
        <w:rPr>
          <w:rFonts w:ascii="Times New Roman" w:hAnsi="Times New Roman"/>
          <w:b/>
        </w:rPr>
      </w:pPr>
      <w:r>
        <w:rPr>
          <w:rFonts w:ascii="Times New Roman" w:hAnsi="Times New Roman"/>
          <w:b/>
        </w:rPr>
        <w:t>Martin Glváč, v. r.</w:t>
      </w:r>
      <w:r w:rsidRPr="001F2F20">
        <w:rPr>
          <w:rFonts w:ascii="Times New Roman" w:hAnsi="Times New Roman"/>
          <w:b/>
        </w:rPr>
        <w:t xml:space="preserve"> </w:t>
      </w:r>
    </w:p>
    <w:p w:rsidR="008F47FF">
      <w:pPr>
        <w:bidi w:val="0"/>
        <w:rPr>
          <w:rFonts w:ascii="Times New Roman" w:hAnsi="Times New Roman"/>
        </w:rPr>
      </w:pP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67427D"/>
    <w:rsid w:val="001F2F20"/>
    <w:rsid w:val="004B37B2"/>
    <w:rsid w:val="00577A31"/>
    <w:rsid w:val="0067427D"/>
    <w:rsid w:val="00866059"/>
    <w:rsid w:val="008F47FF"/>
    <w:rsid w:val="009746BC"/>
    <w:rsid w:val="00B6143C"/>
    <w:rsid w:val="00F67DD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427D"/>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styleId="PlaceholderText">
    <w:name w:val="Placeholder Text"/>
    <w:basedOn w:val="DefaultParagraphFont"/>
    <w:semiHidden/>
    <w:rsid w:val="0067427D"/>
    <w:rPr>
      <w:rFonts w:ascii="Times New Roman" w:hAnsi="Times New Roman" w:cs="Times New Roman"/>
      <w:color w:val="808080"/>
      <w:rtl w:val="0"/>
      <w:cs w:val="0"/>
    </w:rPr>
  </w:style>
  <w:style w:type="paragraph" w:styleId="NormalWeb">
    <w:name w:val="Normal (Web)"/>
    <w:aliases w:val="webb"/>
    <w:basedOn w:val="Normal"/>
    <w:rsid w:val="0067427D"/>
    <w:pPr>
      <w:widowControl/>
      <w:adjustRightInd/>
      <w:spacing w:before="100" w:beforeAutospacing="1" w:after="100" w:afterAutospacing="1"/>
      <w:jc w:val="left"/>
    </w:pPr>
  </w:style>
  <w:style w:type="paragraph" w:styleId="BodyText">
    <w:name w:val="Body Text"/>
    <w:basedOn w:val="Normal"/>
    <w:link w:val="BodyTextChar"/>
    <w:rsid w:val="0067427D"/>
    <w:pPr>
      <w:widowControl/>
      <w:adjustRightInd/>
      <w:spacing w:before="120"/>
      <w:jc w:val="both"/>
    </w:pPr>
    <w:rPr>
      <w:lang w:eastAsia="cs-CZ"/>
    </w:rPr>
  </w:style>
  <w:style w:type="character" w:customStyle="1" w:styleId="BodyTextChar">
    <w:name w:val="Body Text Char"/>
    <w:basedOn w:val="DefaultParagraphFont"/>
    <w:link w:val="BodyText"/>
    <w:locked/>
    <w:rsid w:val="0067427D"/>
    <w:rPr>
      <w:rFonts w:cs="Times New Roman"/>
      <w:sz w:val="24"/>
      <w:szCs w:val="24"/>
      <w:rtl w:val="0"/>
      <w:cs w:val="0"/>
      <w:lang w:val="sk-SK" w:eastAsia="cs-CZ"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2156</Words>
  <Characters>12295</Characters>
  <Application>Microsoft Office Word</Application>
  <DocSecurity>0</DocSecurity>
  <Lines>0</Lines>
  <Paragraphs>0</Paragraphs>
  <ScaleCrop>false</ScaleCrop>
  <Company>MOSR</Company>
  <LinksUpToDate>false</LinksUpToDate>
  <CharactersWithSpaces>14423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manekovan</dc:creator>
  <cp:lastModifiedBy>Gašparíková, Jarmila</cp:lastModifiedBy>
  <cp:revision>2</cp:revision>
  <cp:lastPrinted>2013-04-24T13:13:00Z</cp:lastPrinted>
  <dcterms:created xsi:type="dcterms:W3CDTF">2013-04-26T09:59:00Z</dcterms:created>
  <dcterms:modified xsi:type="dcterms:W3CDTF">2013-04-26T09:59:00Z</dcterms:modified>
</cp:coreProperties>
</file>