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97699" w:rsidRPr="00D97699" w:rsidP="00D97699">
      <w:pPr>
        <w:bidi w:val="0"/>
        <w:ind w:right="-993"/>
        <w:jc w:val="center"/>
        <w:rPr>
          <w:rFonts w:ascii="Times New Roman" w:hAnsi="Times New Roman"/>
          <w:b/>
          <w:bCs/>
          <w:sz w:val="24"/>
        </w:rPr>
      </w:pPr>
      <w:r w:rsidRPr="00D97699">
        <w:rPr>
          <w:rFonts w:ascii="Times New Roman" w:hAnsi="Times New Roman"/>
          <w:b/>
          <w:bCs/>
          <w:sz w:val="24"/>
        </w:rPr>
        <w:t>TABUĽKA ZHODY</w:t>
      </w:r>
    </w:p>
    <w:p w:rsidR="00D97699" w:rsidP="00D97699">
      <w:pPr>
        <w:pStyle w:val="NormalWeb"/>
        <w:bidi w:val="0"/>
        <w:spacing w:before="0" w:after="0"/>
        <w:ind w:right="-108"/>
        <w:jc w:val="center"/>
        <w:rPr>
          <w:rFonts w:ascii="Times New Roman" w:hAnsi="Times New Roman"/>
          <w:b/>
          <w:sz w:val="24"/>
          <w:szCs w:val="24"/>
        </w:rPr>
      </w:pPr>
      <w:r w:rsidRPr="00D97699">
        <w:rPr>
          <w:rFonts w:ascii="Times New Roman" w:hAnsi="Times New Roman"/>
          <w:b/>
          <w:sz w:val="24"/>
          <w:szCs w:val="24"/>
        </w:rPr>
        <w:t>k návrhu zákona,</w:t>
      </w:r>
      <w:r w:rsidRPr="00D97699">
        <w:rPr>
          <w:rFonts w:ascii="Times New Roman" w:hAnsi="Times New Roman"/>
          <w:sz w:val="24"/>
          <w:szCs w:val="24"/>
        </w:rPr>
        <w:t xml:space="preserve"> </w:t>
      </w:r>
      <w:r w:rsidRPr="00D97699">
        <w:rPr>
          <w:rFonts w:ascii="Times New Roman" w:hAnsi="Times New Roman"/>
          <w:b/>
          <w:sz w:val="24"/>
          <w:szCs w:val="24"/>
        </w:rPr>
        <w:t xml:space="preserve">ktorým sa mení a dopĺňa zákon č. 580/2004 Z. z. o zdravotnom poistení a o zmene a doplnení zákona č. 95/2002 Z. z. o poisťovníctve a o zmene a doplnení niektorých zákonov v znení neskorších predpisov </w:t>
      </w:r>
    </w:p>
    <w:p w:rsidR="00D97699" w:rsidRPr="00D97699" w:rsidP="00D97699">
      <w:pPr>
        <w:pStyle w:val="NormalWeb"/>
        <w:bidi w:val="0"/>
        <w:spacing w:before="0" w:after="0"/>
        <w:ind w:right="-108"/>
        <w:jc w:val="center"/>
        <w:rPr>
          <w:rFonts w:ascii="Times New Roman" w:hAnsi="Times New Roman"/>
          <w:b/>
          <w:sz w:val="24"/>
          <w:szCs w:val="24"/>
        </w:rPr>
      </w:pPr>
      <w:r w:rsidRPr="00D97699">
        <w:rPr>
          <w:rFonts w:ascii="Times New Roman" w:hAnsi="Times New Roman"/>
          <w:b/>
          <w:sz w:val="24"/>
          <w:szCs w:val="24"/>
        </w:rPr>
        <w:t>a ktorým sa menia a dopĺňajú niektoré zákony</w:t>
      </w:r>
    </w:p>
    <w:p w:rsidR="00D97699" w:rsidRPr="00D97699" w:rsidP="00D97699">
      <w:pPr>
        <w:pStyle w:val="Heading2"/>
        <w:bidi w:val="0"/>
        <w:spacing w:before="0"/>
        <w:jc w:val="center"/>
        <w:rPr>
          <w:rFonts w:ascii="Times New Roman" w:hAnsi="Times New Roman"/>
          <w:color w:val="auto"/>
          <w:sz w:val="24"/>
          <w:szCs w:val="24"/>
        </w:rPr>
      </w:pPr>
      <w:r w:rsidRPr="00D97699">
        <w:rPr>
          <w:rFonts w:ascii="Times New Roman" w:hAnsi="Times New Roman"/>
          <w:color w:val="auto"/>
          <w:sz w:val="24"/>
          <w:szCs w:val="24"/>
        </w:rPr>
        <w:t>s právom Európskych spoločenstiev a právom Európskej únie</w:t>
      </w:r>
    </w:p>
    <w:p w:rsidR="00B5023C" w:rsidRPr="00320E51" w:rsidP="00D97699">
      <w:pPr>
        <w:bidi w:val="0"/>
        <w:jc w:val="center"/>
        <w:rPr>
          <w:rFonts w:ascii="Times New Roman" w:hAnsi="Times New Roman"/>
        </w:rPr>
      </w:pPr>
    </w:p>
    <w:tbl>
      <w:tblPr>
        <w:tblStyle w:val="TableNormal"/>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44"/>
        <w:gridCol w:w="5245"/>
        <w:gridCol w:w="708"/>
        <w:gridCol w:w="567"/>
        <w:gridCol w:w="1024"/>
        <w:gridCol w:w="4363"/>
        <w:gridCol w:w="567"/>
        <w:gridCol w:w="992"/>
      </w:tblGrid>
      <w:tr>
        <w:tblPrEx>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Ex>
        <w:tc>
          <w:tcPr>
            <w:tcW w:w="6597" w:type="dxa"/>
            <w:gridSpan w:val="3"/>
            <w:tcBorders>
              <w:top w:val="single" w:sz="4" w:space="0" w:color="auto"/>
              <w:left w:val="single" w:sz="4" w:space="0" w:color="auto"/>
              <w:bottom w:val="single" w:sz="4" w:space="0" w:color="auto"/>
              <w:right w:val="single" w:sz="4" w:space="0" w:color="auto"/>
            </w:tcBorders>
            <w:textDirection w:val="lrTb"/>
            <w:vAlign w:val="top"/>
          </w:tcPr>
          <w:p w:rsidR="004B1BB9" w:rsidRPr="00D97699" w:rsidP="00D97699">
            <w:pPr>
              <w:pStyle w:val="NormalWeb"/>
              <w:bidi w:val="0"/>
              <w:spacing w:before="0" w:after="0"/>
              <w:ind w:left="0"/>
              <w:jc w:val="both"/>
              <w:rPr>
                <w:rStyle w:val="Strong"/>
                <w:rFonts w:ascii="Times New Roman" w:hAnsi="Times New Roman"/>
                <w:bCs/>
                <w:sz w:val="20"/>
                <w:szCs w:val="20"/>
              </w:rPr>
            </w:pPr>
            <w:r w:rsidRPr="00D97699">
              <w:rPr>
                <w:rStyle w:val="Strong"/>
                <w:rFonts w:ascii="Times New Roman" w:hAnsi="Times New Roman"/>
                <w:bCs/>
                <w:sz w:val="20"/>
                <w:szCs w:val="20"/>
              </w:rPr>
              <w:t xml:space="preserve">Smernica Európskeho parlamentu a Rady 2012/26/EÚ z  25. októbra 2012, ktorou sa mení a dopĺňa smernica 2001/83/ES, pokiaľ ide o dohľad nad liekmi </w:t>
            </w:r>
          </w:p>
          <w:p w:rsidR="00B5023C" w:rsidRPr="00D97699" w:rsidP="00D97699">
            <w:pPr>
              <w:bidi w:val="0"/>
              <w:ind w:left="150" w:right="150"/>
              <w:rPr>
                <w:rFonts w:ascii="Times New Roman" w:hAnsi="Times New Roman"/>
                <w:b/>
                <w:sz w:val="20"/>
                <w:szCs w:val="20"/>
              </w:rPr>
            </w:pPr>
          </w:p>
        </w:tc>
        <w:tc>
          <w:tcPr>
            <w:tcW w:w="7513" w:type="dxa"/>
            <w:gridSpan w:val="5"/>
            <w:tcBorders>
              <w:top w:val="single" w:sz="4" w:space="0" w:color="auto"/>
              <w:left w:val="single" w:sz="4" w:space="0" w:color="auto"/>
              <w:bottom w:val="single" w:sz="4" w:space="0" w:color="auto"/>
              <w:right w:val="single" w:sz="4" w:space="0" w:color="auto"/>
            </w:tcBorders>
            <w:textDirection w:val="lrTb"/>
            <w:vAlign w:val="top"/>
          </w:tcPr>
          <w:p w:rsidR="00D97699" w:rsidRPr="00D97699" w:rsidP="00D97699">
            <w:pPr>
              <w:pStyle w:val="Heading3"/>
              <w:numPr>
                <w:numId w:val="0"/>
              </w:numPr>
              <w:tabs>
                <w:tab w:val="clear" w:pos="720"/>
              </w:tabs>
              <w:bidi w:val="0"/>
              <w:ind w:left="720" w:hanging="720"/>
              <w:rPr>
                <w:rFonts w:hint="default"/>
                <w:sz w:val="20"/>
                <w:szCs w:val="20"/>
              </w:rPr>
            </w:pPr>
            <w:r w:rsidRPr="00D97699">
              <w:rPr>
                <w:rFonts w:hint="default"/>
                <w:sz w:val="20"/>
                <w:szCs w:val="20"/>
              </w:rPr>
              <w:t>Vš</w:t>
            </w:r>
            <w:r w:rsidRPr="00D97699">
              <w:rPr>
                <w:rFonts w:hint="default"/>
                <w:sz w:val="20"/>
                <w:szCs w:val="20"/>
              </w:rPr>
              <w:t>eobecne zá</w:t>
            </w:r>
            <w:r w:rsidRPr="00D97699">
              <w:rPr>
                <w:rFonts w:hint="default"/>
                <w:sz w:val="20"/>
                <w:szCs w:val="20"/>
              </w:rPr>
              <w:t>vä</w:t>
            </w:r>
            <w:r w:rsidRPr="00D97699">
              <w:rPr>
                <w:rFonts w:hint="default"/>
                <w:sz w:val="20"/>
                <w:szCs w:val="20"/>
              </w:rPr>
              <w:t>zné</w:t>
            </w:r>
            <w:r w:rsidRPr="00D97699">
              <w:rPr>
                <w:rFonts w:hint="default"/>
                <w:sz w:val="20"/>
                <w:szCs w:val="20"/>
              </w:rPr>
              <w:t xml:space="preserve"> prá</w:t>
            </w:r>
            <w:r w:rsidRPr="00D97699">
              <w:rPr>
                <w:rFonts w:hint="default"/>
                <w:sz w:val="20"/>
                <w:szCs w:val="20"/>
              </w:rPr>
              <w:t>vne pre</w:t>
            </w:r>
            <w:r w:rsidRPr="00D97699">
              <w:rPr>
                <w:rFonts w:hint="default"/>
                <w:sz w:val="20"/>
                <w:szCs w:val="20"/>
              </w:rPr>
              <w:t>dpisy SR</w:t>
            </w:r>
          </w:p>
          <w:p w:rsidR="00D97699" w:rsidRPr="00D97699" w:rsidP="00D97699">
            <w:pPr>
              <w:pStyle w:val="NormalWeb"/>
              <w:bidi w:val="0"/>
              <w:spacing w:before="0" w:after="0"/>
              <w:ind w:left="0" w:right="-108"/>
              <w:rPr>
                <w:rFonts w:ascii="Times New Roman" w:hAnsi="Times New Roman"/>
                <w:b/>
                <w:sz w:val="20"/>
                <w:szCs w:val="20"/>
              </w:rPr>
            </w:pPr>
            <w:r w:rsidRPr="00D97699">
              <w:rPr>
                <w:rFonts w:ascii="Times New Roman" w:hAnsi="Times New Roman"/>
                <w:b/>
                <w:bCs/>
                <w:sz w:val="20"/>
                <w:szCs w:val="20"/>
              </w:rPr>
              <w:t xml:space="preserve">Návrh zákona, ktorým sa mení a dopĺňa zákon </w:t>
            </w:r>
            <w:r w:rsidRPr="00D97699">
              <w:rPr>
                <w:rFonts w:ascii="Times New Roman" w:hAnsi="Times New Roman"/>
                <w:b/>
                <w:sz w:val="20"/>
                <w:szCs w:val="20"/>
              </w:rPr>
              <w:t xml:space="preserve">č. 580/2004 Z. z. o zdravotnom poistení a o zmene a doplnení zákona č. 95/2002 Z. z. o poisťovníctve a o zmene a doplnení niektorých zákonov v znení neskorších predpisov a ktorým sa menia a dopĺňajú niektoré zákony </w:t>
            </w:r>
            <w:r w:rsidRPr="00D97699">
              <w:rPr>
                <w:rFonts w:ascii="Times New Roman" w:hAnsi="Times New Roman"/>
                <w:b/>
                <w:bCs/>
                <w:sz w:val="20"/>
                <w:szCs w:val="20"/>
              </w:rPr>
              <w:t xml:space="preserve">(ďalej len „návrh zákona“) </w:t>
            </w:r>
          </w:p>
          <w:p w:rsidR="00D97699" w:rsidRPr="00D97699" w:rsidP="00D97699">
            <w:pPr>
              <w:pStyle w:val="Zarkazkladnhotextu1"/>
              <w:bidi w:val="0"/>
              <w:ind w:left="0"/>
              <w:jc w:val="left"/>
              <w:rPr>
                <w:rFonts w:ascii="Times New Roman" w:hAnsi="Times New Roman"/>
                <w:b/>
                <w:sz w:val="20"/>
                <w:szCs w:val="20"/>
              </w:rPr>
            </w:pPr>
          </w:p>
          <w:p w:rsidR="00B5023C" w:rsidRPr="00D97699" w:rsidP="00D97699">
            <w:pPr>
              <w:pStyle w:val="Zarkazkladnhotextu1"/>
              <w:bidi w:val="0"/>
              <w:ind w:left="0"/>
              <w:jc w:val="left"/>
              <w:rPr>
                <w:rFonts w:ascii="Times New Roman" w:hAnsi="Times New Roman"/>
                <w:b/>
                <w:sz w:val="20"/>
                <w:szCs w:val="20"/>
              </w:rPr>
            </w:pPr>
            <w:r w:rsidRPr="00D97699" w:rsidR="00D97699">
              <w:rPr>
                <w:rFonts w:ascii="Times New Roman" w:hAnsi="Times New Roman"/>
                <w:b/>
                <w:bCs/>
                <w:sz w:val="20"/>
                <w:szCs w:val="20"/>
              </w:rPr>
              <w:t>Z</w:t>
            </w:r>
            <w:r w:rsidRPr="00D97699" w:rsidR="00344267">
              <w:rPr>
                <w:rFonts w:ascii="Times New Roman" w:hAnsi="Times New Roman"/>
                <w:b/>
                <w:bCs/>
                <w:sz w:val="20"/>
                <w:szCs w:val="20"/>
              </w:rPr>
              <w:t xml:space="preserve">ákon, ktorým sa mení a  dopĺňa zákon č. 362/2011 Z. z. o liekoch  a zdravotníckych pomôckach a o zmene a doplnení niektorých zákonov </w:t>
            </w:r>
            <w:r w:rsidRPr="00D97699" w:rsidR="004B1BB9">
              <w:rPr>
                <w:rFonts w:ascii="Times New Roman" w:hAnsi="Times New Roman"/>
                <w:b/>
                <w:bCs/>
                <w:sz w:val="20"/>
                <w:szCs w:val="20"/>
              </w:rPr>
              <w:t>v znení neskorších predpisov</w:t>
            </w: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hanging="142"/>
              <w:jc w:val="center"/>
              <w:rPr>
                <w:rFonts w:ascii="Times New Roman" w:hAnsi="Times New Roman"/>
                <w:sz w:val="16"/>
                <w:szCs w:val="16"/>
              </w:rPr>
            </w:pPr>
            <w:r w:rsidRPr="00D97699">
              <w:rPr>
                <w:rFonts w:ascii="Times New Roman" w:hAnsi="Times New Roman"/>
                <w:sz w:val="16"/>
                <w:szCs w:val="16"/>
              </w:rPr>
              <w:t>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hanging="142"/>
              <w:jc w:val="center"/>
              <w:rPr>
                <w:rFonts w:ascii="Times New Roman" w:hAnsi="Times New Roman"/>
                <w:sz w:val="16"/>
                <w:szCs w:val="16"/>
              </w:rPr>
            </w:pPr>
            <w:r w:rsidRPr="00D97699">
              <w:rPr>
                <w:rFonts w:ascii="Times New Roman" w:hAnsi="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hanging="142"/>
              <w:jc w:val="center"/>
              <w:rPr>
                <w:rFonts w:ascii="Times New Roman" w:hAnsi="Times New Roman"/>
                <w:sz w:val="16"/>
                <w:szCs w:val="16"/>
              </w:rPr>
            </w:pPr>
            <w:r w:rsidRPr="00D97699">
              <w:rPr>
                <w:rFonts w:ascii="Times New Roman" w:hAnsi="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hanging="142"/>
              <w:jc w:val="center"/>
              <w:rPr>
                <w:rFonts w:ascii="Times New Roman" w:hAnsi="Times New Roman"/>
                <w:sz w:val="16"/>
                <w:szCs w:val="16"/>
              </w:rPr>
            </w:pPr>
            <w:r w:rsidRPr="00D97699">
              <w:rPr>
                <w:rFonts w:ascii="Times New Roman" w:hAnsi="Times New Roman"/>
                <w:sz w:val="16"/>
                <w:szCs w:val="16"/>
              </w:rPr>
              <w:t>4</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hanging="142"/>
              <w:jc w:val="center"/>
              <w:rPr>
                <w:rFonts w:ascii="Times New Roman" w:hAnsi="Times New Roman"/>
                <w:sz w:val="16"/>
                <w:szCs w:val="16"/>
              </w:rPr>
            </w:pPr>
            <w:r w:rsidRPr="00D97699">
              <w:rPr>
                <w:rFonts w:ascii="Times New Roman" w:hAnsi="Times New Roman"/>
                <w:sz w:val="16"/>
                <w:szCs w:val="16"/>
              </w:rPr>
              <w:t>5</w:t>
            </w: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hanging="142"/>
              <w:jc w:val="center"/>
              <w:rPr>
                <w:rFonts w:ascii="Times New Roman" w:hAnsi="Times New Roman"/>
                <w:sz w:val="16"/>
                <w:szCs w:val="16"/>
              </w:rPr>
            </w:pPr>
            <w:r w:rsidRPr="00D97699">
              <w:rPr>
                <w:rFonts w:ascii="Times New Roman" w:hAnsi="Times New Roman"/>
                <w:sz w:val="16"/>
                <w:szCs w:val="16"/>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hanging="142"/>
              <w:jc w:val="center"/>
              <w:rPr>
                <w:rFonts w:ascii="Times New Roman" w:hAnsi="Times New Roman"/>
                <w:sz w:val="16"/>
                <w:szCs w:val="16"/>
              </w:rPr>
            </w:pPr>
            <w:r w:rsidRPr="00D97699">
              <w:rPr>
                <w:rFonts w:ascii="Times New Roman" w:hAnsi="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hanging="142"/>
              <w:jc w:val="center"/>
              <w:rPr>
                <w:rFonts w:ascii="Times New Roman" w:hAnsi="Times New Roman"/>
                <w:sz w:val="16"/>
                <w:szCs w:val="16"/>
              </w:rPr>
            </w:pPr>
            <w:r w:rsidRPr="00D97699">
              <w:rPr>
                <w:rFonts w:ascii="Times New Roman" w:hAnsi="Times New Roman"/>
                <w:sz w:val="16"/>
                <w:szCs w:val="16"/>
              </w:rPr>
              <w:t>8</w:t>
            </w: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hanging="142"/>
              <w:jc w:val="both"/>
              <w:rPr>
                <w:rFonts w:ascii="Times New Roman" w:hAnsi="Times New Roman"/>
                <w:sz w:val="16"/>
                <w:szCs w:val="16"/>
              </w:rPr>
            </w:pPr>
            <w:r w:rsidRPr="00D97699">
              <w:rPr>
                <w:rFonts w:ascii="Times New Roman" w:hAnsi="Times New Roman"/>
                <w:sz w:val="16"/>
                <w:szCs w:val="16"/>
              </w:rPr>
              <w:t xml:space="preserve">Článok </w:t>
            </w:r>
          </w:p>
          <w:p w:rsidR="00B5023C" w:rsidRPr="00D97699" w:rsidP="00D97699">
            <w:pPr>
              <w:bidi w:val="0"/>
              <w:ind w:hanging="142"/>
              <w:rPr>
                <w:rFonts w:ascii="Times New Roman" w:hAnsi="Times New Roman"/>
                <w:sz w:val="16"/>
                <w:szCs w:val="16"/>
              </w:rPr>
            </w:pPr>
            <w:r w:rsidRPr="00D97699">
              <w:rPr>
                <w:rFonts w:ascii="Times New Roman" w:hAnsi="Times New Roman"/>
                <w:sz w:val="16"/>
                <w:szCs w:val="16"/>
              </w:rPr>
              <w:t>(Č, O, V, P)</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hanging="142"/>
              <w:jc w:val="center"/>
              <w:rPr>
                <w:rFonts w:ascii="Times New Roman" w:hAnsi="Times New Roman"/>
                <w:sz w:val="16"/>
                <w:szCs w:val="16"/>
              </w:rPr>
            </w:pPr>
            <w:r w:rsidRPr="00D97699">
              <w:rPr>
                <w:rFonts w:ascii="Times New Roman" w:hAnsi="Times New Roman"/>
                <w:sz w:val="16"/>
                <w:szCs w:val="16"/>
              </w:rPr>
              <w:t>Text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hanging="142"/>
              <w:jc w:val="both"/>
              <w:rPr>
                <w:rFonts w:ascii="Times New Roman" w:hAnsi="Times New Roman"/>
                <w:sz w:val="16"/>
                <w:szCs w:val="16"/>
              </w:rPr>
            </w:pPr>
            <w:r w:rsidRPr="00D97699">
              <w:rPr>
                <w:rFonts w:ascii="Times New Roman" w:hAnsi="Times New Roman"/>
                <w:sz w:val="16"/>
                <w:szCs w:val="16"/>
              </w:rPr>
              <w:t>Spôsob</w:t>
            </w:r>
          </w:p>
          <w:p w:rsidR="00B5023C" w:rsidRPr="00D97699" w:rsidP="00D97699">
            <w:pPr>
              <w:bidi w:val="0"/>
              <w:ind w:hanging="142"/>
              <w:jc w:val="both"/>
              <w:rPr>
                <w:rFonts w:ascii="Times New Roman" w:hAnsi="Times New Roman"/>
                <w:sz w:val="16"/>
                <w:szCs w:val="16"/>
              </w:rPr>
            </w:pPr>
            <w:r w:rsidRPr="00D97699" w:rsidR="00497EBD">
              <w:rPr>
                <w:rFonts w:ascii="Times New Roman" w:hAnsi="Times New Roman"/>
                <w:sz w:val="16"/>
                <w:szCs w:val="16"/>
              </w:rPr>
              <w:t>t</w:t>
            </w:r>
            <w:r w:rsidRPr="00D97699">
              <w:rPr>
                <w:rFonts w:ascii="Times New Roman" w:hAnsi="Times New Roman"/>
                <w:sz w:val="16"/>
                <w:szCs w:val="16"/>
              </w:rPr>
              <w:t>ranspozície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hanging="142"/>
              <w:jc w:val="both"/>
              <w:rPr>
                <w:rFonts w:ascii="Times New Roman" w:hAnsi="Times New Roman"/>
                <w:sz w:val="16"/>
                <w:szCs w:val="16"/>
              </w:rPr>
            </w:pPr>
            <w:r w:rsidRPr="00D97699">
              <w:rPr>
                <w:rFonts w:ascii="Times New Roman" w:hAnsi="Times New Roman"/>
                <w:sz w:val="16"/>
                <w:szCs w:val="16"/>
              </w:rPr>
              <w:t>Číslo</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pStyle w:val="EnvelopeReturn"/>
              <w:bidi w:val="0"/>
              <w:ind w:hanging="142"/>
              <w:rPr>
                <w:rFonts w:ascii="Times New Roman" w:hAnsi="Times New Roman"/>
                <w:b w:val="0"/>
                <w:bCs w:val="0"/>
                <w:color w:val="auto"/>
                <w:sz w:val="16"/>
                <w:szCs w:val="16"/>
              </w:rPr>
            </w:pPr>
            <w:r w:rsidRPr="00D97699">
              <w:rPr>
                <w:rFonts w:ascii="Times New Roman" w:hAnsi="Times New Roman"/>
                <w:b w:val="0"/>
                <w:bCs w:val="0"/>
                <w:color w:val="auto"/>
                <w:sz w:val="16"/>
                <w:szCs w:val="16"/>
              </w:rPr>
              <w:t>Článok (Č, §, O, V, P)</w:t>
            </w: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hanging="142"/>
              <w:jc w:val="center"/>
              <w:rPr>
                <w:rFonts w:ascii="Times New Roman" w:hAnsi="Times New Roman"/>
                <w:sz w:val="16"/>
                <w:szCs w:val="16"/>
              </w:rPr>
            </w:pPr>
            <w:r w:rsidRPr="00D97699">
              <w:rPr>
                <w:rFonts w:ascii="Times New Roman" w:hAnsi="Times New Roman"/>
                <w:sz w:val="16"/>
                <w:szCs w:val="16"/>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hanging="142"/>
              <w:rPr>
                <w:rFonts w:ascii="Times New Roman" w:hAnsi="Times New Roman"/>
                <w:sz w:val="16"/>
                <w:szCs w:val="16"/>
              </w:rPr>
            </w:pPr>
            <w:r w:rsidRPr="00D97699">
              <w:rPr>
                <w:rFonts w:ascii="Times New Roman" w:hAnsi="Times New Roman"/>
                <w:sz w:val="16"/>
                <w:szCs w:val="16"/>
              </w:rPr>
              <w:t>Zhoda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hanging="142"/>
              <w:jc w:val="both"/>
              <w:rPr>
                <w:rFonts w:ascii="Times New Roman" w:hAnsi="Times New Roman"/>
                <w:sz w:val="16"/>
                <w:szCs w:val="16"/>
              </w:rPr>
            </w:pPr>
            <w:r w:rsidRPr="00D97699">
              <w:rPr>
                <w:rFonts w:ascii="Times New Roman" w:hAnsi="Times New Roman"/>
                <w:sz w:val="16"/>
                <w:szCs w:val="16"/>
              </w:rPr>
              <w:t>Poznámky</w:t>
            </w: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r w:rsidRPr="00D97699" w:rsidR="00F913FD">
              <w:rPr>
                <w:rFonts w:ascii="Times New Roman" w:hAnsi="Times New Roman"/>
                <w:sz w:val="20"/>
                <w:szCs w:val="20"/>
              </w:rPr>
              <w:t>Č: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B1BB9" w:rsidRPr="00D97699" w:rsidP="00D97699">
            <w:pPr>
              <w:bidi w:val="0"/>
              <w:ind w:right="225"/>
              <w:jc w:val="both"/>
              <w:rPr>
                <w:rFonts w:ascii="Times New Roman" w:hAnsi="Times New Roman"/>
                <w:sz w:val="20"/>
                <w:szCs w:val="20"/>
              </w:rPr>
            </w:pPr>
            <w:r w:rsidRPr="00D97699">
              <w:rPr>
                <w:rFonts w:ascii="Times New Roman" w:hAnsi="Times New Roman"/>
                <w:sz w:val="20"/>
                <w:szCs w:val="20"/>
              </w:rPr>
              <w:t>Článok 1</w:t>
            </w:r>
          </w:p>
          <w:p w:rsidR="00B5023C" w:rsidRPr="00D97699" w:rsidP="00D97699">
            <w:pPr>
              <w:bidi w:val="0"/>
              <w:ind w:right="225"/>
              <w:jc w:val="both"/>
              <w:rPr>
                <w:rFonts w:ascii="Times New Roman" w:hAnsi="Times New Roman"/>
                <w:sz w:val="20"/>
                <w:szCs w:val="20"/>
              </w:rPr>
            </w:pPr>
            <w:r w:rsidRPr="00D97699" w:rsidR="004B1BB9">
              <w:rPr>
                <w:rFonts w:ascii="Times New Roman" w:hAnsi="Times New Roman"/>
                <w:sz w:val="20"/>
                <w:szCs w:val="20"/>
              </w:rPr>
              <w:t>Smernica 2001/83/ES sa týmto mení a dopĺňa takto:</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pStyle w:val="EnvelopeReturn"/>
              <w:bidi w:val="0"/>
              <w:rPr>
                <w:rFonts w:ascii="Times New Roman" w:hAnsi="Times New Roman"/>
                <w:b w:val="0"/>
                <w:bCs w:val="0"/>
                <w:color w:val="auto"/>
              </w:rPr>
            </w:pP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r w:rsidRPr="00D97699" w:rsidR="008B5902">
              <w:rPr>
                <w:rFonts w:ascii="Times New Roman" w:hAnsi="Times New Roman"/>
                <w:sz w:val="20"/>
                <w:szCs w:val="20"/>
              </w:rPr>
              <w:t>Č: 1</w:t>
            </w:r>
          </w:p>
          <w:p w:rsidR="008B5902" w:rsidRPr="00D97699" w:rsidP="00D97699">
            <w:pPr>
              <w:bidi w:val="0"/>
              <w:jc w:val="center"/>
              <w:rPr>
                <w:rFonts w:ascii="Times New Roman" w:hAnsi="Times New Roman"/>
                <w:sz w:val="20"/>
                <w:szCs w:val="20"/>
              </w:rPr>
            </w:pPr>
            <w:r w:rsidRPr="00D97699">
              <w:rPr>
                <w:rFonts w:ascii="Times New Roman" w:hAnsi="Times New Roman"/>
                <w:sz w:val="20"/>
                <w:szCs w:val="20"/>
              </w:rPr>
              <w:t>P: 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B1BB9" w:rsidRPr="00D97699" w:rsidP="00D97699">
            <w:pPr>
              <w:bidi w:val="0"/>
              <w:ind w:right="225"/>
              <w:jc w:val="both"/>
              <w:rPr>
                <w:rFonts w:ascii="Times New Roman" w:hAnsi="Times New Roman"/>
                <w:sz w:val="20"/>
                <w:szCs w:val="20"/>
              </w:rPr>
            </w:pPr>
            <w:r w:rsidRPr="00D97699">
              <w:rPr>
                <w:rFonts w:ascii="Times New Roman" w:hAnsi="Times New Roman"/>
                <w:sz w:val="20"/>
                <w:szCs w:val="20"/>
              </w:rPr>
              <w:t>1. V článku 23a sa druhý odsek nahrádza takto:</w:t>
            </w:r>
          </w:p>
          <w:p w:rsidR="00E5321F" w:rsidRPr="00D97699" w:rsidP="00D97699">
            <w:pPr>
              <w:bidi w:val="0"/>
              <w:ind w:right="225"/>
              <w:rPr>
                <w:rFonts w:ascii="Times New Roman" w:hAnsi="Times New Roman"/>
                <w:sz w:val="20"/>
                <w:szCs w:val="20"/>
              </w:rPr>
            </w:pPr>
            <w:r w:rsidRPr="00D97699" w:rsidR="004B1BB9">
              <w:rPr>
                <w:rFonts w:ascii="Times New Roman" w:hAnsi="Times New Roman"/>
                <w:sz w:val="20"/>
                <w:szCs w:val="20"/>
              </w:rPr>
              <w:t>"Ak sa liek prestane dodávať na trh členského štátu, či už dočasne, alebo trvalo, držiteľ povolenia na uvedenie na trh informuje príslušný orgán uvedeného členského štátu. Takéto oznámenie sa okrem výnimočných okolností uskutoční najneskôr dva mesiace pred prerušením dodávania lieku na trh. Držiteľ povolenia na uvedenie na trh informuje príslušný orgán o dôvodoch takéhoto opatrenia v súlade s článkom 123 ods. 2.".</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p>
          <w:p w:rsidR="004E6C01" w:rsidRPr="00D97699" w:rsidP="00D97699">
            <w:pPr>
              <w:bidi w:val="0"/>
              <w:jc w:val="center"/>
              <w:rPr>
                <w:rFonts w:ascii="Times New Roman" w:hAnsi="Times New Roman"/>
                <w:sz w:val="20"/>
                <w:szCs w:val="20"/>
              </w:rPr>
            </w:pPr>
          </w:p>
          <w:p w:rsidR="004E6C01" w:rsidRPr="00D97699" w:rsidP="00D97699">
            <w:pPr>
              <w:bidi w:val="0"/>
              <w:jc w:val="center"/>
              <w:rPr>
                <w:rFonts w:ascii="Times New Roman" w:hAnsi="Times New Roman"/>
                <w:sz w:val="20"/>
                <w:szCs w:val="20"/>
              </w:rPr>
            </w:pPr>
            <w:r w:rsidRPr="00D97699">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4E6C01" w:rsidRPr="00D97699" w:rsidP="00D97699">
            <w:pPr>
              <w:pStyle w:val="EnvelopeReturn"/>
              <w:bidi w:val="0"/>
              <w:jc w:val="center"/>
              <w:rPr>
                <w:rFonts w:ascii="Times New Roman" w:hAnsi="Times New Roman"/>
                <w:b w:val="0"/>
                <w:bCs w:val="0"/>
                <w:color w:val="auto"/>
              </w:rPr>
            </w:pPr>
            <w:r w:rsidRPr="00D97699" w:rsidR="00484F00">
              <w:rPr>
                <w:rFonts w:ascii="Times New Roman" w:hAnsi="Times New Roman"/>
                <w:b w:val="0"/>
                <w:bCs w:val="0"/>
                <w:color w:val="auto"/>
              </w:rPr>
              <w:t>§ 60</w:t>
            </w:r>
          </w:p>
          <w:p w:rsidR="00484F00" w:rsidRPr="00D97699" w:rsidP="00D97699">
            <w:pPr>
              <w:pStyle w:val="EnvelopeReturn"/>
              <w:bidi w:val="0"/>
              <w:jc w:val="center"/>
              <w:rPr>
                <w:rFonts w:ascii="Times New Roman" w:hAnsi="Times New Roman"/>
                <w:b w:val="0"/>
                <w:bCs w:val="0"/>
                <w:color w:val="auto"/>
              </w:rPr>
            </w:pPr>
            <w:r w:rsidRPr="00D97699">
              <w:rPr>
                <w:rFonts w:ascii="Times New Roman" w:hAnsi="Times New Roman"/>
                <w:b w:val="0"/>
                <w:bCs w:val="0"/>
                <w:color w:val="auto"/>
              </w:rPr>
              <w:t>O: 1</w:t>
            </w: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484F00" w:rsidRPr="00D97699" w:rsidP="00D97699">
            <w:pPr>
              <w:tabs>
                <w:tab w:val="left" w:pos="426"/>
              </w:tabs>
              <w:bidi w:val="0"/>
              <w:rPr>
                <w:rFonts w:ascii="Times New Roman" w:hAnsi="Times New Roman"/>
                <w:sz w:val="20"/>
                <w:szCs w:val="20"/>
              </w:rPr>
            </w:pPr>
            <w:r w:rsidRPr="00D97699">
              <w:rPr>
                <w:rFonts w:ascii="Times New Roman" w:hAnsi="Times New Roman"/>
                <w:sz w:val="20"/>
                <w:szCs w:val="20"/>
              </w:rPr>
              <w:t>V § 60 ods. 1 písm. i) bod 2 sa za slová „Slovenskej republiky“ vkladajú slová „s</w:t>
            </w:r>
            <w:r w:rsidRPr="00D97699">
              <w:rPr>
                <w:rFonts w:ascii="Times New Roman" w:hAnsi="Times New Roman"/>
                <w:b/>
                <w:sz w:val="20"/>
                <w:szCs w:val="20"/>
              </w:rPr>
              <w:t> </w:t>
            </w:r>
            <w:r w:rsidRPr="00D97699">
              <w:rPr>
                <w:rFonts w:ascii="Times New Roman" w:hAnsi="Times New Roman"/>
                <w:sz w:val="20"/>
                <w:szCs w:val="20"/>
              </w:rPr>
              <w:t xml:space="preserve">uvedením dôvodov“.  </w:t>
            </w:r>
          </w:p>
          <w:p w:rsidR="004E6C01" w:rsidRPr="00D97699" w:rsidP="00D97699">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6C01" w:rsidRPr="00D97699" w:rsidP="00D97699">
            <w:pPr>
              <w:bidi w:val="0"/>
              <w:jc w:val="center"/>
              <w:rPr>
                <w:rFonts w:ascii="Times New Roman" w:hAnsi="Times New Roman"/>
                <w:sz w:val="20"/>
                <w:szCs w:val="20"/>
              </w:rPr>
            </w:pPr>
            <w:r w:rsidRPr="00D97699" w:rsidR="00484F00">
              <w:rPr>
                <w:rFonts w:ascii="Times New Roman" w:hAnsi="Times New Roman"/>
                <w:sz w:val="20"/>
                <w:szCs w:val="20"/>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B5902" w:rsidRPr="00D97699" w:rsidP="00D97699">
            <w:pPr>
              <w:bidi w:val="0"/>
              <w:jc w:val="center"/>
              <w:rPr>
                <w:rFonts w:ascii="Times New Roman" w:hAnsi="Times New Roman"/>
                <w:sz w:val="20"/>
                <w:szCs w:val="20"/>
              </w:rPr>
            </w:pPr>
            <w:r w:rsidRPr="00D97699">
              <w:rPr>
                <w:rFonts w:ascii="Times New Roman" w:hAnsi="Times New Roman"/>
                <w:sz w:val="20"/>
                <w:szCs w:val="20"/>
              </w:rPr>
              <w:t>Č: 1</w:t>
            </w:r>
          </w:p>
          <w:p w:rsidR="00B5023C" w:rsidRPr="00D97699" w:rsidP="00D97699">
            <w:pPr>
              <w:bidi w:val="0"/>
              <w:jc w:val="both"/>
              <w:rPr>
                <w:rFonts w:ascii="Times New Roman" w:hAnsi="Times New Roman"/>
                <w:sz w:val="20"/>
                <w:szCs w:val="20"/>
              </w:rPr>
            </w:pPr>
            <w:r w:rsidRPr="00D97699" w:rsidR="008B5902">
              <w:rPr>
                <w:rFonts w:ascii="Times New Roman" w:hAnsi="Times New Roman"/>
                <w:sz w:val="20"/>
                <w:szCs w:val="20"/>
              </w:rPr>
              <w:t>P: 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B1BB9" w:rsidRPr="00D97699" w:rsidP="00D97699">
            <w:pPr>
              <w:bidi w:val="0"/>
              <w:ind w:right="225"/>
              <w:jc w:val="both"/>
              <w:rPr>
                <w:rFonts w:ascii="Times New Roman" w:hAnsi="Times New Roman"/>
                <w:sz w:val="20"/>
                <w:szCs w:val="20"/>
              </w:rPr>
            </w:pPr>
            <w:r w:rsidRPr="00D97699">
              <w:rPr>
                <w:rFonts w:ascii="Times New Roman" w:hAnsi="Times New Roman"/>
                <w:sz w:val="20"/>
                <w:szCs w:val="20"/>
              </w:rPr>
              <w:t>2. Článok 31 sa mení a dopĺňa takto:</w:t>
            </w:r>
          </w:p>
          <w:p w:rsidR="004B1BB9" w:rsidRPr="00D97699" w:rsidP="00D97699">
            <w:pPr>
              <w:bidi w:val="0"/>
              <w:ind w:right="225"/>
              <w:jc w:val="both"/>
              <w:rPr>
                <w:rFonts w:ascii="Times New Roman" w:hAnsi="Times New Roman"/>
                <w:sz w:val="20"/>
                <w:szCs w:val="20"/>
              </w:rPr>
            </w:pPr>
            <w:r w:rsidRPr="00D97699">
              <w:rPr>
                <w:rFonts w:ascii="Times New Roman" w:hAnsi="Times New Roman"/>
                <w:sz w:val="20"/>
                <w:szCs w:val="20"/>
              </w:rPr>
              <w:t>a) v odseku 1 sa tretí pododsek nahrádza takto:</w:t>
            </w:r>
          </w:p>
          <w:p w:rsidR="00B5023C" w:rsidRPr="00D97699" w:rsidP="00D97699">
            <w:pPr>
              <w:bidi w:val="0"/>
              <w:ind w:right="225"/>
              <w:jc w:val="both"/>
              <w:rPr>
                <w:rFonts w:ascii="Times New Roman" w:hAnsi="Times New Roman"/>
                <w:sz w:val="20"/>
                <w:szCs w:val="20"/>
              </w:rPr>
            </w:pPr>
            <w:r w:rsidRPr="00D97699" w:rsidR="004B1BB9">
              <w:rPr>
                <w:rFonts w:ascii="Times New Roman" w:hAnsi="Times New Roman"/>
                <w:sz w:val="20"/>
                <w:szCs w:val="20"/>
              </w:rPr>
              <w:t>"Ak je však splnené jedno z kritérií uvedených v článku 107i ods. 1, uplatňuje sa postup stanovený v článkoch 107i až 107k.";</w:t>
            </w:r>
          </w:p>
          <w:p w:rsidR="00E5321F" w:rsidRPr="00D97699" w:rsidP="00D97699">
            <w:pPr>
              <w:bidi w:val="0"/>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pStyle w:val="EnvelopeReturn"/>
              <w:bidi w:val="0"/>
              <w:jc w:val="center"/>
              <w:rPr>
                <w:rFonts w:ascii="Times New Roman" w:hAnsi="Times New Roman"/>
                <w:b w:val="0"/>
                <w:bCs w:val="0"/>
                <w:color w:val="auto"/>
              </w:rPr>
            </w:pPr>
            <w:r w:rsidRPr="00D97699" w:rsidR="00FB7A96">
              <w:rPr>
                <w:rFonts w:ascii="Times New Roman" w:hAnsi="Times New Roman"/>
                <w:b w:val="0"/>
                <w:bCs w:val="0"/>
                <w:color w:val="auto"/>
              </w:rPr>
              <w:t>§ 58</w:t>
            </w:r>
          </w:p>
          <w:p w:rsidR="00FB7A96" w:rsidRPr="00D97699" w:rsidP="00D97699">
            <w:pPr>
              <w:pStyle w:val="EnvelopeReturn"/>
              <w:bidi w:val="0"/>
              <w:jc w:val="center"/>
              <w:rPr>
                <w:rFonts w:ascii="Times New Roman" w:hAnsi="Times New Roman"/>
                <w:b w:val="0"/>
                <w:bCs w:val="0"/>
                <w:color w:val="auto"/>
              </w:rPr>
            </w:pPr>
            <w:r w:rsidRPr="00D97699">
              <w:rPr>
                <w:rFonts w:ascii="Times New Roman" w:hAnsi="Times New Roman"/>
                <w:b w:val="0"/>
                <w:bCs w:val="0"/>
                <w:color w:val="auto"/>
              </w:rPr>
              <w:t>O: 5</w:t>
            </w: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675B7A" w:rsidRPr="00D97699" w:rsidP="00D97699">
            <w:pPr>
              <w:bidi w:val="0"/>
              <w:ind w:right="225"/>
              <w:jc w:val="both"/>
              <w:rPr>
                <w:rFonts w:ascii="Times New Roman" w:hAnsi="Times New Roman"/>
                <w:sz w:val="20"/>
                <w:szCs w:val="20"/>
              </w:rPr>
            </w:pPr>
            <w:r w:rsidRPr="00D97699">
              <w:rPr>
                <w:rFonts w:ascii="Times New Roman" w:hAnsi="Times New Roman"/>
                <w:sz w:val="20"/>
                <w:szCs w:val="20"/>
              </w:rPr>
              <w:t>V § 58 sa za ods. 4 vkladá nový odsek 5, ktorý znie:</w:t>
            </w:r>
          </w:p>
          <w:p w:rsidR="00B5023C" w:rsidRPr="00D97699" w:rsidP="00D97699">
            <w:pPr>
              <w:bidi w:val="0"/>
              <w:rPr>
                <w:rFonts w:ascii="Times New Roman" w:hAnsi="Times New Roman"/>
                <w:sz w:val="20"/>
                <w:szCs w:val="20"/>
              </w:rPr>
            </w:pPr>
            <w:r w:rsidRPr="00D97699" w:rsidR="00675B7A">
              <w:rPr>
                <w:rFonts w:ascii="Times New Roman" w:hAnsi="Times New Roman"/>
                <w:sz w:val="20"/>
                <w:szCs w:val="20"/>
              </w:rPr>
              <w:t>„</w:t>
            </w:r>
            <w:r w:rsidRPr="00D97699" w:rsidR="00C51800">
              <w:rPr>
                <w:rFonts w:ascii="Times New Roman" w:hAnsi="Times New Roman"/>
                <w:sz w:val="20"/>
                <w:szCs w:val="20"/>
              </w:rPr>
              <w:t>(</w:t>
            </w:r>
            <w:r w:rsidRPr="00D97699" w:rsidR="00675B7A">
              <w:rPr>
                <w:rFonts w:ascii="Times New Roman" w:hAnsi="Times New Roman"/>
                <w:sz w:val="20"/>
                <w:szCs w:val="20"/>
              </w:rPr>
              <w:t>5</w:t>
            </w:r>
            <w:r w:rsidRPr="00D97699" w:rsidR="00C51800">
              <w:rPr>
                <w:rFonts w:ascii="Times New Roman" w:hAnsi="Times New Roman"/>
                <w:sz w:val="20"/>
                <w:szCs w:val="20"/>
              </w:rPr>
              <w:t>) Ak je predmetom posúdenia vec, ktorá je výsledkom hodnotenia údajov týkajúcich sa dohľadu nad bezpečnosťou registrovaného humánneho lieku</w:t>
            </w:r>
            <w:r w:rsidRPr="00D97699" w:rsidR="00675B7A">
              <w:rPr>
                <w:rFonts w:ascii="Times New Roman" w:hAnsi="Times New Roman"/>
                <w:sz w:val="20"/>
                <w:szCs w:val="20"/>
              </w:rPr>
              <w:t xml:space="preserve"> a je splnená niektorá z požiadaviek podľa § 68e ods. 1</w:t>
            </w:r>
            <w:r w:rsidRPr="00D97699" w:rsidR="00C51800">
              <w:rPr>
                <w:rFonts w:ascii="Times New Roman" w:hAnsi="Times New Roman"/>
                <w:sz w:val="20"/>
                <w:szCs w:val="20"/>
              </w:rPr>
              <w:t xml:space="preserve">,  štátny ústav, žiadateľ alebo držiteľ registrácie humánneho lieku </w:t>
            </w:r>
            <w:r w:rsidRPr="00D97699" w:rsidR="00675B7A">
              <w:rPr>
                <w:rFonts w:ascii="Times New Roman" w:hAnsi="Times New Roman"/>
                <w:sz w:val="20"/>
                <w:szCs w:val="20"/>
              </w:rPr>
              <w:t>uplatnia naliehavý postup Únie podľa § 68e.“.</w:t>
            </w:r>
          </w:p>
          <w:p w:rsidR="00675B7A" w:rsidRPr="00D97699" w:rsidP="00D97699">
            <w:pPr>
              <w:bidi w:val="0"/>
              <w:rPr>
                <w:rFonts w:ascii="Times New Roman" w:hAnsi="Times New Roman"/>
                <w:sz w:val="20"/>
                <w:szCs w:val="20"/>
              </w:rPr>
            </w:pPr>
          </w:p>
          <w:p w:rsidR="00675B7A" w:rsidRPr="00D97699" w:rsidP="00D97699">
            <w:pPr>
              <w:bidi w:val="0"/>
              <w:rPr>
                <w:rFonts w:ascii="Times New Roman" w:hAnsi="Times New Roman"/>
                <w:sz w:val="20"/>
                <w:szCs w:val="20"/>
              </w:rPr>
            </w:pPr>
            <w:r w:rsidRPr="00D97699">
              <w:rPr>
                <w:rFonts w:ascii="Times New Roman" w:hAnsi="Times New Roman"/>
                <w:sz w:val="20"/>
                <w:szCs w:val="20"/>
              </w:rPr>
              <w:t>Doterajšie odseky 5 až 7 sa označujú ako odseky 6 až 8.</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r w:rsidRPr="00D97699" w:rsidR="00FB7A96">
              <w:rPr>
                <w:rFonts w:ascii="Times New Roman" w:hAnsi="Times New Roman"/>
                <w:sz w:val="20"/>
                <w:szCs w:val="20"/>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B5902" w:rsidRPr="00D97699" w:rsidP="00D97699">
            <w:pPr>
              <w:bidi w:val="0"/>
              <w:jc w:val="center"/>
              <w:rPr>
                <w:rFonts w:ascii="Times New Roman" w:hAnsi="Times New Roman"/>
                <w:sz w:val="20"/>
                <w:szCs w:val="20"/>
              </w:rPr>
            </w:pPr>
            <w:r w:rsidRPr="00D97699">
              <w:rPr>
                <w:rFonts w:ascii="Times New Roman" w:hAnsi="Times New Roman"/>
                <w:sz w:val="20"/>
                <w:szCs w:val="20"/>
              </w:rPr>
              <w:t>Č: 1</w:t>
            </w:r>
          </w:p>
          <w:p w:rsidR="00B5023C" w:rsidRPr="00D97699" w:rsidP="00D97699">
            <w:pPr>
              <w:bidi w:val="0"/>
              <w:jc w:val="both"/>
              <w:rPr>
                <w:rFonts w:ascii="Times New Roman" w:hAnsi="Times New Roman"/>
                <w:sz w:val="20"/>
                <w:szCs w:val="20"/>
              </w:rPr>
            </w:pPr>
            <w:r w:rsidRPr="00D97699" w:rsidR="008B5902">
              <w:rPr>
                <w:rFonts w:ascii="Times New Roman" w:hAnsi="Times New Roman"/>
                <w:sz w:val="20"/>
                <w:szCs w:val="20"/>
              </w:rPr>
              <w:t>P: c</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B1BB9" w:rsidRPr="00D97699" w:rsidP="00D97699">
            <w:pPr>
              <w:bidi w:val="0"/>
              <w:ind w:right="225"/>
              <w:jc w:val="both"/>
              <w:rPr>
                <w:rFonts w:ascii="Times New Roman" w:hAnsi="Times New Roman"/>
                <w:sz w:val="20"/>
                <w:szCs w:val="20"/>
              </w:rPr>
            </w:pPr>
            <w:r w:rsidRPr="00D97699">
              <w:rPr>
                <w:rFonts w:ascii="Times New Roman" w:hAnsi="Times New Roman"/>
                <w:sz w:val="20"/>
                <w:szCs w:val="20"/>
              </w:rPr>
              <w:t>b) odsek 2 sa nahrádza takto:</w:t>
            </w:r>
          </w:p>
          <w:p w:rsidR="004B1BB9" w:rsidRPr="00D97699" w:rsidP="00D97699">
            <w:pPr>
              <w:bidi w:val="0"/>
              <w:ind w:right="225"/>
              <w:jc w:val="both"/>
              <w:rPr>
                <w:rFonts w:ascii="Times New Roman" w:hAnsi="Times New Roman"/>
                <w:sz w:val="20"/>
                <w:szCs w:val="20"/>
              </w:rPr>
            </w:pPr>
            <w:r w:rsidRPr="00D97699">
              <w:rPr>
                <w:rFonts w:ascii="Times New Roman" w:hAnsi="Times New Roman"/>
                <w:sz w:val="20"/>
                <w:szCs w:val="20"/>
              </w:rPr>
              <w:t>"2. Ak sa vec postúpená výboru týka skupiny liekov alebo terapeutickej triedy, agentúra môže obmedziť postup na určité špecifické časti povoľovacieho postupu.</w:t>
            </w:r>
          </w:p>
          <w:p w:rsidR="004B1BB9" w:rsidRPr="00D97699" w:rsidP="00D97699">
            <w:pPr>
              <w:bidi w:val="0"/>
              <w:ind w:right="225"/>
              <w:jc w:val="both"/>
              <w:rPr>
                <w:rFonts w:ascii="Times New Roman" w:hAnsi="Times New Roman"/>
                <w:sz w:val="20"/>
                <w:szCs w:val="20"/>
              </w:rPr>
            </w:pPr>
            <w:r w:rsidRPr="00D97699">
              <w:rPr>
                <w:rFonts w:ascii="Times New Roman" w:hAnsi="Times New Roman"/>
                <w:sz w:val="20"/>
                <w:szCs w:val="20"/>
              </w:rPr>
              <w:t>V takom prípade sa na tieto lieky uplatňuje článok 35, iba ak podliehali povoľovacím postupom uvedeným v tejto kapitole.</w:t>
            </w:r>
          </w:p>
          <w:p w:rsidR="004B1BB9" w:rsidRPr="00D97699" w:rsidP="00D97699">
            <w:pPr>
              <w:bidi w:val="0"/>
              <w:ind w:right="225"/>
              <w:jc w:val="both"/>
              <w:rPr>
                <w:rFonts w:ascii="Times New Roman" w:hAnsi="Times New Roman"/>
                <w:sz w:val="20"/>
                <w:szCs w:val="20"/>
              </w:rPr>
            </w:pPr>
            <w:r w:rsidRPr="00D97699">
              <w:rPr>
                <w:rFonts w:ascii="Times New Roman" w:hAnsi="Times New Roman"/>
                <w:sz w:val="20"/>
                <w:szCs w:val="20"/>
              </w:rPr>
              <w:t>Ak sa rozsah pôsobnosti postupu iniciovaného podľa tohto článku týka skupiny liekov alebo terapeutickej triedy, potom sa súčasťou postupu stanú aj lieky povolené v súlade s nariadením (ES) č. 726/2004, ktoré patria do takejto skupiny alebo triedy.</w:t>
            </w:r>
          </w:p>
          <w:p w:rsidR="004B1BB9" w:rsidRPr="00D97699" w:rsidP="00D97699">
            <w:pPr>
              <w:bidi w:val="0"/>
              <w:ind w:right="225"/>
              <w:jc w:val="both"/>
              <w:rPr>
                <w:rFonts w:ascii="Times New Roman" w:hAnsi="Times New Roman"/>
                <w:sz w:val="20"/>
                <w:szCs w:val="20"/>
              </w:rPr>
            </w:pPr>
            <w:r w:rsidRPr="00D97699">
              <w:rPr>
                <w:rFonts w:ascii="Times New Roman" w:hAnsi="Times New Roman"/>
                <w:sz w:val="20"/>
                <w:szCs w:val="20"/>
              </w:rPr>
              <w:t>3. Bez toho, aby bol dotknutý odsek 1, môže členský štát v prípade potreby uplatnenia naliehavého postupu v záujme ochrany verejného zdravia v ktorejkoľvek fáze postupu pozastaviť platnosť povolenia na uvedenie na trh a zakázať používanie príslušného lieku na svojom území dovtedy, kým nebude prijaté konečné rozhodnutie. O dôvodoch svojho opatrenia informuje Komisiu, agentúru a ostatné členské štáty najneskôr v nasledujúci pracovný deň.</w:t>
            </w:r>
          </w:p>
          <w:p w:rsidR="00FB7A96" w:rsidRPr="00D97699" w:rsidP="00D97699">
            <w:pPr>
              <w:bidi w:val="0"/>
              <w:ind w:right="225"/>
              <w:jc w:val="both"/>
              <w:rPr>
                <w:rFonts w:ascii="Times New Roman" w:hAnsi="Times New Roman"/>
                <w:sz w:val="20"/>
                <w:szCs w:val="20"/>
              </w:rPr>
            </w:pPr>
          </w:p>
          <w:p w:rsidR="00FB7A96" w:rsidRPr="00D97699" w:rsidP="00D97699">
            <w:pPr>
              <w:bidi w:val="0"/>
              <w:ind w:right="225"/>
              <w:jc w:val="both"/>
              <w:rPr>
                <w:rFonts w:ascii="Times New Roman" w:hAnsi="Times New Roman"/>
                <w:sz w:val="20"/>
                <w:szCs w:val="20"/>
              </w:rPr>
            </w:pPr>
          </w:p>
          <w:p w:rsidR="00FB7A96" w:rsidRPr="00D97699" w:rsidP="00D97699">
            <w:pPr>
              <w:bidi w:val="0"/>
              <w:ind w:right="225"/>
              <w:jc w:val="both"/>
              <w:rPr>
                <w:rFonts w:ascii="Times New Roman" w:hAnsi="Times New Roman"/>
                <w:sz w:val="20"/>
                <w:szCs w:val="20"/>
              </w:rPr>
            </w:pPr>
          </w:p>
          <w:p w:rsidR="00FB7A96" w:rsidRPr="00D97699" w:rsidP="00D97699">
            <w:pPr>
              <w:bidi w:val="0"/>
              <w:ind w:right="225"/>
              <w:jc w:val="both"/>
              <w:rPr>
                <w:rFonts w:ascii="Times New Roman" w:hAnsi="Times New Roman"/>
                <w:sz w:val="20"/>
                <w:szCs w:val="20"/>
              </w:rPr>
            </w:pPr>
          </w:p>
          <w:p w:rsidR="00B5023C" w:rsidRPr="00D97699" w:rsidP="00D97699">
            <w:pPr>
              <w:bidi w:val="0"/>
              <w:ind w:right="225"/>
              <w:jc w:val="both"/>
              <w:rPr>
                <w:rFonts w:ascii="Times New Roman" w:hAnsi="Times New Roman"/>
                <w:sz w:val="20"/>
                <w:szCs w:val="20"/>
              </w:rPr>
            </w:pPr>
            <w:r w:rsidRPr="00D97699" w:rsidR="004B1BB9">
              <w:rPr>
                <w:rFonts w:ascii="Times New Roman" w:hAnsi="Times New Roman"/>
                <w:sz w:val="20"/>
                <w:szCs w:val="20"/>
              </w:rPr>
              <w:t>4. Ak sa rozsah pôsobnosti postupu iniciovaného podľa tohto článku, stanovený v súlade s odsekom 2, týka liekov povolených v súlade s nariadením (ES) č. 726/2004, Komisia môže v prípade potreby uplatnenia naliehavého postupu v záujme ochrany verejného zdravia v ktorejkoľvek fáze postupu pozastaviť platnosť povolení na uvedenie príslušných liekov na trh a zakázať používanie týchto liekov dovtedy, kým nebude prijaté konečné rozhodnutie. Komisia informuje o dôvodoch svojho opatrenia agentúru a členské štáty najneskôr v nasledujúci pracovný deň.".</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p>
          <w:p w:rsidR="004E6C01" w:rsidRPr="00D97699" w:rsidP="00D97699">
            <w:pPr>
              <w:bidi w:val="0"/>
              <w:jc w:val="center"/>
              <w:rPr>
                <w:rFonts w:ascii="Times New Roman" w:hAnsi="Times New Roman"/>
                <w:sz w:val="20"/>
                <w:szCs w:val="20"/>
              </w:rPr>
            </w:pPr>
          </w:p>
          <w:p w:rsidR="004E6C01" w:rsidRPr="00D97699" w:rsidP="00D97699">
            <w:pPr>
              <w:bidi w:val="0"/>
              <w:jc w:val="center"/>
              <w:rPr>
                <w:rFonts w:ascii="Times New Roman" w:hAnsi="Times New Roman"/>
                <w:sz w:val="20"/>
                <w:szCs w:val="20"/>
              </w:rPr>
            </w:pPr>
            <w:r w:rsidRPr="00D97699" w:rsidR="00C368CA">
              <w:rPr>
                <w:rFonts w:ascii="Times New Roman" w:hAnsi="Times New Roman"/>
                <w:sz w:val="20"/>
                <w:szCs w:val="20"/>
              </w:rPr>
              <w:t>n.a.</w:t>
            </w: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r w:rsidRPr="00D97699">
              <w:rPr>
                <w:rFonts w:ascii="Times New Roman" w:hAnsi="Times New Roman"/>
                <w:sz w:val="20"/>
                <w:szCs w:val="20"/>
              </w:rPr>
              <w:t>N</w:t>
            </w: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p>
          <w:p w:rsidR="00FB7A96" w:rsidRPr="00D97699" w:rsidP="00D97699">
            <w:pPr>
              <w:bidi w:val="0"/>
              <w:jc w:val="center"/>
              <w:rPr>
                <w:rFonts w:ascii="Times New Roman" w:hAnsi="Times New Roman"/>
                <w:sz w:val="20"/>
                <w:szCs w:val="20"/>
              </w:rPr>
            </w:pPr>
          </w:p>
          <w:p w:rsidR="00FB7A96" w:rsidRPr="00D97699" w:rsidP="00D97699">
            <w:pPr>
              <w:bidi w:val="0"/>
              <w:jc w:val="center"/>
              <w:rPr>
                <w:rFonts w:ascii="Times New Roman" w:hAnsi="Times New Roman"/>
                <w:sz w:val="20"/>
                <w:szCs w:val="20"/>
              </w:rPr>
            </w:pPr>
          </w:p>
          <w:p w:rsidR="00FB7A96" w:rsidRPr="00D97699" w:rsidP="00D97699">
            <w:pPr>
              <w:bidi w:val="0"/>
              <w:jc w:val="center"/>
              <w:rPr>
                <w:rFonts w:ascii="Times New Roman" w:hAnsi="Times New Roman"/>
                <w:sz w:val="20"/>
                <w:szCs w:val="20"/>
              </w:rPr>
            </w:pPr>
          </w:p>
          <w:p w:rsidR="00FB7A96" w:rsidRPr="00D97699" w:rsidP="00D97699">
            <w:pPr>
              <w:bidi w:val="0"/>
              <w:jc w:val="center"/>
              <w:rPr>
                <w:rFonts w:ascii="Times New Roman" w:hAnsi="Times New Roman"/>
                <w:sz w:val="20"/>
                <w:szCs w:val="20"/>
              </w:rPr>
            </w:pPr>
          </w:p>
          <w:p w:rsidR="00715CC3" w:rsidRPr="00D97699" w:rsidP="00D97699">
            <w:pPr>
              <w:bidi w:val="0"/>
              <w:jc w:val="center"/>
              <w:rPr>
                <w:rFonts w:ascii="Times New Roman" w:hAnsi="Times New Roman"/>
                <w:sz w:val="20"/>
                <w:szCs w:val="20"/>
              </w:rPr>
            </w:pPr>
            <w:r w:rsidRPr="00D97699">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4E6C01" w:rsidRPr="00D97699" w:rsidP="00D97699">
            <w:pPr>
              <w:pStyle w:val="EnvelopeReturn"/>
              <w:bidi w:val="0"/>
              <w:jc w:val="center"/>
              <w:rPr>
                <w:rFonts w:ascii="Times New Roman" w:hAnsi="Times New Roman"/>
                <w:b w:val="0"/>
                <w:bCs w:val="0"/>
                <w:color w:val="auto"/>
              </w:rPr>
            </w:pP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4E6C01" w:rsidRPr="00D97699" w:rsidP="00D97699">
            <w:pPr>
              <w:bidi w:val="0"/>
              <w:rPr>
                <w:rFonts w:ascii="Times New Roman" w:hAnsi="Times New Roman"/>
                <w:sz w:val="20"/>
                <w:szCs w:val="20"/>
              </w:rPr>
            </w:pPr>
          </w:p>
          <w:p w:rsidR="00C368CA" w:rsidRPr="00D97699" w:rsidP="00D97699">
            <w:pPr>
              <w:bidi w:val="0"/>
              <w:rPr>
                <w:rFonts w:ascii="Times New Roman" w:hAnsi="Times New Roman"/>
                <w:sz w:val="20"/>
                <w:szCs w:val="20"/>
              </w:rPr>
            </w:pPr>
          </w:p>
          <w:p w:rsidR="00C368CA" w:rsidRPr="00D97699" w:rsidP="00D97699">
            <w:pPr>
              <w:bidi w:val="0"/>
              <w:rPr>
                <w:rFonts w:ascii="Times New Roman" w:hAnsi="Times New Roman"/>
                <w:sz w:val="20"/>
                <w:szCs w:val="20"/>
              </w:rPr>
            </w:pPr>
          </w:p>
          <w:p w:rsidR="00C368CA" w:rsidRPr="00D97699" w:rsidP="00D97699">
            <w:pPr>
              <w:bidi w:val="0"/>
              <w:rPr>
                <w:rFonts w:ascii="Times New Roman" w:hAnsi="Times New Roman"/>
                <w:sz w:val="20"/>
                <w:szCs w:val="20"/>
              </w:rPr>
            </w:pPr>
          </w:p>
          <w:p w:rsidR="00C368CA" w:rsidRPr="00D97699" w:rsidP="00D97699">
            <w:pPr>
              <w:bidi w:val="0"/>
              <w:rPr>
                <w:rFonts w:ascii="Times New Roman" w:hAnsi="Times New Roman"/>
                <w:sz w:val="20"/>
                <w:szCs w:val="20"/>
              </w:rPr>
            </w:pPr>
          </w:p>
          <w:p w:rsidR="00C368CA" w:rsidRPr="00D97699" w:rsidP="00D97699">
            <w:pPr>
              <w:bidi w:val="0"/>
              <w:rPr>
                <w:rFonts w:ascii="Times New Roman" w:hAnsi="Times New Roman"/>
                <w:sz w:val="20"/>
                <w:szCs w:val="20"/>
              </w:rPr>
            </w:pPr>
          </w:p>
          <w:p w:rsidR="00C368CA" w:rsidRPr="00D97699" w:rsidP="00D97699">
            <w:pPr>
              <w:bidi w:val="0"/>
              <w:rPr>
                <w:rFonts w:ascii="Times New Roman" w:hAnsi="Times New Roman"/>
                <w:sz w:val="20"/>
                <w:szCs w:val="20"/>
              </w:rPr>
            </w:pPr>
          </w:p>
          <w:p w:rsidR="00C368CA" w:rsidRPr="00D97699" w:rsidP="00D97699">
            <w:pPr>
              <w:bidi w:val="0"/>
              <w:rPr>
                <w:rFonts w:ascii="Times New Roman" w:hAnsi="Times New Roman"/>
                <w:sz w:val="20"/>
                <w:szCs w:val="20"/>
              </w:rPr>
            </w:pPr>
          </w:p>
          <w:p w:rsidR="00C368CA" w:rsidRPr="00D97699" w:rsidP="00D97699">
            <w:pPr>
              <w:bidi w:val="0"/>
              <w:rPr>
                <w:rFonts w:ascii="Times New Roman" w:hAnsi="Times New Roman"/>
                <w:sz w:val="20"/>
                <w:szCs w:val="20"/>
              </w:rPr>
            </w:pPr>
          </w:p>
          <w:p w:rsidR="00C368CA" w:rsidRPr="00D97699" w:rsidP="00D97699">
            <w:pPr>
              <w:bidi w:val="0"/>
              <w:rPr>
                <w:rFonts w:ascii="Times New Roman" w:hAnsi="Times New Roman"/>
                <w:sz w:val="20"/>
                <w:szCs w:val="20"/>
              </w:rPr>
            </w:pPr>
          </w:p>
          <w:p w:rsidR="00FB7A96" w:rsidRPr="00D97699" w:rsidP="00D97699">
            <w:pPr>
              <w:bidi w:val="0"/>
              <w:rPr>
                <w:rFonts w:ascii="Times New Roman" w:hAnsi="Times New Roman"/>
                <w:sz w:val="20"/>
                <w:szCs w:val="20"/>
              </w:rPr>
            </w:pPr>
          </w:p>
          <w:p w:rsidR="00C368CA" w:rsidRPr="00D97699" w:rsidP="00D97699">
            <w:pPr>
              <w:bidi w:val="0"/>
              <w:rPr>
                <w:rFonts w:ascii="Times New Roman" w:hAnsi="Times New Roman"/>
                <w:sz w:val="20"/>
                <w:szCs w:val="20"/>
              </w:rPr>
            </w:pPr>
          </w:p>
          <w:p w:rsidR="00FB7A96" w:rsidRPr="00D97699" w:rsidP="00D97699">
            <w:pPr>
              <w:bidi w:val="0"/>
              <w:rPr>
                <w:rFonts w:ascii="Times New Roman" w:hAnsi="Times New Roman"/>
                <w:sz w:val="20"/>
                <w:szCs w:val="20"/>
              </w:rPr>
            </w:pPr>
            <w:r w:rsidRPr="00D97699">
              <w:rPr>
                <w:rFonts w:ascii="Times New Roman" w:hAnsi="Times New Roman"/>
                <w:sz w:val="20"/>
                <w:szCs w:val="20"/>
              </w:rPr>
              <w:t>V § 56 sa za odsek 2 vkladá nový odsek 3, ktorý znie:</w:t>
            </w:r>
          </w:p>
          <w:p w:rsidR="00C368CA" w:rsidRPr="00D97699" w:rsidP="00D97699">
            <w:pPr>
              <w:bidi w:val="0"/>
              <w:rPr>
                <w:rFonts w:ascii="Times New Roman" w:hAnsi="Times New Roman"/>
                <w:sz w:val="20"/>
                <w:szCs w:val="20"/>
                <w:highlight w:val="yellow"/>
              </w:rPr>
            </w:pPr>
            <w:r w:rsidRPr="00D97699" w:rsidR="00FB7A96">
              <w:rPr>
                <w:rFonts w:ascii="Times New Roman" w:hAnsi="Times New Roman"/>
                <w:sz w:val="20"/>
                <w:szCs w:val="20"/>
              </w:rPr>
              <w:t>„(3) Ak je splnená niektorá z požiadaviek podľa § 68e ods. 1,  štátny ústav je oprávnený v záujme ochrany verejného zdravia v ktorejkoľvek fáze naliehavého postupu Únie pozastaviť registráciu humánneho lieku a zakázať používanie tohto humánneho lieku na území Slovenskej republiky dovtedy, kým nebude prijaté konečné rozhodnutie podľa § 68e ods. 10. Štátny ústav o dôvodoch svojho opatrenia informuje Komisiu, agentúru a ostatné členské štáty najneskôr v nasledujúci pracovný deň.“.</w:t>
            </w:r>
          </w:p>
          <w:p w:rsidR="00C368CA" w:rsidRPr="00D97699" w:rsidP="00D97699">
            <w:pPr>
              <w:bidi w:val="0"/>
              <w:ind w:right="225"/>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6C01" w:rsidRPr="00D97699" w:rsidP="00D97699">
            <w:pPr>
              <w:bidi w:val="0"/>
              <w:jc w:val="center"/>
              <w:rPr>
                <w:rFonts w:ascii="Times New Roman" w:hAnsi="Times New Roman"/>
                <w:sz w:val="20"/>
                <w:szCs w:val="20"/>
              </w:rPr>
            </w:pPr>
          </w:p>
          <w:p w:rsidR="00F636D0" w:rsidRPr="00D97699" w:rsidP="00D97699">
            <w:pPr>
              <w:bidi w:val="0"/>
              <w:jc w:val="center"/>
              <w:rPr>
                <w:rFonts w:ascii="Times New Roman" w:hAnsi="Times New Roman"/>
                <w:sz w:val="20"/>
                <w:szCs w:val="20"/>
              </w:rPr>
            </w:pPr>
          </w:p>
          <w:p w:rsidR="004E6C01" w:rsidRPr="00D97699" w:rsidP="00D97699">
            <w:pPr>
              <w:bidi w:val="0"/>
              <w:jc w:val="center"/>
              <w:rPr>
                <w:rFonts w:ascii="Times New Roman" w:hAnsi="Times New Roman"/>
                <w:sz w:val="20"/>
                <w:szCs w:val="20"/>
              </w:rPr>
            </w:pPr>
            <w:r w:rsidRPr="00D97699">
              <w:rPr>
                <w:rFonts w:ascii="Times New Roman" w:hAnsi="Times New Roman"/>
                <w:sz w:val="20"/>
                <w:szCs w:val="20"/>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B5902" w:rsidRPr="00D97699" w:rsidP="00D97699">
            <w:pPr>
              <w:bidi w:val="0"/>
              <w:jc w:val="center"/>
              <w:rPr>
                <w:rFonts w:ascii="Times New Roman" w:hAnsi="Times New Roman"/>
                <w:sz w:val="20"/>
                <w:szCs w:val="20"/>
              </w:rPr>
            </w:pPr>
            <w:r w:rsidRPr="00D97699">
              <w:rPr>
                <w:rFonts w:ascii="Times New Roman" w:hAnsi="Times New Roman"/>
                <w:sz w:val="20"/>
                <w:szCs w:val="20"/>
              </w:rPr>
              <w:t>Č: 1</w:t>
            </w:r>
          </w:p>
          <w:p w:rsidR="00B5023C" w:rsidRPr="00D97699" w:rsidP="00D97699">
            <w:pPr>
              <w:bidi w:val="0"/>
              <w:jc w:val="both"/>
              <w:rPr>
                <w:rFonts w:ascii="Times New Roman" w:hAnsi="Times New Roman"/>
                <w:sz w:val="20"/>
                <w:szCs w:val="20"/>
              </w:rPr>
            </w:pPr>
            <w:r w:rsidRPr="00D97699" w:rsidR="008B5902">
              <w:rPr>
                <w:rFonts w:ascii="Times New Roman" w:hAnsi="Times New Roman"/>
                <w:sz w:val="20"/>
                <w:szCs w:val="20"/>
              </w:rPr>
              <w:t>P: d</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B1BB9" w:rsidRPr="00D97699" w:rsidP="00D97699">
            <w:pPr>
              <w:bidi w:val="0"/>
              <w:ind w:right="225"/>
              <w:jc w:val="both"/>
              <w:rPr>
                <w:rFonts w:ascii="Times New Roman" w:hAnsi="Times New Roman"/>
                <w:sz w:val="20"/>
                <w:szCs w:val="20"/>
              </w:rPr>
            </w:pPr>
            <w:r w:rsidRPr="00D97699">
              <w:rPr>
                <w:rFonts w:ascii="Times New Roman" w:hAnsi="Times New Roman"/>
                <w:sz w:val="20"/>
                <w:szCs w:val="20"/>
              </w:rPr>
              <w:t>3. V článku 34 ods. 3 sa dopĺňa tento pododsek:</w:t>
            </w:r>
          </w:p>
          <w:p w:rsidR="004B1BB9" w:rsidRPr="00D97699" w:rsidP="00D97699">
            <w:pPr>
              <w:bidi w:val="0"/>
              <w:ind w:right="225"/>
              <w:jc w:val="both"/>
              <w:rPr>
                <w:rFonts w:ascii="Times New Roman" w:hAnsi="Times New Roman"/>
                <w:sz w:val="20"/>
                <w:szCs w:val="20"/>
              </w:rPr>
            </w:pPr>
            <w:r w:rsidRPr="00D97699">
              <w:rPr>
                <w:rFonts w:ascii="Times New Roman" w:hAnsi="Times New Roman"/>
                <w:sz w:val="20"/>
                <w:szCs w:val="20"/>
              </w:rPr>
              <w:t>"Ak sa rozsah pôsobnosti postupu iniciovaného podľa článku 31 týka liekov povolených v súlade s nariadením (ES) č. 726/2004 podľa článku 31 ods. 2 tretieho pododseku tejto smernice, Komisia v prípade potreby prijme rozhodnutia o zmene, pozastavení platnosti alebo zrušení povolení na uvedenie na trh alebo o zamietnutí obnovenia príslušných povolení na uvedenie na trh.".</w:t>
            </w:r>
          </w:p>
          <w:p w:rsidR="00B5023C" w:rsidRPr="00D97699" w:rsidP="00D97699">
            <w:pPr>
              <w:bidi w:val="0"/>
              <w:ind w:left="150" w:right="15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p>
          <w:p w:rsidR="00E25004" w:rsidRPr="00D97699" w:rsidP="00D97699">
            <w:pPr>
              <w:bidi w:val="0"/>
              <w:jc w:val="center"/>
              <w:rPr>
                <w:rFonts w:ascii="Times New Roman" w:hAnsi="Times New Roman"/>
                <w:sz w:val="20"/>
                <w:szCs w:val="20"/>
              </w:rPr>
            </w:pPr>
          </w:p>
          <w:p w:rsidR="00E25004" w:rsidRPr="00D97699" w:rsidP="00D97699">
            <w:pPr>
              <w:bidi w:val="0"/>
              <w:jc w:val="center"/>
              <w:rPr>
                <w:rFonts w:ascii="Times New Roman" w:hAnsi="Times New Roman"/>
                <w:sz w:val="20"/>
                <w:szCs w:val="20"/>
              </w:rPr>
            </w:pPr>
            <w:r w:rsidRPr="00D97699" w:rsidR="00755E75">
              <w:rPr>
                <w:rFonts w:ascii="Times New Roman" w:hAnsi="Times New Roman"/>
                <w:sz w:val="20"/>
                <w:szCs w:val="20"/>
              </w:rPr>
              <w:t>n.a.</w:t>
            </w:r>
          </w:p>
          <w:p w:rsidR="00E25004" w:rsidRPr="00D97699" w:rsidP="00D97699">
            <w:pPr>
              <w:bidi w:val="0"/>
              <w:jc w:val="center"/>
              <w:rPr>
                <w:rFonts w:ascii="Times New Roman" w:hAnsi="Times New Roman"/>
                <w:sz w:val="20"/>
                <w:szCs w:val="20"/>
              </w:rPr>
            </w:pPr>
          </w:p>
          <w:p w:rsidR="00E25004" w:rsidRPr="00D97699" w:rsidP="00D97699">
            <w:pPr>
              <w:bidi w:val="0"/>
              <w:jc w:val="center"/>
              <w:rPr>
                <w:rFonts w:ascii="Times New Roman" w:hAnsi="Times New Roman"/>
                <w:sz w:val="20"/>
                <w:szCs w:val="20"/>
              </w:rPr>
            </w:pPr>
          </w:p>
          <w:p w:rsidR="00E25004" w:rsidRPr="00D97699" w:rsidP="00D97699">
            <w:pPr>
              <w:bidi w:val="0"/>
              <w:jc w:val="center"/>
              <w:rPr>
                <w:rFonts w:ascii="Times New Roman" w:hAnsi="Times New Roman"/>
                <w:sz w:val="20"/>
                <w:szCs w:val="20"/>
              </w:rPr>
            </w:pPr>
          </w:p>
          <w:p w:rsidR="00E25004" w:rsidRPr="00D97699" w:rsidP="00D97699">
            <w:pPr>
              <w:bidi w:val="0"/>
              <w:jc w:val="center"/>
              <w:rPr>
                <w:rFonts w:ascii="Times New Roman" w:hAnsi="Times New Roman"/>
                <w:sz w:val="20"/>
                <w:szCs w:val="20"/>
              </w:rPr>
            </w:pPr>
          </w:p>
          <w:p w:rsidR="00E25004" w:rsidRPr="00D97699" w:rsidP="00D97699">
            <w:pPr>
              <w:bidi w:val="0"/>
              <w:jc w:val="center"/>
              <w:rPr>
                <w:rFonts w:ascii="Times New Roman" w:hAnsi="Times New Roman"/>
                <w:sz w:val="20"/>
                <w:szCs w:val="20"/>
              </w:rPr>
            </w:pPr>
          </w:p>
          <w:p w:rsidR="00E25004" w:rsidRPr="00D97699" w:rsidP="00D97699">
            <w:pPr>
              <w:bidi w:val="0"/>
              <w:jc w:val="center"/>
              <w:rPr>
                <w:rFonts w:ascii="Times New Roman" w:hAnsi="Times New Roman"/>
                <w:sz w:val="20"/>
                <w:szCs w:val="20"/>
              </w:rPr>
            </w:pPr>
          </w:p>
          <w:p w:rsidR="00E25004" w:rsidRPr="00D97699" w:rsidP="00D97699">
            <w:pPr>
              <w:bidi w:val="0"/>
              <w:jc w:val="center"/>
              <w:rPr>
                <w:rFonts w:ascii="Times New Roman" w:hAnsi="Times New Roman"/>
                <w:sz w:val="20"/>
                <w:szCs w:val="20"/>
              </w:rPr>
            </w:pPr>
          </w:p>
          <w:p w:rsidR="00E25004" w:rsidRPr="00D97699" w:rsidP="00D97699">
            <w:pPr>
              <w:bidi w:val="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E25004" w:rsidRPr="00D97699" w:rsidP="00D97699">
            <w:pPr>
              <w:pStyle w:val="EnvelopeReturn"/>
              <w:bidi w:val="0"/>
              <w:jc w:val="center"/>
              <w:rPr>
                <w:rFonts w:ascii="Times New Roman" w:hAnsi="Times New Roman"/>
                <w:b w:val="0"/>
                <w:bCs w:val="0"/>
                <w:color w:val="auto"/>
              </w:rPr>
            </w:pP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E25004" w:rsidRPr="00D97699" w:rsidP="00D97699">
            <w:pPr>
              <w:bidi w:val="0"/>
              <w:ind w:right="15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004" w:rsidRPr="00D97699" w:rsidP="00D97699">
            <w:pPr>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B5902" w:rsidRPr="00D97699" w:rsidP="00D97699">
            <w:pPr>
              <w:bidi w:val="0"/>
              <w:jc w:val="center"/>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B1BB9" w:rsidRPr="00D97699" w:rsidP="00D97699">
            <w:pPr>
              <w:bidi w:val="0"/>
              <w:ind w:right="225"/>
              <w:jc w:val="both"/>
              <w:rPr>
                <w:rFonts w:ascii="Times New Roman" w:hAnsi="Times New Roman"/>
                <w:sz w:val="20"/>
                <w:szCs w:val="20"/>
              </w:rPr>
            </w:pPr>
            <w:r w:rsidRPr="00D97699">
              <w:rPr>
                <w:rFonts w:ascii="Times New Roman" w:hAnsi="Times New Roman"/>
                <w:sz w:val="20"/>
                <w:szCs w:val="20"/>
              </w:rPr>
              <w:t>4. V článku 37 sa slová "Články 35 a 36 platia" nahrádzajú slovami "Článok 35 sa uplatňuje".</w:t>
            </w:r>
          </w:p>
          <w:p w:rsidR="00B5023C" w:rsidRPr="00D97699" w:rsidP="00D97699">
            <w:pPr>
              <w:bidi w:val="0"/>
              <w:ind w:left="150" w:right="15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86BBE" w:rsidRPr="00D97699" w:rsidP="00D97699">
            <w:pPr>
              <w:bidi w:val="0"/>
              <w:jc w:val="center"/>
              <w:rPr>
                <w:rFonts w:ascii="Times New Roman" w:hAnsi="Times New Roman"/>
                <w:sz w:val="20"/>
                <w:szCs w:val="20"/>
              </w:rPr>
            </w:pPr>
            <w:r w:rsidRPr="00D97699" w:rsidR="00755E75">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186BBE" w:rsidRPr="00D97699" w:rsidP="00D97699">
            <w:pPr>
              <w:pStyle w:val="EnvelopeReturn"/>
              <w:bidi w:val="0"/>
              <w:jc w:val="center"/>
              <w:rPr>
                <w:rFonts w:ascii="Times New Roman" w:hAnsi="Times New Roman"/>
                <w:b w:val="0"/>
                <w:bCs w:val="0"/>
                <w:color w:val="auto"/>
              </w:rPr>
            </w:pP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186BBE" w:rsidRPr="00D97699" w:rsidP="00D97699">
            <w:pPr>
              <w:bidi w:val="0"/>
              <w:ind w:left="426" w:right="15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86BBE" w:rsidRPr="00D97699" w:rsidP="00D97699">
            <w:pPr>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B6A2C" w:rsidRPr="00D97699" w:rsidP="00D97699">
            <w:pPr>
              <w:bidi w:val="0"/>
              <w:ind w:right="225"/>
              <w:jc w:val="both"/>
              <w:rPr>
                <w:rFonts w:ascii="Times New Roman" w:hAnsi="Times New Roman"/>
                <w:sz w:val="20"/>
                <w:szCs w:val="20"/>
              </w:rPr>
            </w:pPr>
            <w:r w:rsidRPr="00D97699">
              <w:rPr>
                <w:rFonts w:ascii="Times New Roman" w:hAnsi="Times New Roman"/>
                <w:sz w:val="20"/>
                <w:szCs w:val="20"/>
              </w:rPr>
              <w:t>5. Článok 63 sa mení a dopĺňa takto:</w:t>
            </w:r>
          </w:p>
          <w:p w:rsidR="000B6A2C" w:rsidRPr="00D97699" w:rsidP="00D97699">
            <w:pPr>
              <w:bidi w:val="0"/>
              <w:ind w:right="225"/>
              <w:jc w:val="both"/>
              <w:rPr>
                <w:rFonts w:ascii="Times New Roman" w:hAnsi="Times New Roman"/>
                <w:sz w:val="20"/>
                <w:szCs w:val="20"/>
              </w:rPr>
            </w:pPr>
            <w:r w:rsidRPr="00D97699">
              <w:rPr>
                <w:rFonts w:ascii="Times New Roman" w:hAnsi="Times New Roman"/>
                <w:sz w:val="20"/>
                <w:szCs w:val="20"/>
              </w:rPr>
              <w:t>a) v odseku 1 sa prvý pododsek nahrádza takto:</w:t>
            </w:r>
          </w:p>
          <w:p w:rsidR="00B5023C" w:rsidRPr="00D97699" w:rsidP="00D97699">
            <w:pPr>
              <w:bidi w:val="0"/>
              <w:ind w:right="225"/>
              <w:jc w:val="both"/>
              <w:rPr>
                <w:rFonts w:ascii="Times New Roman" w:hAnsi="Times New Roman"/>
                <w:sz w:val="20"/>
                <w:szCs w:val="20"/>
              </w:rPr>
            </w:pPr>
            <w:r w:rsidRPr="00D97699" w:rsidR="000B6A2C">
              <w:rPr>
                <w:rFonts w:ascii="Times New Roman" w:hAnsi="Times New Roman"/>
                <w:sz w:val="20"/>
                <w:szCs w:val="20"/>
              </w:rPr>
              <w:t>"1. Údaje pre označovanie uvedené v článkoch 54, 59 a 62 sa uvádzajú v úradnom jazyku alebo úradných jazykoch členského štátu, v ktorom sa liek uvádza na trh, ako je stanovené na účely tejto smernice týmto členským štátom.";</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p>
          <w:p w:rsidR="00370378" w:rsidRPr="00D97699" w:rsidP="00D97699">
            <w:pPr>
              <w:bidi w:val="0"/>
              <w:jc w:val="center"/>
              <w:rPr>
                <w:rFonts w:ascii="Times New Roman" w:hAnsi="Times New Roman"/>
                <w:sz w:val="20"/>
                <w:szCs w:val="20"/>
              </w:rPr>
            </w:pPr>
          </w:p>
          <w:p w:rsidR="00370378" w:rsidRPr="00D97699" w:rsidP="00D97699">
            <w:pPr>
              <w:bidi w:val="0"/>
              <w:jc w:val="center"/>
              <w:rPr>
                <w:rFonts w:ascii="Times New Roman" w:hAnsi="Times New Roman"/>
                <w:sz w:val="20"/>
                <w:szCs w:val="20"/>
              </w:rPr>
            </w:pPr>
            <w:r w:rsidRPr="00D97699" w:rsidR="005E5C62">
              <w:rPr>
                <w:rFonts w:ascii="Times New Roman" w:hAnsi="Times New Roman"/>
                <w:sz w:val="20"/>
                <w:szCs w:val="20"/>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370378" w:rsidRPr="00D97699" w:rsidP="00D97699">
            <w:pPr>
              <w:pStyle w:val="EnvelopeReturn"/>
              <w:bidi w:val="0"/>
              <w:jc w:val="center"/>
              <w:rPr>
                <w:rFonts w:ascii="Times New Roman" w:hAnsi="Times New Roman"/>
                <w:b w:val="0"/>
                <w:bCs w:val="0"/>
                <w:color w:val="auto"/>
              </w:rPr>
            </w:pP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370378" w:rsidRPr="00D97699" w:rsidP="00D97699">
            <w:pPr>
              <w:bidi w:val="0"/>
              <w:rPr>
                <w:rFonts w:ascii="Times New Roman" w:hAnsi="Times New Roman"/>
                <w:i/>
                <w:color w:val="FF0000"/>
                <w:sz w:val="20"/>
                <w:szCs w:val="20"/>
              </w:rPr>
            </w:pPr>
            <w:r w:rsidRPr="00D97699" w:rsidR="005E5C62">
              <w:rPr>
                <w:rFonts w:ascii="Times New Roman" w:hAnsi="Times New Roman"/>
                <w:i/>
                <w:sz w:val="20"/>
                <w:szCs w:val="20"/>
              </w:rPr>
              <w:t>Netreba novelizovať. SR by mohla povoliť aj jazyk iného ČŠ ale to by bolo v rozpore so zákonom o štátnom jazyku.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p>
          <w:p w:rsidR="00370378" w:rsidRPr="00D97699" w:rsidP="00D97699">
            <w:pPr>
              <w:bidi w:val="0"/>
              <w:jc w:val="center"/>
              <w:rPr>
                <w:rFonts w:ascii="Times New Roman" w:hAnsi="Times New Roman"/>
                <w:sz w:val="20"/>
                <w:szCs w:val="20"/>
              </w:rPr>
            </w:pPr>
          </w:p>
          <w:p w:rsidR="00370378" w:rsidRPr="00D97699" w:rsidP="00D97699">
            <w:pPr>
              <w:bidi w:val="0"/>
              <w:jc w:val="center"/>
              <w:rPr>
                <w:rFonts w:ascii="Times New Roman" w:hAnsi="Times New Roman"/>
                <w:sz w:val="20"/>
                <w:szCs w:val="20"/>
              </w:rPr>
            </w:pPr>
            <w:r w:rsidRPr="00D97699">
              <w:rPr>
                <w:rFonts w:ascii="Times New Roman" w:hAnsi="Times New Roman"/>
                <w:sz w:val="20"/>
                <w:szCs w:val="20"/>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B6A2C" w:rsidRPr="00D97699" w:rsidP="00D97699">
            <w:pPr>
              <w:bidi w:val="0"/>
              <w:ind w:right="225"/>
              <w:jc w:val="both"/>
              <w:rPr>
                <w:rFonts w:ascii="Times New Roman" w:hAnsi="Times New Roman"/>
                <w:sz w:val="20"/>
                <w:szCs w:val="20"/>
              </w:rPr>
            </w:pPr>
            <w:r w:rsidRPr="00D97699">
              <w:rPr>
                <w:rFonts w:ascii="Times New Roman" w:hAnsi="Times New Roman"/>
                <w:sz w:val="20"/>
                <w:szCs w:val="20"/>
              </w:rPr>
              <w:t>b) v odseku 2 sa prvý pododsek nahrádza takto:</w:t>
            </w:r>
          </w:p>
          <w:p w:rsidR="005E5C62" w:rsidRPr="00D97699" w:rsidP="00D97699">
            <w:pPr>
              <w:bidi w:val="0"/>
              <w:ind w:right="225"/>
              <w:jc w:val="both"/>
              <w:rPr>
                <w:rFonts w:ascii="Times New Roman" w:hAnsi="Times New Roman"/>
                <w:sz w:val="20"/>
                <w:szCs w:val="20"/>
              </w:rPr>
            </w:pPr>
            <w:r w:rsidRPr="00D97699" w:rsidR="000B6A2C">
              <w:rPr>
                <w:rFonts w:ascii="Times New Roman" w:hAnsi="Times New Roman"/>
                <w:sz w:val="20"/>
                <w:szCs w:val="20"/>
              </w:rPr>
              <w:t>"2. Príbalový leták musí byť napísaný a navrhnutý tak, aby bol jasný a zrozumiteľný a aby užívateľom umožňoval náležite konať, v prípade potreby s pomocou odborných zdravotníckych pracovníkov. Príbalový leták musí byť jasne čitateľný v úradnom jazyku alebo úradných jazykoch členského štátu, v ktorom sa liek uvádza na trh, ako je stanovené na účely tejto smernice týmto členským štátom.";</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409DB" w:rsidRPr="00D97699" w:rsidP="00D97699">
            <w:pPr>
              <w:bidi w:val="0"/>
              <w:jc w:val="center"/>
              <w:rPr>
                <w:rFonts w:ascii="Times New Roman" w:hAnsi="Times New Roman"/>
                <w:sz w:val="20"/>
                <w:szCs w:val="20"/>
              </w:rPr>
            </w:pPr>
          </w:p>
          <w:p w:rsidR="005E5C62" w:rsidRPr="00D97699" w:rsidP="00D97699">
            <w:pPr>
              <w:bidi w:val="0"/>
              <w:jc w:val="center"/>
              <w:rPr>
                <w:rFonts w:ascii="Times New Roman" w:hAnsi="Times New Roman"/>
                <w:sz w:val="20"/>
                <w:szCs w:val="20"/>
              </w:rPr>
            </w:pPr>
            <w:r w:rsidRPr="00D97699">
              <w:rPr>
                <w:rFonts w:ascii="Times New Roman" w:hAnsi="Times New Roman"/>
                <w:sz w:val="20"/>
                <w:szCs w:val="20"/>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4409DB" w:rsidRPr="00D97699" w:rsidP="00D97699">
            <w:pPr>
              <w:pStyle w:val="EnvelopeReturn"/>
              <w:bidi w:val="0"/>
              <w:jc w:val="center"/>
              <w:rPr>
                <w:rFonts w:ascii="Times New Roman" w:hAnsi="Times New Roman"/>
                <w:b w:val="0"/>
                <w:bCs w:val="0"/>
                <w:color w:val="auto"/>
              </w:rPr>
            </w:pP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4409DB" w:rsidRPr="00D97699" w:rsidP="00D97699">
            <w:pPr>
              <w:bidi w:val="0"/>
              <w:rPr>
                <w:rFonts w:ascii="Times New Roman" w:hAnsi="Times New Roman"/>
                <w:i/>
                <w:sz w:val="20"/>
                <w:szCs w:val="20"/>
              </w:rPr>
            </w:pPr>
            <w:r w:rsidRPr="00D97699" w:rsidR="005E5C62">
              <w:rPr>
                <w:rFonts w:ascii="Times New Roman" w:hAnsi="Times New Roman"/>
                <w:i/>
                <w:sz w:val="20"/>
                <w:szCs w:val="20"/>
              </w:rPr>
              <w:t>Netreba novelizovať. SR by mohla povoliť aj jazyk iného ČŠ ale to by bolo v rozpore so zákonom o štátnom jazyku.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409DB" w:rsidRPr="00D97699" w:rsidP="00D97699">
            <w:pPr>
              <w:bidi w:val="0"/>
              <w:jc w:val="center"/>
              <w:rPr>
                <w:rFonts w:ascii="Times New Roman" w:hAnsi="Times New Roman"/>
                <w:sz w:val="20"/>
                <w:szCs w:val="20"/>
              </w:rPr>
            </w:pPr>
          </w:p>
          <w:p w:rsidR="00FB7A96" w:rsidRPr="00D97699" w:rsidP="00D97699">
            <w:pPr>
              <w:bidi w:val="0"/>
              <w:jc w:val="center"/>
              <w:rPr>
                <w:rFonts w:ascii="Times New Roman" w:hAnsi="Times New Roman"/>
                <w:sz w:val="20"/>
                <w:szCs w:val="20"/>
              </w:rPr>
            </w:pPr>
            <w:r w:rsidRPr="00D97699">
              <w:rPr>
                <w:rFonts w:ascii="Times New Roman" w:hAnsi="Times New Roman"/>
                <w:sz w:val="20"/>
                <w:szCs w:val="20"/>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B5902" w:rsidRPr="00D97699" w:rsidP="00D97699">
            <w:pPr>
              <w:bidi w:val="0"/>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B6A2C" w:rsidRPr="00D97699" w:rsidP="00D97699">
            <w:pPr>
              <w:bidi w:val="0"/>
              <w:ind w:right="225"/>
              <w:jc w:val="both"/>
              <w:rPr>
                <w:rFonts w:ascii="Times New Roman" w:hAnsi="Times New Roman"/>
                <w:sz w:val="20"/>
                <w:szCs w:val="20"/>
              </w:rPr>
            </w:pPr>
            <w:r w:rsidRPr="00D97699">
              <w:rPr>
                <w:rFonts w:ascii="Times New Roman" w:hAnsi="Times New Roman"/>
                <w:sz w:val="20"/>
                <w:szCs w:val="20"/>
              </w:rPr>
              <w:t>c) odsek 3 sa nahrádza takto:</w:t>
            </w:r>
          </w:p>
          <w:p w:rsidR="005E5C62" w:rsidRPr="00D97699" w:rsidP="00D97699">
            <w:pPr>
              <w:bidi w:val="0"/>
              <w:ind w:right="225"/>
              <w:jc w:val="both"/>
              <w:rPr>
                <w:rFonts w:ascii="Times New Roman" w:hAnsi="Times New Roman"/>
                <w:sz w:val="20"/>
                <w:szCs w:val="20"/>
              </w:rPr>
            </w:pPr>
            <w:r w:rsidRPr="00D97699" w:rsidR="000B6A2C">
              <w:rPr>
                <w:rFonts w:ascii="Times New Roman" w:hAnsi="Times New Roman"/>
                <w:sz w:val="20"/>
                <w:szCs w:val="20"/>
              </w:rPr>
              <w:t>"3. Ak liek nie je určený na priamy výdaj pacientovi, alebo ak sa vyskytli závažné problémy súvisiace s dostupnosťou lieku, príslušné orgány môžu na základe opatrení, ktoré považujú za nevyhnutné v záujme ochrany ľudského zdravia, udeliť výnimku z povinnosti uvádzať určité údaje na označení a v príbalovom letáku. Môžu udeliť aj úplnú alebo čiastočnú výnimku z povinnosti uvádzať označenie a príbalový leták v úradnom jazyku alebo úradných jazykoch členského štátu, v ktorom sa liek uvádza na trh, ako je stanovené na účely tejto smernice týmto členským štátom.".</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p>
          <w:p w:rsidR="00325033" w:rsidRPr="00D97699" w:rsidP="00D97699">
            <w:pPr>
              <w:bidi w:val="0"/>
              <w:jc w:val="center"/>
              <w:rPr>
                <w:rFonts w:ascii="Times New Roman" w:hAnsi="Times New Roman"/>
                <w:sz w:val="20"/>
                <w:szCs w:val="20"/>
              </w:rPr>
            </w:pPr>
            <w:r w:rsidRPr="00D97699" w:rsidR="00672BB8">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FB7A96" w:rsidRPr="00D97699" w:rsidP="00D97699">
            <w:pPr>
              <w:pStyle w:val="EnvelopeReturn"/>
              <w:bidi w:val="0"/>
              <w:jc w:val="center"/>
              <w:rPr>
                <w:rFonts w:ascii="Times New Roman" w:hAnsi="Times New Roman"/>
                <w:b w:val="0"/>
                <w:bCs w:val="0"/>
                <w:color w:val="auto"/>
              </w:rPr>
            </w:pPr>
          </w:p>
          <w:p w:rsidR="00FB7A96" w:rsidRPr="00D97699" w:rsidP="00D97699">
            <w:pPr>
              <w:pStyle w:val="EnvelopeReturn"/>
              <w:bidi w:val="0"/>
              <w:jc w:val="center"/>
              <w:rPr>
                <w:rFonts w:ascii="Times New Roman" w:hAnsi="Times New Roman"/>
                <w:b w:val="0"/>
                <w:bCs w:val="0"/>
                <w:color w:val="auto"/>
              </w:rPr>
            </w:pPr>
            <w:r w:rsidRPr="00D97699">
              <w:rPr>
                <w:rFonts w:ascii="Times New Roman" w:hAnsi="Times New Roman"/>
                <w:b w:val="0"/>
                <w:bCs w:val="0"/>
                <w:color w:val="auto"/>
              </w:rPr>
              <w:t>§ 61</w:t>
            </w:r>
          </w:p>
          <w:p w:rsidR="00FB7A96" w:rsidRPr="00D97699" w:rsidP="00D97699">
            <w:pPr>
              <w:pStyle w:val="EnvelopeReturn"/>
              <w:bidi w:val="0"/>
              <w:jc w:val="center"/>
              <w:rPr>
                <w:rFonts w:ascii="Times New Roman" w:hAnsi="Times New Roman"/>
                <w:b w:val="0"/>
                <w:bCs w:val="0"/>
                <w:color w:val="auto"/>
              </w:rPr>
            </w:pPr>
            <w:r w:rsidRPr="00D97699">
              <w:rPr>
                <w:rFonts w:ascii="Times New Roman" w:hAnsi="Times New Roman"/>
                <w:b w:val="0"/>
                <w:bCs w:val="0"/>
                <w:color w:val="auto"/>
              </w:rPr>
              <w:t>O: 8</w:t>
            </w: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672BB8" w:rsidRPr="00D97699" w:rsidP="00D97699">
            <w:pPr>
              <w:bidi w:val="0"/>
              <w:ind w:right="150"/>
              <w:rPr>
                <w:rFonts w:ascii="Times New Roman" w:hAnsi="Times New Roman"/>
                <w:sz w:val="20"/>
                <w:szCs w:val="20"/>
              </w:rPr>
            </w:pPr>
          </w:p>
          <w:p w:rsidR="00325033" w:rsidRPr="00D97699" w:rsidP="00D97699">
            <w:pPr>
              <w:bidi w:val="0"/>
              <w:ind w:right="150"/>
              <w:rPr>
                <w:rFonts w:ascii="Times New Roman" w:hAnsi="Times New Roman"/>
                <w:sz w:val="20"/>
                <w:szCs w:val="20"/>
              </w:rPr>
            </w:pPr>
            <w:r w:rsidRPr="00D97699" w:rsidR="00672BB8">
              <w:rPr>
                <w:rFonts w:ascii="Times New Roman" w:hAnsi="Times New Roman"/>
                <w:sz w:val="20"/>
                <w:szCs w:val="20"/>
              </w:rPr>
              <w:t>V § 61 ods. 8 sa za slová „na ojedinelé ochorenie“ vkladajú slová „</w:t>
            </w:r>
            <w:r w:rsidRPr="00D97699" w:rsidR="005E5C62">
              <w:rPr>
                <w:rFonts w:ascii="Times New Roman" w:hAnsi="Times New Roman"/>
                <w:sz w:val="20"/>
                <w:szCs w:val="20"/>
              </w:rPr>
              <w:t>alebo sú problémy s dostupnosťou humánneho lieku</w:t>
            </w:r>
            <w:r w:rsidRPr="00D97699" w:rsidR="00672BB8">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p>
          <w:p w:rsidR="00325033" w:rsidRPr="00D97699" w:rsidP="00D97699">
            <w:pPr>
              <w:bidi w:val="0"/>
              <w:jc w:val="center"/>
              <w:rPr>
                <w:rFonts w:ascii="Times New Roman" w:hAnsi="Times New Roman"/>
                <w:sz w:val="20"/>
                <w:szCs w:val="20"/>
              </w:rPr>
            </w:pPr>
            <w:r w:rsidRPr="00D97699">
              <w:rPr>
                <w:rFonts w:ascii="Times New Roman" w:hAnsi="Times New Roman"/>
                <w:sz w:val="20"/>
                <w:szCs w:val="20"/>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F06E4" w:rsidRPr="00D97699" w:rsidP="00D97699">
            <w:pPr>
              <w:bidi w:val="0"/>
              <w:ind w:right="225"/>
              <w:jc w:val="both"/>
              <w:rPr>
                <w:rFonts w:ascii="Times New Roman" w:hAnsi="Times New Roman"/>
                <w:sz w:val="20"/>
                <w:szCs w:val="20"/>
              </w:rPr>
            </w:pPr>
            <w:r w:rsidRPr="00D97699">
              <w:rPr>
                <w:rFonts w:ascii="Times New Roman" w:hAnsi="Times New Roman"/>
                <w:sz w:val="20"/>
                <w:szCs w:val="20"/>
              </w:rPr>
              <w:t>6. Článok 85a sa nahrádza takto:</w:t>
            </w:r>
          </w:p>
          <w:p w:rsidR="00FF06E4" w:rsidRPr="00D97699" w:rsidP="00D97699">
            <w:pPr>
              <w:bidi w:val="0"/>
              <w:ind w:right="225"/>
              <w:jc w:val="both"/>
              <w:rPr>
                <w:rFonts w:ascii="Times New Roman" w:hAnsi="Times New Roman"/>
                <w:sz w:val="20"/>
                <w:szCs w:val="20"/>
              </w:rPr>
            </w:pPr>
            <w:r w:rsidRPr="00D97699">
              <w:rPr>
                <w:rFonts w:ascii="Times New Roman" w:hAnsi="Times New Roman"/>
                <w:sz w:val="20"/>
                <w:szCs w:val="20"/>
              </w:rPr>
              <w:t>"Článok 85a</w:t>
            </w:r>
          </w:p>
          <w:p w:rsidR="009F5E7B" w:rsidRPr="00D97699" w:rsidP="00D97699">
            <w:pPr>
              <w:bidi w:val="0"/>
              <w:ind w:right="225"/>
              <w:jc w:val="both"/>
              <w:rPr>
                <w:rFonts w:ascii="Times New Roman" w:hAnsi="Times New Roman"/>
                <w:sz w:val="20"/>
                <w:szCs w:val="20"/>
              </w:rPr>
            </w:pPr>
            <w:r w:rsidRPr="00D97699" w:rsidR="00FF06E4">
              <w:rPr>
                <w:rFonts w:ascii="Times New Roman" w:hAnsi="Times New Roman"/>
                <w:sz w:val="20"/>
                <w:szCs w:val="20"/>
              </w:rPr>
              <w:t>V prípade veľkoobchodnej distribúcie liekov do tretích krajín sa neuplatňuje článok 76 ani článok 80 prvý odsek písm. c). Okrem toho sa neuplatňuje článok 80 prvý odsek písm. b) a ca), ak je liek získaný priamo z tretej krajiny, ale nie je dovezený. V takom prípade však veľkoobchodní distribútori zabezpečia, aby sa lieky získavali len od osôb, ktoré majú povolenie alebo ktoré sú oprávnené na dodávanie liekov v súlade s platnými právnymi a správnymi ustanoveniami príslušnej tretej krajiny. V prípadoch, keď veľkoobchodní distribútori dodávajú lieky osobám v tretích krajinách, zabezpečia, aby sa tieto dodávky poskytovali len osobám, ktoré majú povolenie alebo ktoré sú oprávnené na prebratie liekov na veľkoobchodnú distribúciu alebo na ich výdaj verejnosti v súlade s platnými právnymi a správnymi ustanoveniami príslušnej tretej krajiny. Požiadavky uvedené v článku 82 sa uplatňujú na dodanie liekov osobám v tretích krajinách s povolením alebo oprávneným vydávať lieky verejnosti.".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p>
          <w:p w:rsidR="00D23444" w:rsidRPr="00D97699" w:rsidP="00D97699">
            <w:pPr>
              <w:bidi w:val="0"/>
              <w:jc w:val="center"/>
              <w:rPr>
                <w:rFonts w:ascii="Times New Roman" w:hAnsi="Times New Roman"/>
                <w:sz w:val="20"/>
                <w:szCs w:val="20"/>
              </w:rPr>
            </w:pPr>
            <w:r w:rsidRPr="00D97699">
              <w:rPr>
                <w:rFonts w:ascii="Times New Roman" w:hAnsi="Times New Roman"/>
                <w:sz w:val="20"/>
                <w:szCs w:val="20"/>
              </w:rPr>
              <w:t>N</w:t>
            </w:r>
          </w:p>
          <w:p w:rsidR="00D23444" w:rsidRPr="00D97699" w:rsidP="00D97699">
            <w:pPr>
              <w:bidi w:val="0"/>
              <w:jc w:val="center"/>
              <w:rPr>
                <w:rFonts w:ascii="Times New Roman" w:hAnsi="Times New Roman"/>
                <w:sz w:val="20"/>
                <w:szCs w:val="20"/>
              </w:rPr>
            </w:pPr>
          </w:p>
          <w:p w:rsidR="00D23444" w:rsidRPr="00D97699" w:rsidP="00D97699">
            <w:pPr>
              <w:bidi w:val="0"/>
              <w:jc w:val="center"/>
              <w:rPr>
                <w:rFonts w:ascii="Times New Roman" w:hAnsi="Times New Roman"/>
                <w:sz w:val="20"/>
                <w:szCs w:val="20"/>
              </w:rPr>
            </w:pPr>
          </w:p>
          <w:p w:rsidR="00D23444" w:rsidRPr="00D97699" w:rsidP="00D97699">
            <w:pPr>
              <w:bidi w:val="0"/>
              <w:jc w:val="center"/>
              <w:rPr>
                <w:rFonts w:ascii="Times New Roman" w:hAnsi="Times New Roman"/>
                <w:sz w:val="20"/>
                <w:szCs w:val="20"/>
              </w:rPr>
            </w:pPr>
          </w:p>
          <w:p w:rsidR="00D23444" w:rsidRPr="00D97699" w:rsidP="00D97699">
            <w:pPr>
              <w:bidi w:val="0"/>
              <w:jc w:val="center"/>
              <w:rPr>
                <w:rFonts w:ascii="Times New Roman" w:hAnsi="Times New Roman"/>
                <w:sz w:val="20"/>
                <w:szCs w:val="20"/>
              </w:rPr>
            </w:pPr>
          </w:p>
          <w:p w:rsidR="00D23444" w:rsidRPr="00D97699" w:rsidP="00D97699">
            <w:pPr>
              <w:bidi w:val="0"/>
              <w:jc w:val="center"/>
              <w:rPr>
                <w:rFonts w:ascii="Times New Roman" w:hAnsi="Times New Roman"/>
                <w:sz w:val="20"/>
                <w:szCs w:val="20"/>
              </w:rPr>
            </w:pPr>
          </w:p>
          <w:p w:rsidR="00D23444" w:rsidRPr="00D97699" w:rsidP="00D97699">
            <w:pPr>
              <w:bidi w:val="0"/>
              <w:jc w:val="center"/>
              <w:rPr>
                <w:rFonts w:ascii="Times New Roman" w:hAnsi="Times New Roman"/>
                <w:sz w:val="20"/>
                <w:szCs w:val="20"/>
              </w:rPr>
            </w:pPr>
          </w:p>
          <w:p w:rsidR="00D23444" w:rsidRPr="00D97699" w:rsidP="00D97699">
            <w:pPr>
              <w:bidi w:val="0"/>
              <w:jc w:val="center"/>
              <w:rPr>
                <w:rFonts w:ascii="Times New Roman" w:hAnsi="Times New Roman"/>
                <w:sz w:val="20"/>
                <w:szCs w:val="20"/>
              </w:rPr>
            </w:pPr>
          </w:p>
          <w:p w:rsidR="00D23444" w:rsidRPr="00D97699" w:rsidP="00D97699">
            <w:pPr>
              <w:bidi w:val="0"/>
              <w:jc w:val="center"/>
              <w:rPr>
                <w:rFonts w:ascii="Times New Roman" w:hAnsi="Times New Roman"/>
                <w:sz w:val="20"/>
                <w:szCs w:val="20"/>
              </w:rPr>
            </w:pPr>
          </w:p>
          <w:p w:rsidR="00D23444" w:rsidRPr="00D97699" w:rsidP="00D97699">
            <w:pPr>
              <w:bidi w:val="0"/>
              <w:jc w:val="center"/>
              <w:rPr>
                <w:rFonts w:ascii="Times New Roman" w:hAnsi="Times New Roman"/>
                <w:sz w:val="20"/>
                <w:szCs w:val="20"/>
              </w:rPr>
            </w:pPr>
          </w:p>
          <w:p w:rsidR="00D23444" w:rsidRPr="00D97699" w:rsidP="00D97699">
            <w:pPr>
              <w:bidi w:val="0"/>
              <w:jc w:val="center"/>
              <w:rPr>
                <w:rFonts w:ascii="Times New Roman" w:hAnsi="Times New Roman"/>
                <w:sz w:val="20"/>
                <w:szCs w:val="20"/>
              </w:rPr>
            </w:pPr>
          </w:p>
          <w:p w:rsidR="00D23444" w:rsidRPr="00D97699" w:rsidP="00D97699">
            <w:pPr>
              <w:bidi w:val="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D23444" w:rsidRPr="00D97699" w:rsidP="00D97699">
            <w:pPr>
              <w:pStyle w:val="EnvelopeReturn"/>
              <w:bidi w:val="0"/>
              <w:jc w:val="center"/>
              <w:rPr>
                <w:rFonts w:ascii="Times New Roman" w:hAnsi="Times New Roman"/>
                <w:b w:val="0"/>
                <w:bCs w:val="0"/>
                <w:color w:val="auto"/>
              </w:rPr>
            </w:pPr>
          </w:p>
          <w:p w:rsidR="00680586" w:rsidRPr="00D97699" w:rsidP="00D97699">
            <w:pPr>
              <w:pStyle w:val="EnvelopeReturn"/>
              <w:bidi w:val="0"/>
              <w:jc w:val="center"/>
              <w:rPr>
                <w:rFonts w:ascii="Times New Roman" w:hAnsi="Times New Roman"/>
                <w:b w:val="0"/>
                <w:bCs w:val="0"/>
                <w:color w:val="auto"/>
              </w:rPr>
            </w:pPr>
            <w:r w:rsidRPr="00D97699">
              <w:rPr>
                <w:rFonts w:ascii="Times New Roman" w:hAnsi="Times New Roman"/>
                <w:b w:val="0"/>
                <w:bCs w:val="0"/>
                <w:color w:val="auto"/>
              </w:rPr>
              <w:t>§ 18</w:t>
            </w:r>
          </w:p>
          <w:p w:rsidR="00680586" w:rsidRPr="00D97699" w:rsidP="00D97699">
            <w:pPr>
              <w:pStyle w:val="EnvelopeReturn"/>
              <w:bidi w:val="0"/>
              <w:jc w:val="center"/>
              <w:rPr>
                <w:rFonts w:ascii="Times New Roman" w:hAnsi="Times New Roman"/>
                <w:b w:val="0"/>
                <w:bCs w:val="0"/>
                <w:color w:val="auto"/>
              </w:rPr>
            </w:pPr>
            <w:r w:rsidRPr="00D97699">
              <w:rPr>
                <w:rFonts w:ascii="Times New Roman" w:hAnsi="Times New Roman"/>
                <w:b w:val="0"/>
                <w:bCs w:val="0"/>
                <w:color w:val="auto"/>
              </w:rPr>
              <w:t>O: 11</w:t>
            </w: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D23444" w:rsidRPr="00D97699" w:rsidP="00D97699">
            <w:pPr>
              <w:bidi w:val="0"/>
              <w:rPr>
                <w:rFonts w:ascii="Times New Roman" w:hAnsi="Times New Roman"/>
                <w:sz w:val="20"/>
                <w:szCs w:val="20"/>
              </w:rPr>
            </w:pPr>
          </w:p>
          <w:p w:rsidR="009F5E7B" w:rsidRPr="00D97699" w:rsidP="00D97699">
            <w:pPr>
              <w:tabs>
                <w:tab w:val="left" w:pos="284"/>
              </w:tabs>
              <w:bidi w:val="0"/>
              <w:rPr>
                <w:rFonts w:ascii="Times New Roman" w:hAnsi="Times New Roman"/>
                <w:sz w:val="20"/>
                <w:szCs w:val="20"/>
              </w:rPr>
            </w:pPr>
            <w:r w:rsidRPr="00D97699">
              <w:rPr>
                <w:rFonts w:ascii="Times New Roman" w:hAnsi="Times New Roman"/>
                <w:sz w:val="20"/>
                <w:szCs w:val="20"/>
              </w:rPr>
              <w:t>§ 18 sa dopĺňa odsekom 1</w:t>
            </w:r>
            <w:r w:rsidRPr="00D97699" w:rsidR="001E4582">
              <w:rPr>
                <w:rFonts w:ascii="Times New Roman" w:hAnsi="Times New Roman"/>
                <w:sz w:val="20"/>
                <w:szCs w:val="20"/>
              </w:rPr>
              <w:t>1</w:t>
            </w:r>
            <w:r w:rsidRPr="00D97699">
              <w:rPr>
                <w:rFonts w:ascii="Times New Roman" w:hAnsi="Times New Roman"/>
                <w:sz w:val="20"/>
                <w:szCs w:val="20"/>
              </w:rPr>
              <w:t>, ktorý znie:</w:t>
            </w:r>
          </w:p>
          <w:p w:rsidR="009F5E7B" w:rsidRPr="00D97699" w:rsidP="00D97699">
            <w:pPr>
              <w:pStyle w:val="ListParagraph"/>
              <w:tabs>
                <w:tab w:val="left" w:pos="284"/>
              </w:tabs>
              <w:bidi w:val="0"/>
              <w:ind w:left="65" w:hanging="65"/>
              <w:jc w:val="left"/>
              <w:rPr>
                <w:rFonts w:ascii="Times New Roman" w:hAnsi="Times New Roman"/>
                <w:color w:val="FF0000"/>
                <w:sz w:val="20"/>
                <w:szCs w:val="20"/>
              </w:rPr>
            </w:pPr>
            <w:r w:rsidRPr="00D97699">
              <w:rPr>
                <w:rFonts w:ascii="Times New Roman" w:hAnsi="Times New Roman"/>
                <w:color w:val="FF0000"/>
                <w:sz w:val="20"/>
                <w:szCs w:val="20"/>
              </w:rPr>
              <w:t>„</w:t>
            </w:r>
          </w:p>
          <w:p w:rsidR="001E4582" w:rsidRPr="00D97699" w:rsidP="00D97699">
            <w:pPr>
              <w:bidi w:val="0"/>
              <w:ind w:right="225"/>
              <w:rPr>
                <w:rFonts w:ascii="Times New Roman" w:hAnsi="Times New Roman"/>
                <w:sz w:val="20"/>
                <w:szCs w:val="20"/>
              </w:rPr>
            </w:pPr>
            <w:r w:rsidRPr="00D97699" w:rsidR="00680586">
              <w:rPr>
                <w:rFonts w:ascii="Times New Roman" w:hAnsi="Times New Roman"/>
                <w:sz w:val="20"/>
                <w:szCs w:val="20"/>
              </w:rPr>
              <w:t xml:space="preserve"> </w:t>
            </w:r>
            <w:r w:rsidRPr="00D97699">
              <w:rPr>
                <w:rFonts w:ascii="Times New Roman" w:hAnsi="Times New Roman"/>
                <w:sz w:val="20"/>
                <w:szCs w:val="20"/>
              </w:rPr>
              <w:t xml:space="preserve">„(11) </w:t>
            </w:r>
            <w:r w:rsidRPr="00D97699" w:rsidR="009F5E7B">
              <w:rPr>
                <w:rFonts w:ascii="Times New Roman" w:hAnsi="Times New Roman"/>
                <w:sz w:val="20"/>
                <w:szCs w:val="20"/>
              </w:rPr>
              <w:t>Pri dodávaní</w:t>
            </w:r>
            <w:r w:rsidRPr="00D97699" w:rsidR="00866894">
              <w:rPr>
                <w:rFonts w:ascii="Times New Roman" w:hAnsi="Times New Roman"/>
                <w:sz w:val="20"/>
                <w:szCs w:val="20"/>
              </w:rPr>
              <w:t xml:space="preserve"> humánnych </w:t>
            </w:r>
            <w:r w:rsidRPr="00D97699" w:rsidR="009F5E7B">
              <w:rPr>
                <w:rFonts w:ascii="Times New Roman" w:hAnsi="Times New Roman"/>
                <w:sz w:val="20"/>
                <w:szCs w:val="20"/>
              </w:rPr>
              <w:t xml:space="preserve"> liekov do tretieho štátu je držiteľ povolenia na veľkodistribúciu </w:t>
            </w:r>
            <w:r w:rsidRPr="00D97699" w:rsidR="00866894">
              <w:rPr>
                <w:rFonts w:ascii="Times New Roman" w:hAnsi="Times New Roman"/>
                <w:sz w:val="20"/>
                <w:szCs w:val="20"/>
              </w:rPr>
              <w:t xml:space="preserve">humánnych </w:t>
            </w:r>
            <w:r w:rsidRPr="00D97699" w:rsidR="009F5E7B">
              <w:rPr>
                <w:rFonts w:ascii="Times New Roman" w:hAnsi="Times New Roman"/>
                <w:sz w:val="20"/>
                <w:szCs w:val="20"/>
              </w:rPr>
              <w:t xml:space="preserve">liekov </w:t>
            </w:r>
            <w:r w:rsidRPr="00D97699" w:rsidR="00866894">
              <w:rPr>
                <w:rFonts w:ascii="Times New Roman" w:hAnsi="Times New Roman"/>
                <w:sz w:val="20"/>
                <w:szCs w:val="20"/>
              </w:rPr>
              <w:t>povinný</w:t>
            </w:r>
          </w:p>
          <w:p w:rsidR="001E4582" w:rsidRPr="00D97699" w:rsidP="00D97699">
            <w:pPr>
              <w:pStyle w:val="ListParagraph"/>
              <w:numPr>
                <w:numId w:val="15"/>
              </w:numPr>
              <w:bidi w:val="0"/>
              <w:ind w:right="225"/>
              <w:jc w:val="left"/>
              <w:rPr>
                <w:rFonts w:ascii="Times New Roman" w:hAnsi="Times New Roman"/>
                <w:sz w:val="20"/>
                <w:szCs w:val="20"/>
              </w:rPr>
            </w:pPr>
            <w:r w:rsidRPr="00D97699" w:rsidR="00866894">
              <w:rPr>
                <w:rFonts w:ascii="Times New Roman" w:hAnsi="Times New Roman"/>
                <w:sz w:val="20"/>
                <w:szCs w:val="20"/>
              </w:rPr>
              <w:t>dodávať humánne lieky len fyzickým osobám alebo právnickým osobám, ktoré majú povolenie alebo oprávnenie na veľkodistribúciu humánnych liekov alebo povolenie alebo oprávnenie na výdaj humánnych liekov verejnosti v súlade s platnými právnymi predpismi príslušného tretieho štátu</w:t>
            </w:r>
            <w:r w:rsidRPr="00D97699">
              <w:rPr>
                <w:rFonts w:ascii="Times New Roman" w:hAnsi="Times New Roman"/>
                <w:sz w:val="20"/>
                <w:szCs w:val="20"/>
              </w:rPr>
              <w:t>,</w:t>
            </w:r>
          </w:p>
          <w:p w:rsidR="009F5E7B" w:rsidRPr="00D97699" w:rsidP="00D97699">
            <w:pPr>
              <w:pStyle w:val="ListParagraph"/>
              <w:numPr>
                <w:numId w:val="15"/>
              </w:numPr>
              <w:bidi w:val="0"/>
              <w:ind w:right="225"/>
              <w:jc w:val="left"/>
              <w:rPr>
                <w:rFonts w:ascii="Times New Roman" w:hAnsi="Times New Roman"/>
                <w:sz w:val="20"/>
                <w:szCs w:val="20"/>
              </w:rPr>
            </w:pPr>
            <w:r w:rsidRPr="00D97699" w:rsidR="001E4582">
              <w:rPr>
                <w:rFonts w:ascii="Times New Roman" w:hAnsi="Times New Roman"/>
                <w:sz w:val="20"/>
                <w:szCs w:val="20"/>
              </w:rPr>
              <w:t>dodržiavať ustanovenia ods. 1 písm. u), v) a w)</w:t>
            </w:r>
            <w:r w:rsidRPr="00D97699" w:rsidR="00866894">
              <w:rPr>
                <w:rFonts w:ascii="Times New Roman" w:hAnsi="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23444" w:rsidRPr="00D97699" w:rsidP="00D97699">
            <w:pPr>
              <w:bidi w:val="0"/>
              <w:jc w:val="center"/>
              <w:rPr>
                <w:rFonts w:ascii="Times New Roman" w:hAnsi="Times New Roman"/>
                <w:sz w:val="20"/>
                <w:szCs w:val="20"/>
              </w:rPr>
            </w:pPr>
          </w:p>
          <w:p w:rsidR="00680586" w:rsidRPr="00D97699" w:rsidP="00D97699">
            <w:pPr>
              <w:bidi w:val="0"/>
              <w:jc w:val="center"/>
              <w:rPr>
                <w:rFonts w:ascii="Times New Roman" w:hAnsi="Times New Roman"/>
                <w:sz w:val="20"/>
                <w:szCs w:val="20"/>
              </w:rPr>
            </w:pPr>
            <w:r w:rsidRPr="00D97699">
              <w:rPr>
                <w:rFonts w:ascii="Times New Roman" w:hAnsi="Times New Roman"/>
                <w:sz w:val="20"/>
                <w:szCs w:val="20"/>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B5902" w:rsidRPr="00D97699" w:rsidP="00D97699">
            <w:pPr>
              <w:bidi w:val="0"/>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675258" w:rsidRPr="00D97699" w:rsidP="00D97699">
            <w:pPr>
              <w:bidi w:val="0"/>
              <w:ind w:right="225"/>
              <w:jc w:val="both"/>
              <w:rPr>
                <w:rFonts w:ascii="Times New Roman" w:hAnsi="Times New Roman"/>
                <w:sz w:val="20"/>
                <w:szCs w:val="20"/>
              </w:rPr>
            </w:pPr>
            <w:r w:rsidRPr="00D97699">
              <w:rPr>
                <w:rFonts w:ascii="Times New Roman" w:hAnsi="Times New Roman"/>
                <w:sz w:val="20"/>
                <w:szCs w:val="20"/>
              </w:rPr>
              <w:t>7. V článku 107i sa odsek 1 nahrádza takto:</w:t>
            </w:r>
          </w:p>
          <w:p w:rsidR="00675258" w:rsidRPr="00D97699" w:rsidP="00D97699">
            <w:pPr>
              <w:bidi w:val="0"/>
              <w:ind w:right="225"/>
              <w:jc w:val="both"/>
              <w:rPr>
                <w:rFonts w:ascii="Times New Roman" w:hAnsi="Times New Roman"/>
                <w:sz w:val="20"/>
                <w:szCs w:val="20"/>
              </w:rPr>
            </w:pPr>
            <w:r w:rsidRPr="00D97699">
              <w:rPr>
                <w:rFonts w:ascii="Times New Roman" w:hAnsi="Times New Roman"/>
                <w:sz w:val="20"/>
                <w:szCs w:val="20"/>
              </w:rPr>
              <w:t>"1. Členský štát alebo v prípade potreby Komisia na základe obáv vyplývajúcich z hodnotenia údajov týkajúcich sa činností v oblasti dohľadu nad liekmi iniciuje postup stanovený v tomto oddiele informovaním ostatných členských štátov, agentúry a Komisie, keď:</w:t>
            </w:r>
          </w:p>
          <w:p w:rsidR="00675258" w:rsidRPr="00D97699" w:rsidP="00D97699">
            <w:pPr>
              <w:bidi w:val="0"/>
              <w:ind w:right="225"/>
              <w:jc w:val="both"/>
              <w:rPr>
                <w:rFonts w:ascii="Times New Roman" w:hAnsi="Times New Roman"/>
                <w:sz w:val="20"/>
                <w:szCs w:val="20"/>
              </w:rPr>
            </w:pPr>
            <w:r w:rsidRPr="00D97699">
              <w:rPr>
                <w:rFonts w:ascii="Times New Roman" w:hAnsi="Times New Roman"/>
                <w:sz w:val="20"/>
                <w:szCs w:val="20"/>
              </w:rPr>
              <w:t>a) uvažuje o pozastavení platnosti alebo zrušení povolenia na uvedenie na trh;</w:t>
            </w:r>
          </w:p>
          <w:p w:rsidR="00675258" w:rsidRPr="00D97699" w:rsidP="00D97699">
            <w:pPr>
              <w:bidi w:val="0"/>
              <w:ind w:right="225"/>
              <w:jc w:val="both"/>
              <w:rPr>
                <w:rFonts w:ascii="Times New Roman" w:hAnsi="Times New Roman"/>
                <w:sz w:val="20"/>
                <w:szCs w:val="20"/>
              </w:rPr>
            </w:pPr>
            <w:r w:rsidRPr="00D97699">
              <w:rPr>
                <w:rFonts w:ascii="Times New Roman" w:hAnsi="Times New Roman"/>
                <w:sz w:val="20"/>
                <w:szCs w:val="20"/>
              </w:rPr>
              <w:t>b) uvažuje o zákaze dodávok lieku;</w:t>
            </w:r>
          </w:p>
          <w:p w:rsidR="00675258" w:rsidRPr="00D97699" w:rsidP="00D97699">
            <w:pPr>
              <w:bidi w:val="0"/>
              <w:ind w:right="225"/>
              <w:jc w:val="both"/>
              <w:rPr>
                <w:rFonts w:ascii="Times New Roman" w:hAnsi="Times New Roman"/>
                <w:sz w:val="20"/>
                <w:szCs w:val="20"/>
              </w:rPr>
            </w:pPr>
            <w:r w:rsidRPr="00D97699">
              <w:rPr>
                <w:rFonts w:ascii="Times New Roman" w:hAnsi="Times New Roman"/>
                <w:sz w:val="20"/>
                <w:szCs w:val="20"/>
              </w:rPr>
              <w:t>c) uvažuje o zamietnutí predĺženia platnosti povolenia na uvedenie na trh; alebo</w:t>
            </w:r>
          </w:p>
          <w:p w:rsidR="00675258" w:rsidRPr="00D97699" w:rsidP="00D97699">
            <w:pPr>
              <w:bidi w:val="0"/>
              <w:ind w:right="225"/>
              <w:jc w:val="both"/>
              <w:rPr>
                <w:rFonts w:ascii="Times New Roman" w:hAnsi="Times New Roman"/>
                <w:sz w:val="20"/>
                <w:szCs w:val="20"/>
              </w:rPr>
            </w:pPr>
            <w:r w:rsidRPr="00D97699">
              <w:rPr>
                <w:rFonts w:ascii="Times New Roman" w:hAnsi="Times New Roman"/>
                <w:sz w:val="20"/>
                <w:szCs w:val="20"/>
              </w:rPr>
              <w:t>d) od držiteľa povolenia na uvedenie na trh získa informácie, že na základe obáv o bezpečnosť tento držiteľ prerušil dodávanie lieku na trh alebo prijal opatrenie na zrušenie povolenia na uvedenie na trh, alebo zamýšľa prijať takéto opatrenie, alebo nepožiadal o predĺženie platnosti povolenia na uvedenie na trh.</w:t>
            </w:r>
          </w:p>
          <w:p w:rsidR="00675258" w:rsidRPr="00D97699" w:rsidP="00D97699">
            <w:pPr>
              <w:bidi w:val="0"/>
              <w:ind w:right="225"/>
              <w:jc w:val="both"/>
              <w:rPr>
                <w:rFonts w:ascii="Times New Roman" w:hAnsi="Times New Roman"/>
                <w:sz w:val="20"/>
                <w:szCs w:val="20"/>
              </w:rPr>
            </w:pPr>
            <w:r w:rsidRPr="00D97699">
              <w:rPr>
                <w:rFonts w:ascii="Times New Roman" w:hAnsi="Times New Roman"/>
                <w:sz w:val="20"/>
                <w:szCs w:val="20"/>
              </w:rPr>
              <w:t>1a. Členský štát alebo v prípade potreby Komisia na základe obáv vyplývajúcich z hodnotenia údajov týkajúcich sa činností v oblasti dohľadu nad liekmi informuje ostatné členské štáty, agentúru a Komisiu, keď uvažuje o potrebe novej kontraindikácie, zníženia odporúčanej dávky alebo obmedzenia indikácií lieku. Informácie uvádzajú zvažované opatrenie a jeho dôvody.</w:t>
            </w:r>
          </w:p>
          <w:p w:rsidR="00675258" w:rsidRPr="00D97699" w:rsidP="00D97699">
            <w:pPr>
              <w:bidi w:val="0"/>
              <w:ind w:right="225"/>
              <w:jc w:val="both"/>
              <w:rPr>
                <w:rFonts w:ascii="Times New Roman" w:hAnsi="Times New Roman"/>
                <w:sz w:val="20"/>
                <w:szCs w:val="20"/>
              </w:rPr>
            </w:pPr>
            <w:r w:rsidRPr="00D97699">
              <w:rPr>
                <w:rFonts w:ascii="Times New Roman" w:hAnsi="Times New Roman"/>
                <w:sz w:val="20"/>
                <w:szCs w:val="20"/>
              </w:rPr>
              <w:t>Ktorýkoľvek členský štát alebo v prípade potreby Komisia, ak sa považuje za nevyhnutné prijať naliehavé opatrenie, iniciuje postup stanovený v tomto oddiele, a to v ktoromkoľvek z prípadov uvedených v tomto odseku.</w:t>
            </w:r>
          </w:p>
          <w:p w:rsidR="00675258" w:rsidRPr="00D97699" w:rsidP="00D97699">
            <w:pPr>
              <w:bidi w:val="0"/>
              <w:ind w:right="225"/>
              <w:jc w:val="both"/>
              <w:rPr>
                <w:rFonts w:ascii="Times New Roman" w:hAnsi="Times New Roman"/>
                <w:sz w:val="20"/>
                <w:szCs w:val="20"/>
              </w:rPr>
            </w:pPr>
            <w:r w:rsidRPr="00D97699">
              <w:rPr>
                <w:rFonts w:ascii="Times New Roman" w:hAnsi="Times New Roman"/>
                <w:sz w:val="20"/>
                <w:szCs w:val="20"/>
              </w:rPr>
              <w:t>Ak nebol iniciovaný postup stanovený v tomto oddiele, pokiaľ ide o lieky povolené v súlade s postupmi stanovenými v hlave III kapitole 4, vec sa postúpi do pozornosti koordinačnej skupiny.</w:t>
            </w:r>
          </w:p>
          <w:p w:rsidR="00675258" w:rsidRPr="00D97699" w:rsidP="00D97699">
            <w:pPr>
              <w:bidi w:val="0"/>
              <w:ind w:right="225"/>
              <w:jc w:val="both"/>
              <w:rPr>
                <w:rFonts w:ascii="Times New Roman" w:hAnsi="Times New Roman"/>
                <w:sz w:val="20"/>
                <w:szCs w:val="20"/>
              </w:rPr>
            </w:pPr>
            <w:r w:rsidRPr="00D97699">
              <w:rPr>
                <w:rFonts w:ascii="Times New Roman" w:hAnsi="Times New Roman"/>
                <w:sz w:val="20"/>
                <w:szCs w:val="20"/>
              </w:rPr>
              <w:t>Článok 31 sa uplatňuje v prípadoch týkajúcich sa záujmov Únie.</w:t>
            </w:r>
          </w:p>
          <w:p w:rsidR="00675258" w:rsidRPr="00D97699" w:rsidP="00D97699">
            <w:pPr>
              <w:bidi w:val="0"/>
              <w:ind w:right="225"/>
              <w:jc w:val="both"/>
              <w:rPr>
                <w:rFonts w:ascii="Times New Roman" w:hAnsi="Times New Roman"/>
                <w:sz w:val="20"/>
                <w:szCs w:val="20"/>
              </w:rPr>
            </w:pPr>
            <w:r w:rsidRPr="00D97699">
              <w:rPr>
                <w:rFonts w:ascii="Times New Roman" w:hAnsi="Times New Roman"/>
                <w:sz w:val="20"/>
                <w:szCs w:val="20"/>
              </w:rPr>
              <w:t>1b. V prípade, že bol iniciovaný postup stanovený v tomto oddiele, agentúra overí, či sa pochybnosti o bezpečnosti týkajú aj iných liekov, než ktoré sú predmetom informácií, alebo či sú spoločné pre všetky lieky patriace do rovnakej skupiny alebo terapeutickej triedy.</w:t>
            </w:r>
          </w:p>
          <w:p w:rsidR="00B5023C" w:rsidRPr="00D97699" w:rsidP="00D97699">
            <w:pPr>
              <w:bidi w:val="0"/>
              <w:rPr>
                <w:rFonts w:ascii="Times New Roman" w:hAnsi="Times New Roman"/>
                <w:sz w:val="20"/>
                <w:szCs w:val="20"/>
              </w:rPr>
            </w:pPr>
            <w:r w:rsidRPr="00D97699" w:rsidR="00675258">
              <w:rPr>
                <w:rFonts w:ascii="Times New Roman" w:hAnsi="Times New Roman"/>
                <w:sz w:val="20"/>
                <w:szCs w:val="20"/>
              </w:rPr>
              <w:t>Ak je daný liek povolený vo viac než jednom členskom štáte, agentúra bez zbytočného odkladu informuje iniciátora postupu o výsledku tohto overovania a uplatnia sa postupy stanovené v článkoch 107j a 107k. Inak rieši pochybnosti o bezpečnosti príslušný členský štát. Agentúra, prípadne členský štát informuje držiteľov povolení na uvedenie na trh o začatí postupu.".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F0F90" w:rsidRPr="00D97699" w:rsidP="00D97699">
            <w:pPr>
              <w:bidi w:val="0"/>
              <w:jc w:val="center"/>
              <w:rPr>
                <w:rFonts w:ascii="Times New Roman" w:hAnsi="Times New Roman"/>
                <w:sz w:val="20"/>
                <w:szCs w:val="20"/>
              </w:rPr>
            </w:pPr>
          </w:p>
          <w:p w:rsidR="007F0F90" w:rsidRPr="00D97699" w:rsidP="00D97699">
            <w:pPr>
              <w:bidi w:val="0"/>
              <w:jc w:val="center"/>
              <w:rPr>
                <w:rFonts w:ascii="Times New Roman" w:hAnsi="Times New Roman"/>
                <w:sz w:val="20"/>
                <w:szCs w:val="20"/>
              </w:rPr>
            </w:pPr>
            <w:r w:rsidRPr="00D97699">
              <w:rPr>
                <w:rFonts w:ascii="Times New Roman" w:hAnsi="Times New Roman"/>
                <w:sz w:val="20"/>
                <w:szCs w:val="20"/>
              </w:rPr>
              <w:t>N</w:t>
            </w: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r w:rsidRPr="00D97699">
              <w:rPr>
                <w:rFonts w:ascii="Times New Roman" w:hAnsi="Times New Roman"/>
                <w:sz w:val="20"/>
                <w:szCs w:val="20"/>
              </w:rPr>
              <w:t>N</w:t>
            </w: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r w:rsidRPr="00D97699">
              <w:rPr>
                <w:rFonts w:ascii="Times New Roman" w:hAnsi="Times New Roman"/>
                <w:sz w:val="20"/>
                <w:szCs w:val="20"/>
              </w:rPr>
              <w:t>N</w:t>
            </w: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r w:rsidRPr="00D97699">
              <w:rPr>
                <w:rFonts w:ascii="Times New Roman" w:hAnsi="Times New Roman"/>
                <w:sz w:val="20"/>
                <w:szCs w:val="20"/>
              </w:rPr>
              <w:t>n.a.</w:t>
            </w: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r w:rsidRPr="00D97699">
              <w:rPr>
                <w:rFonts w:ascii="Times New Roman" w:hAnsi="Times New Roman"/>
                <w:sz w:val="20"/>
                <w:szCs w:val="20"/>
              </w:rPr>
              <w:t>n.a.</w:t>
            </w: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p>
          <w:p w:rsidR="0003110C" w:rsidRPr="00D97699" w:rsidP="00D97699">
            <w:pPr>
              <w:bidi w:val="0"/>
              <w:jc w:val="center"/>
              <w:rPr>
                <w:rFonts w:ascii="Times New Roman" w:hAnsi="Times New Roman"/>
                <w:sz w:val="20"/>
                <w:szCs w:val="20"/>
              </w:rPr>
            </w:pPr>
            <w:r w:rsidRPr="00D97699">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2613D5" w:rsidRPr="00D97699" w:rsidP="00D97699">
            <w:pPr>
              <w:pStyle w:val="EnvelopeReturn"/>
              <w:bidi w:val="0"/>
              <w:jc w:val="center"/>
              <w:rPr>
                <w:rFonts w:ascii="Times New Roman" w:hAnsi="Times New Roman"/>
                <w:b w:val="0"/>
                <w:bCs w:val="0"/>
                <w:color w:val="auto"/>
              </w:rPr>
            </w:pP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4902E4" w:rsidRPr="00D97699" w:rsidP="00D97699">
            <w:pPr>
              <w:bidi w:val="0"/>
              <w:rPr>
                <w:rFonts w:ascii="Times New Roman" w:hAnsi="Times New Roman"/>
                <w:sz w:val="20"/>
                <w:szCs w:val="20"/>
              </w:rPr>
            </w:pPr>
            <w:r w:rsidRPr="00D97699" w:rsidR="00597BB8">
              <w:rPr>
                <w:rFonts w:ascii="Times New Roman" w:hAnsi="Times New Roman"/>
                <w:sz w:val="20"/>
                <w:szCs w:val="20"/>
              </w:rPr>
              <w:t xml:space="preserve">V § 68e ods. 1 </w:t>
            </w:r>
            <w:r w:rsidRPr="00D97699">
              <w:rPr>
                <w:rFonts w:ascii="Times New Roman" w:hAnsi="Times New Roman"/>
                <w:sz w:val="20"/>
                <w:szCs w:val="20"/>
              </w:rPr>
              <w:t>znie:</w:t>
            </w:r>
          </w:p>
          <w:p w:rsidR="004902E4" w:rsidRPr="00D97699" w:rsidP="00D97699">
            <w:pPr>
              <w:bidi w:val="0"/>
              <w:rPr>
                <w:rFonts w:ascii="Times New Roman" w:hAnsi="Times New Roman"/>
                <w:sz w:val="20"/>
                <w:szCs w:val="20"/>
              </w:rPr>
            </w:pPr>
          </w:p>
          <w:p w:rsidR="004902E4" w:rsidRPr="00D97699" w:rsidP="00D97699">
            <w:pPr>
              <w:pStyle w:val="ListParagraph"/>
              <w:numPr>
                <w:numId w:val="16"/>
              </w:numPr>
              <w:tabs>
                <w:tab w:val="left" w:pos="349"/>
              </w:tabs>
              <w:bidi w:val="0"/>
              <w:ind w:left="0" w:firstLine="0"/>
              <w:jc w:val="left"/>
              <w:rPr>
                <w:rFonts w:ascii="Times New Roman" w:hAnsi="Times New Roman"/>
                <w:sz w:val="20"/>
                <w:szCs w:val="20"/>
              </w:rPr>
            </w:pPr>
            <w:r w:rsidRPr="00D97699">
              <w:rPr>
                <w:rFonts w:ascii="Times New Roman" w:hAnsi="Times New Roman"/>
                <w:sz w:val="20"/>
                <w:szCs w:val="20"/>
              </w:rPr>
              <w:t xml:space="preserve"> Ak na základe vyhodnotenia údajov vyplývajúcich z činností dohľadu nad bezpečnosťou humánnych liekov alebo na základe podnetu držiteľa registrácie humánneho lieku vyplývajúceho z bezpečnosti humánneho lieku je potrebné pozastaviť alebo zrušiť registráciu humánneho lieku, zakázať dodávanie humánneho lieku, zamietnuť žiadosť o predĺženie platnosti registrácie humánneho lieku, štátny ústav navrhne začatie naliehavého postupu Európskej únie; informuje o tom príslušné orgány ostatných členských štátov, agentúru, Komisiu a držiteľa registrácie humánneho lieku.“.</w:t>
            </w:r>
          </w:p>
          <w:p w:rsidR="004D6C1E" w:rsidRPr="00D97699" w:rsidP="00D97699">
            <w:pPr>
              <w:bidi w:val="0"/>
              <w:rPr>
                <w:rFonts w:ascii="Times New Roman" w:hAnsi="Times New Roman"/>
                <w:sz w:val="20"/>
                <w:szCs w:val="20"/>
              </w:rPr>
            </w:pPr>
          </w:p>
          <w:p w:rsidR="004D6C1E" w:rsidRPr="00D97699" w:rsidP="00D97699">
            <w:pPr>
              <w:bidi w:val="0"/>
              <w:rPr>
                <w:rFonts w:ascii="Times New Roman" w:hAnsi="Times New Roman"/>
                <w:sz w:val="20"/>
                <w:szCs w:val="20"/>
              </w:rPr>
            </w:pPr>
            <w:r w:rsidRPr="00D97699">
              <w:rPr>
                <w:rFonts w:ascii="Times New Roman" w:hAnsi="Times New Roman"/>
                <w:sz w:val="20"/>
                <w:szCs w:val="20"/>
              </w:rPr>
              <w:t>V § 68e sa za odsek 1 vkladá nový odsek 2, ktorý znie:</w:t>
            </w:r>
          </w:p>
          <w:p w:rsidR="004902E4" w:rsidRPr="00D97699" w:rsidP="00D97699">
            <w:pPr>
              <w:bidi w:val="0"/>
              <w:rPr>
                <w:rFonts w:ascii="Times New Roman" w:hAnsi="Times New Roman"/>
                <w:sz w:val="20"/>
                <w:szCs w:val="20"/>
              </w:rPr>
            </w:pPr>
            <w:r w:rsidRPr="00D97699">
              <w:rPr>
                <w:rFonts w:ascii="Times New Roman" w:hAnsi="Times New Roman"/>
                <w:sz w:val="20"/>
                <w:szCs w:val="20"/>
              </w:rPr>
              <w:t>„(2) Ak na základe vyhodnotenia údajov vyplývajúcich z činností dohľadu nad bezpečnosťou humánnych liekov  je potrebné rozhodnúť o novej kontraindikácii, o znížení odporúčanej dávky alebo o obmedzení indikácií humánneho lieku, štátny ústav informuje o tom príslušné orgány ostatných členských štátov, agentúru, Komisiu a držiteľa registrácie humánneho lieku; v informácii uvedie opatrenia, ktoré zvažuje prijať a dôvody ich prijatia. Štátny ústav je oprávnený navrhnúť  aj začatie naliehavého postupu Európskej únie. Ak štátny ústav nenavrhne začatie naliehavého postupu Európskej únie a ide o liek registrovaný decentralizovaným postupom registrácie humánneho lieku a postupom vzájomného uznania registrácie humánneho lieku medzi členskými štátmi podľa § 57 a § 58 vec postúpi koordinačnej skupine pre humánne lieky.“.</w:t>
            </w:r>
          </w:p>
          <w:p w:rsidR="004902E4" w:rsidRPr="00D97699" w:rsidP="00D97699">
            <w:pPr>
              <w:bidi w:val="0"/>
              <w:rPr>
                <w:rFonts w:ascii="Times New Roman" w:hAnsi="Times New Roman"/>
                <w:sz w:val="20"/>
                <w:szCs w:val="20"/>
              </w:rPr>
            </w:pPr>
          </w:p>
          <w:p w:rsidR="004902E4" w:rsidRPr="00D97699" w:rsidP="00D97699">
            <w:pPr>
              <w:bidi w:val="0"/>
              <w:rPr>
                <w:rFonts w:ascii="Times New Roman" w:hAnsi="Times New Roman"/>
                <w:sz w:val="20"/>
                <w:szCs w:val="20"/>
              </w:rPr>
            </w:pPr>
            <w:r w:rsidRPr="00D97699">
              <w:rPr>
                <w:rFonts w:ascii="Times New Roman" w:hAnsi="Times New Roman"/>
                <w:sz w:val="20"/>
                <w:szCs w:val="20"/>
              </w:rPr>
              <w:t>Doterajšie odseky 2 až 9 sa označujú ako odseky 3 až 10.</w:t>
            </w:r>
          </w:p>
          <w:p w:rsidR="004D6C1E" w:rsidRPr="00D97699" w:rsidP="00D97699">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13D5" w:rsidRPr="00D97699" w:rsidP="00D97699">
            <w:pPr>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right="225"/>
              <w:jc w:val="both"/>
              <w:rPr>
                <w:rFonts w:ascii="Times New Roman" w:hAnsi="Times New Roman"/>
                <w:sz w:val="20"/>
                <w:szCs w:val="20"/>
              </w:rPr>
            </w:pPr>
            <w:r w:rsidRPr="00D97699" w:rsidR="00675258">
              <w:rPr>
                <w:rFonts w:ascii="Times New Roman" w:hAnsi="Times New Roman"/>
                <w:sz w:val="20"/>
                <w:szCs w:val="20"/>
              </w:rPr>
              <w:t>8. V článku 107i ods. 2 sa slová "odseku 1 tohto článku" nahrádzajú slovami "odsekov 1 a 1a tohto článku".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r w:rsidRPr="00D97699" w:rsidR="00C92AC6">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pStyle w:val="EnvelopeReturn"/>
              <w:bidi w:val="0"/>
              <w:jc w:val="center"/>
              <w:rPr>
                <w:rFonts w:ascii="Times New Roman" w:hAnsi="Times New Roman"/>
                <w:b w:val="0"/>
                <w:bCs w:val="0"/>
                <w:color w:val="auto"/>
              </w:rPr>
            </w:pPr>
            <w:r w:rsidRPr="00D97699" w:rsidR="00880215">
              <w:rPr>
                <w:rFonts w:ascii="Times New Roman" w:hAnsi="Times New Roman"/>
                <w:b w:val="0"/>
                <w:bCs w:val="0"/>
                <w:color w:val="auto"/>
              </w:rPr>
              <w:t>§ 68e</w:t>
            </w:r>
          </w:p>
          <w:p w:rsidR="00880215" w:rsidRPr="00D97699" w:rsidP="00D97699">
            <w:pPr>
              <w:pStyle w:val="EnvelopeReturn"/>
              <w:bidi w:val="0"/>
              <w:jc w:val="center"/>
              <w:rPr>
                <w:rFonts w:ascii="Times New Roman" w:hAnsi="Times New Roman"/>
                <w:b w:val="0"/>
                <w:bCs w:val="0"/>
                <w:color w:val="auto"/>
              </w:rPr>
            </w:pPr>
            <w:r w:rsidRPr="00D97699">
              <w:rPr>
                <w:rFonts w:ascii="Times New Roman" w:hAnsi="Times New Roman"/>
                <w:b w:val="0"/>
                <w:bCs w:val="0"/>
                <w:color w:val="auto"/>
              </w:rPr>
              <w:t>O: 3</w:t>
            </w: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rPr>
                <w:rFonts w:ascii="Times New Roman" w:hAnsi="Times New Roman"/>
                <w:sz w:val="20"/>
                <w:szCs w:val="20"/>
              </w:rPr>
            </w:pPr>
            <w:r w:rsidRPr="00D97699" w:rsidR="00880215">
              <w:rPr>
                <w:rFonts w:ascii="Times New Roman" w:hAnsi="Times New Roman"/>
                <w:sz w:val="20"/>
                <w:szCs w:val="20"/>
              </w:rPr>
              <w:t>(3) Ak štátny ústav navrhne začať naliehavý postup Európskej únie, môže z dôvodu ochrany záujmov verejného zdravia pozastaviť registráciu humánneho lieku a zakázať terapeutické používanie príslušného humánneho lieku až do prijatia konečného rozhodnutia Komisie. Štátny ústav o tomto rozhodnutí a o dôvodoch jeho prijatia informuje Komisiu, agentúru a príslušné orgány ostatných členských štátov najneskôr v nasledujúci pracovný deň.</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r w:rsidRPr="00D97699" w:rsidR="00287F23">
              <w:rPr>
                <w:rFonts w:ascii="Times New Roman" w:hAnsi="Times New Roman"/>
                <w:sz w:val="20"/>
                <w:szCs w:val="20"/>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right="225"/>
              <w:jc w:val="both"/>
              <w:rPr>
                <w:rFonts w:ascii="Times New Roman" w:hAnsi="Times New Roman"/>
                <w:sz w:val="20"/>
                <w:szCs w:val="20"/>
              </w:rPr>
            </w:pPr>
            <w:r w:rsidRPr="00D97699" w:rsidR="009A4D83">
              <w:rPr>
                <w:rFonts w:ascii="Times New Roman" w:hAnsi="Times New Roman"/>
                <w:sz w:val="20"/>
                <w:szCs w:val="20"/>
              </w:rPr>
              <w:t>9. V článku 107i ods. 3 sa v druhom pododseku slová "v súlade s odsekom 1" nahrádzajú slovami "v súlade s odsekmi 1 a 1a".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r w:rsidRPr="00D97699" w:rsidR="00880215">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pStyle w:val="EnvelopeReturn"/>
              <w:bidi w:val="0"/>
              <w:rPr>
                <w:rFonts w:ascii="Times New Roman" w:hAnsi="Times New Roman"/>
                <w:b w:val="0"/>
                <w:bCs w:val="0"/>
                <w:color w:val="auto"/>
              </w:rPr>
            </w:pP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right="225"/>
              <w:jc w:val="both"/>
              <w:rPr>
                <w:rFonts w:ascii="Times New Roman" w:hAnsi="Times New Roman"/>
                <w:sz w:val="20"/>
                <w:szCs w:val="20"/>
              </w:rPr>
            </w:pPr>
            <w:r w:rsidRPr="00D97699" w:rsidR="009A4D83">
              <w:rPr>
                <w:rFonts w:ascii="Times New Roman" w:hAnsi="Times New Roman"/>
                <w:sz w:val="20"/>
                <w:szCs w:val="20"/>
              </w:rPr>
              <w:t>10. V článku 107i ods. 5 sa slová "v odseku 1" nahrádzajú slovami "v odsekoch 1 a 1a".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65285" w:rsidRPr="00D97699" w:rsidP="00D97699">
            <w:pPr>
              <w:bidi w:val="0"/>
              <w:jc w:val="center"/>
              <w:rPr>
                <w:rFonts w:ascii="Times New Roman" w:hAnsi="Times New Roman"/>
                <w:sz w:val="20"/>
                <w:szCs w:val="20"/>
              </w:rPr>
            </w:pPr>
            <w:r w:rsidRPr="00D97699" w:rsidR="00C92AC6">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65285" w:rsidRPr="00D97699" w:rsidP="00D97699">
            <w:pPr>
              <w:pStyle w:val="EnvelopeReturn"/>
              <w:bidi w:val="0"/>
              <w:jc w:val="center"/>
              <w:rPr>
                <w:rFonts w:ascii="Times New Roman" w:hAnsi="Times New Roman"/>
                <w:b w:val="0"/>
                <w:bCs w:val="0"/>
                <w:color w:val="auto"/>
              </w:rPr>
            </w:pPr>
            <w:r w:rsidRPr="00D97699" w:rsidR="00C92AC6">
              <w:rPr>
                <w:rFonts w:ascii="Times New Roman" w:hAnsi="Times New Roman"/>
                <w:b w:val="0"/>
                <w:bCs w:val="0"/>
                <w:color w:val="auto"/>
              </w:rPr>
              <w:t>§ 68e</w:t>
            </w:r>
          </w:p>
          <w:p w:rsidR="00880215" w:rsidRPr="00D97699" w:rsidP="00D97699">
            <w:pPr>
              <w:pStyle w:val="EnvelopeReturn"/>
              <w:bidi w:val="0"/>
              <w:jc w:val="center"/>
              <w:rPr>
                <w:rFonts w:ascii="Times New Roman" w:hAnsi="Times New Roman"/>
                <w:b w:val="0"/>
                <w:bCs w:val="0"/>
                <w:color w:val="auto"/>
              </w:rPr>
            </w:pPr>
            <w:r w:rsidRPr="00D97699">
              <w:rPr>
                <w:rFonts w:ascii="Times New Roman" w:hAnsi="Times New Roman"/>
                <w:b w:val="0"/>
                <w:bCs w:val="0"/>
                <w:color w:val="auto"/>
              </w:rPr>
              <w:t>O: 5</w:t>
            </w: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065285" w:rsidRPr="00D97699" w:rsidP="00D97699">
            <w:pPr>
              <w:bidi w:val="0"/>
              <w:ind w:right="150"/>
              <w:rPr>
                <w:rFonts w:ascii="Times New Roman" w:hAnsi="Times New Roman"/>
                <w:sz w:val="20"/>
                <w:szCs w:val="20"/>
              </w:rPr>
            </w:pPr>
            <w:r w:rsidRPr="00D97699" w:rsidR="00C92AC6">
              <w:rPr>
                <w:rFonts w:ascii="Times New Roman" w:hAnsi="Times New Roman"/>
                <w:sz w:val="20"/>
                <w:szCs w:val="20"/>
              </w:rPr>
              <w:t>(</w:t>
            </w:r>
            <w:r w:rsidRPr="00D97699" w:rsidR="00880215">
              <w:rPr>
                <w:rFonts w:ascii="Times New Roman" w:hAnsi="Times New Roman"/>
                <w:sz w:val="20"/>
                <w:szCs w:val="20"/>
              </w:rPr>
              <w:t>5</w:t>
            </w:r>
            <w:r w:rsidRPr="00D97699" w:rsidR="00C92AC6">
              <w:rPr>
                <w:rFonts w:ascii="Times New Roman" w:hAnsi="Times New Roman"/>
                <w:sz w:val="20"/>
                <w:szCs w:val="20"/>
              </w:rPr>
              <w:t>) Štátny ústav s návrhom na začatie naliehavého postupu Európskej únie predloží agentúre súvisiace vedecké informácie a vykonané hodnotenia.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65285" w:rsidRPr="00D97699" w:rsidP="00D97699">
            <w:pPr>
              <w:bidi w:val="0"/>
              <w:jc w:val="center"/>
              <w:rPr>
                <w:rFonts w:ascii="Times New Roman" w:hAnsi="Times New Roman"/>
                <w:sz w:val="20"/>
                <w:szCs w:val="20"/>
              </w:rPr>
            </w:pPr>
            <w:r w:rsidRPr="00D97699" w:rsidR="00287F23">
              <w:rPr>
                <w:rFonts w:ascii="Times New Roman" w:hAnsi="Times New Roman"/>
                <w:sz w:val="20"/>
                <w:szCs w:val="20"/>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ind w:right="225"/>
              <w:jc w:val="both"/>
              <w:rPr>
                <w:rFonts w:ascii="Times New Roman" w:hAnsi="Times New Roman"/>
                <w:sz w:val="20"/>
                <w:szCs w:val="20"/>
              </w:rPr>
            </w:pPr>
            <w:r w:rsidRPr="00D97699" w:rsidR="00802215">
              <w:rPr>
                <w:rFonts w:ascii="Times New Roman" w:hAnsi="Times New Roman"/>
                <w:sz w:val="20"/>
                <w:szCs w:val="20"/>
              </w:rPr>
              <w:t>11. V článku 107j ods. 1 sa v prvom pododseku slová "v článku 107i ods. 1" nahrádzajú slovami "v článku 107i ods. 1 a 1a".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614D7" w:rsidRPr="00D97699" w:rsidP="00D97699">
            <w:pPr>
              <w:bidi w:val="0"/>
              <w:jc w:val="center"/>
              <w:rPr>
                <w:rFonts w:ascii="Times New Roman" w:hAnsi="Times New Roman"/>
                <w:sz w:val="20"/>
                <w:szCs w:val="20"/>
              </w:rPr>
            </w:pPr>
            <w:r w:rsidRPr="00D97699" w:rsidR="00880215">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CC7FF7" w:rsidRPr="00D97699" w:rsidP="00D97699">
            <w:pPr>
              <w:pStyle w:val="EnvelopeReturn"/>
              <w:bidi w:val="0"/>
              <w:jc w:val="center"/>
              <w:rPr>
                <w:rFonts w:ascii="Times New Roman" w:hAnsi="Times New Roman"/>
                <w:b w:val="0"/>
                <w:bCs w:val="0"/>
                <w:color w:val="auto"/>
              </w:rPr>
            </w:pPr>
            <w:r w:rsidRPr="00D97699" w:rsidR="00880215">
              <w:rPr>
                <w:rFonts w:ascii="Times New Roman" w:hAnsi="Times New Roman"/>
                <w:b w:val="0"/>
                <w:bCs w:val="0"/>
                <w:color w:val="auto"/>
              </w:rPr>
              <w:t>§ 68e</w:t>
            </w:r>
          </w:p>
          <w:p w:rsidR="00880215" w:rsidRPr="00D97699" w:rsidP="00D97699">
            <w:pPr>
              <w:pStyle w:val="EnvelopeReturn"/>
              <w:bidi w:val="0"/>
              <w:jc w:val="center"/>
              <w:rPr>
                <w:rFonts w:ascii="Times New Roman" w:hAnsi="Times New Roman"/>
                <w:b w:val="0"/>
                <w:bCs w:val="0"/>
                <w:color w:val="auto"/>
              </w:rPr>
            </w:pPr>
            <w:r w:rsidRPr="00D97699">
              <w:rPr>
                <w:rFonts w:ascii="Times New Roman" w:hAnsi="Times New Roman"/>
                <w:b w:val="0"/>
                <w:bCs w:val="0"/>
                <w:color w:val="auto"/>
              </w:rPr>
              <w:t>O: 8</w:t>
            </w: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880215" w:rsidRPr="00D97699" w:rsidP="00D97699">
            <w:pPr>
              <w:bidi w:val="0"/>
              <w:rPr>
                <w:rFonts w:ascii="Times New Roman" w:hAnsi="Times New Roman"/>
                <w:sz w:val="20"/>
                <w:szCs w:val="20"/>
              </w:rPr>
            </w:pPr>
            <w:r w:rsidRPr="00D97699">
              <w:rPr>
                <w:rFonts w:ascii="Times New Roman" w:hAnsi="Times New Roman"/>
                <w:sz w:val="20"/>
                <w:szCs w:val="20"/>
              </w:rPr>
              <w:t>(6) Štátny ústav zverejní návrh na začatie naliehavého postupu Európskej únie na vnútroštátnom webovom portáli o humánnych liekoch v rozsahu</w:t>
            </w:r>
          </w:p>
          <w:p w:rsidR="00880215" w:rsidRPr="00D97699" w:rsidP="00D97699">
            <w:pPr>
              <w:bidi w:val="0"/>
              <w:ind w:left="349" w:hanging="349"/>
              <w:rPr>
                <w:rFonts w:ascii="Times New Roman" w:hAnsi="Times New Roman"/>
                <w:sz w:val="20"/>
                <w:szCs w:val="20"/>
              </w:rPr>
            </w:pPr>
            <w:r w:rsidRPr="00D97699">
              <w:rPr>
                <w:rFonts w:ascii="Times New Roman" w:hAnsi="Times New Roman"/>
                <w:sz w:val="20"/>
                <w:szCs w:val="20"/>
              </w:rPr>
              <w:t>a) predmet návrhu na začatie naliehavého postupu Európskej únie predložený agentúre,</w:t>
            </w:r>
          </w:p>
          <w:p w:rsidR="00880215" w:rsidRPr="00D97699" w:rsidP="00D97699">
            <w:pPr>
              <w:bidi w:val="0"/>
              <w:ind w:left="349" w:hanging="349"/>
              <w:rPr>
                <w:rFonts w:ascii="Times New Roman" w:hAnsi="Times New Roman"/>
                <w:sz w:val="20"/>
                <w:szCs w:val="20"/>
              </w:rPr>
            </w:pPr>
            <w:r w:rsidRPr="00D97699">
              <w:rPr>
                <w:rFonts w:ascii="Times New Roman" w:hAnsi="Times New Roman"/>
                <w:sz w:val="20"/>
                <w:szCs w:val="20"/>
              </w:rPr>
              <w:t xml:space="preserve"> b) názov a zloženie humánneho lieku,</w:t>
            </w:r>
          </w:p>
          <w:p w:rsidR="00880215" w:rsidRPr="00D97699" w:rsidP="00D97699">
            <w:pPr>
              <w:bidi w:val="0"/>
              <w:ind w:left="349" w:hanging="349"/>
              <w:rPr>
                <w:rFonts w:ascii="Times New Roman" w:hAnsi="Times New Roman"/>
                <w:sz w:val="20"/>
                <w:szCs w:val="20"/>
              </w:rPr>
            </w:pPr>
            <w:r w:rsidRPr="00D97699">
              <w:rPr>
                <w:rFonts w:ascii="Times New Roman" w:hAnsi="Times New Roman"/>
                <w:sz w:val="20"/>
                <w:szCs w:val="20"/>
              </w:rPr>
              <w:t xml:space="preserve"> c) názov liečiva, ak je to potrebné,</w:t>
            </w:r>
          </w:p>
          <w:p w:rsidR="00CC7FF7" w:rsidRPr="00D97699" w:rsidP="00D97699">
            <w:pPr>
              <w:bidi w:val="0"/>
              <w:ind w:left="349" w:hanging="349"/>
              <w:rPr>
                <w:rFonts w:ascii="Times New Roman" w:hAnsi="Times New Roman"/>
                <w:sz w:val="20"/>
                <w:szCs w:val="20"/>
              </w:rPr>
            </w:pPr>
            <w:r w:rsidRPr="00D97699" w:rsidR="00880215">
              <w:rPr>
                <w:rFonts w:ascii="Times New Roman" w:hAnsi="Times New Roman"/>
                <w:sz w:val="20"/>
                <w:szCs w:val="20"/>
              </w:rPr>
              <w:t xml:space="preserve"> d) informácia o práve držiteľa registrácie humánneho lieku, zdravotníckych pracovníkov a verejnosti poskytnúť agentúre informácie súvisiace s naliehavým postupom Európskej únie a o spôsobe ich poskytnutia.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14D7" w:rsidRPr="00D97699" w:rsidP="00D97699">
            <w:pPr>
              <w:bidi w:val="0"/>
              <w:jc w:val="center"/>
              <w:rPr>
                <w:rFonts w:ascii="Times New Roman" w:hAnsi="Times New Roman"/>
                <w:sz w:val="20"/>
                <w:szCs w:val="20"/>
              </w:rPr>
            </w:pPr>
            <w:r w:rsidRPr="00D97699" w:rsidR="00287F23">
              <w:rPr>
                <w:rFonts w:ascii="Times New Roman" w:hAnsi="Times New Roman"/>
                <w:sz w:val="20"/>
                <w:szCs w:val="20"/>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p w:rsidR="00B5023C" w:rsidRPr="00D97699" w:rsidP="00D97699">
            <w:pPr>
              <w:bidi w:val="0"/>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02215" w:rsidRPr="00D97699" w:rsidP="00D97699">
            <w:pPr>
              <w:bidi w:val="0"/>
              <w:ind w:right="225"/>
              <w:jc w:val="both"/>
              <w:rPr>
                <w:rFonts w:ascii="Times New Roman" w:hAnsi="Times New Roman"/>
                <w:sz w:val="20"/>
                <w:szCs w:val="20"/>
              </w:rPr>
            </w:pPr>
            <w:r w:rsidRPr="00D97699">
              <w:rPr>
                <w:rFonts w:ascii="Times New Roman" w:hAnsi="Times New Roman"/>
                <w:sz w:val="20"/>
                <w:szCs w:val="20"/>
              </w:rPr>
              <w:t>12. Článok 123 sa mení a dopĺňa takto:</w:t>
            </w:r>
          </w:p>
          <w:p w:rsidR="00802215" w:rsidRPr="00D97699" w:rsidP="00D97699">
            <w:pPr>
              <w:bidi w:val="0"/>
              <w:ind w:right="225"/>
              <w:jc w:val="both"/>
              <w:rPr>
                <w:rFonts w:ascii="Times New Roman" w:hAnsi="Times New Roman"/>
                <w:sz w:val="20"/>
                <w:szCs w:val="20"/>
              </w:rPr>
            </w:pPr>
            <w:r w:rsidRPr="00D97699">
              <w:rPr>
                <w:rFonts w:ascii="Times New Roman" w:hAnsi="Times New Roman"/>
                <w:sz w:val="20"/>
                <w:szCs w:val="20"/>
              </w:rPr>
              <w:t>a) odsek 2 sa nahrádza takto:</w:t>
            </w:r>
          </w:p>
          <w:p w:rsidR="00802215" w:rsidRPr="00D97699" w:rsidP="00D97699">
            <w:pPr>
              <w:bidi w:val="0"/>
              <w:ind w:right="225"/>
              <w:jc w:val="both"/>
              <w:rPr>
                <w:rFonts w:ascii="Times New Roman" w:hAnsi="Times New Roman"/>
                <w:sz w:val="20"/>
                <w:szCs w:val="20"/>
              </w:rPr>
            </w:pPr>
            <w:r w:rsidRPr="00D97699">
              <w:rPr>
                <w:rFonts w:ascii="Times New Roman" w:hAnsi="Times New Roman"/>
                <w:sz w:val="20"/>
                <w:szCs w:val="20"/>
              </w:rPr>
              <w:t>"2. Držiteľ povolenia na uvedenie na trh je povinný bezodkladne oznámiť dotknutým členským štátom všetky opatrenia, ktoré prijal na pozastavenie uvádzania lieku na trh, na stiahnutie lieku z trhu s cieľom požiadať o zrušenie povolenia na uvedenie na trh alebo nepožiadať o predĺženie platnosti povolenia na uvedenie na trh, spolu s dôvodmi týchto opatrení. Držiteľ povolenia na uvedenie na trh informuje o takýchto opatreniach najmä vtedy, ak sa zakladajú na ktoromkoľvek z dôvodov stanovených v článku 116 alebo článku 117 ods. 1.</w:t>
            </w:r>
          </w:p>
          <w:p w:rsidR="00802215" w:rsidRPr="00D97699" w:rsidP="00D97699">
            <w:pPr>
              <w:bidi w:val="0"/>
              <w:ind w:right="225"/>
              <w:jc w:val="both"/>
              <w:rPr>
                <w:rFonts w:ascii="Times New Roman" w:hAnsi="Times New Roman"/>
                <w:sz w:val="20"/>
                <w:szCs w:val="20"/>
              </w:rPr>
            </w:pPr>
            <w:r w:rsidRPr="00D97699">
              <w:rPr>
                <w:rFonts w:ascii="Times New Roman" w:hAnsi="Times New Roman"/>
                <w:sz w:val="20"/>
                <w:szCs w:val="20"/>
              </w:rPr>
              <w:t>2a. Držiteľ povolenia na uvedenie na trh informuje podľa odseku 2 tohto článku aj vtedy, ak sa opatrenie prijíma v tretej krajine a ak sa takéto opatrenie zakladá na ktoromkoľvek z dôvodov stanovených v článku 116 alebo článku 117 ods. 1.</w:t>
            </w:r>
          </w:p>
          <w:p w:rsidR="00802215" w:rsidRPr="00D97699" w:rsidP="00D97699">
            <w:pPr>
              <w:bidi w:val="0"/>
              <w:ind w:right="225"/>
              <w:jc w:val="both"/>
              <w:rPr>
                <w:rFonts w:ascii="Times New Roman" w:hAnsi="Times New Roman"/>
                <w:sz w:val="20"/>
                <w:szCs w:val="20"/>
              </w:rPr>
            </w:pPr>
            <w:r w:rsidRPr="00D97699">
              <w:rPr>
                <w:rFonts w:ascii="Times New Roman" w:hAnsi="Times New Roman"/>
                <w:sz w:val="20"/>
                <w:szCs w:val="20"/>
              </w:rPr>
              <w:t>2b. Držiteľ povolenia na uvedenie na trh okrem toho informuje agentúru, ak sa opatrenie uvedené v odseku 2 alebo 2a tohto článku zakladá na ktoromkoľvek z dôvodov uvedených v článku 116 alebo článku 117 ods. 1.</w:t>
            </w:r>
          </w:p>
          <w:p w:rsidR="00170D33" w:rsidRPr="00D97699" w:rsidP="00D97699">
            <w:pPr>
              <w:bidi w:val="0"/>
              <w:ind w:right="225"/>
              <w:jc w:val="both"/>
              <w:rPr>
                <w:rFonts w:ascii="Times New Roman" w:hAnsi="Times New Roman"/>
                <w:sz w:val="20"/>
                <w:szCs w:val="20"/>
              </w:rPr>
            </w:pPr>
            <w:r w:rsidRPr="00D97699" w:rsidR="00802215">
              <w:rPr>
                <w:rFonts w:ascii="Times New Roman" w:hAnsi="Times New Roman"/>
                <w:sz w:val="20"/>
                <w:szCs w:val="20"/>
              </w:rPr>
              <w:t>2c. Agentúra postúpi oznámenia prijaté v súlade s odsekom 2b bez zbytočného odkladu všetkým členským štátom.";</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p>
          <w:p w:rsidR="00687174" w:rsidRPr="00D97699" w:rsidP="00D97699">
            <w:pPr>
              <w:bidi w:val="0"/>
              <w:jc w:val="center"/>
              <w:rPr>
                <w:rFonts w:ascii="Times New Roman" w:hAnsi="Times New Roman"/>
                <w:sz w:val="20"/>
                <w:szCs w:val="20"/>
              </w:rPr>
            </w:pPr>
          </w:p>
          <w:p w:rsidR="00687174" w:rsidRPr="00D97699" w:rsidP="00D97699">
            <w:pPr>
              <w:bidi w:val="0"/>
              <w:jc w:val="center"/>
              <w:rPr>
                <w:rFonts w:ascii="Times New Roman" w:hAnsi="Times New Roman"/>
                <w:sz w:val="20"/>
                <w:szCs w:val="20"/>
              </w:rPr>
            </w:pPr>
          </w:p>
          <w:p w:rsidR="00687174" w:rsidRPr="00D97699" w:rsidP="00D97699">
            <w:pPr>
              <w:bidi w:val="0"/>
              <w:jc w:val="center"/>
              <w:rPr>
                <w:rFonts w:ascii="Times New Roman" w:hAnsi="Times New Roman"/>
                <w:sz w:val="20"/>
                <w:szCs w:val="20"/>
              </w:rPr>
            </w:pPr>
            <w:r w:rsidRPr="00D97699">
              <w:rPr>
                <w:rFonts w:ascii="Times New Roman" w:hAnsi="Times New Roman"/>
                <w:sz w:val="20"/>
                <w:szCs w:val="20"/>
              </w:rPr>
              <w:t>N</w:t>
            </w:r>
          </w:p>
          <w:p w:rsidR="00D93D30" w:rsidRPr="00D97699" w:rsidP="00D97699">
            <w:pPr>
              <w:bidi w:val="0"/>
              <w:jc w:val="center"/>
              <w:rPr>
                <w:rFonts w:ascii="Times New Roman" w:hAnsi="Times New Roman"/>
                <w:sz w:val="20"/>
                <w:szCs w:val="20"/>
              </w:rPr>
            </w:pPr>
          </w:p>
          <w:p w:rsidR="00D93D30" w:rsidRPr="00D97699" w:rsidP="00D97699">
            <w:pPr>
              <w:bidi w:val="0"/>
              <w:jc w:val="center"/>
              <w:rPr>
                <w:rFonts w:ascii="Times New Roman" w:hAnsi="Times New Roman"/>
                <w:sz w:val="20"/>
                <w:szCs w:val="20"/>
              </w:rPr>
            </w:pPr>
          </w:p>
          <w:p w:rsidR="00D93D30" w:rsidRPr="00D97699" w:rsidP="00D97699">
            <w:pPr>
              <w:bidi w:val="0"/>
              <w:jc w:val="center"/>
              <w:rPr>
                <w:rFonts w:ascii="Times New Roman" w:hAnsi="Times New Roman"/>
                <w:sz w:val="20"/>
                <w:szCs w:val="20"/>
              </w:rPr>
            </w:pPr>
          </w:p>
          <w:p w:rsidR="00D93D30" w:rsidRPr="00D97699" w:rsidP="00D97699">
            <w:pPr>
              <w:bidi w:val="0"/>
              <w:jc w:val="center"/>
              <w:rPr>
                <w:rFonts w:ascii="Times New Roman" w:hAnsi="Times New Roman"/>
                <w:sz w:val="20"/>
                <w:szCs w:val="20"/>
              </w:rPr>
            </w:pPr>
          </w:p>
          <w:p w:rsidR="00D93D30" w:rsidRPr="00D97699" w:rsidP="00D97699">
            <w:pPr>
              <w:bidi w:val="0"/>
              <w:jc w:val="center"/>
              <w:rPr>
                <w:rFonts w:ascii="Times New Roman" w:hAnsi="Times New Roman"/>
                <w:sz w:val="20"/>
                <w:szCs w:val="20"/>
              </w:rPr>
            </w:pPr>
          </w:p>
          <w:p w:rsidR="00D93D30" w:rsidRPr="00D97699" w:rsidP="00D97699">
            <w:pPr>
              <w:bidi w:val="0"/>
              <w:jc w:val="center"/>
              <w:rPr>
                <w:rFonts w:ascii="Times New Roman" w:hAnsi="Times New Roman"/>
                <w:sz w:val="20"/>
                <w:szCs w:val="20"/>
              </w:rPr>
            </w:pPr>
          </w:p>
          <w:p w:rsidR="00D93D30" w:rsidRPr="00D97699" w:rsidP="00D97699">
            <w:pPr>
              <w:bidi w:val="0"/>
              <w:jc w:val="center"/>
              <w:rPr>
                <w:rFonts w:ascii="Times New Roman" w:hAnsi="Times New Roman"/>
                <w:sz w:val="20"/>
                <w:szCs w:val="20"/>
              </w:rPr>
            </w:pPr>
          </w:p>
          <w:p w:rsidR="00D93D30" w:rsidRPr="00D97699" w:rsidP="00D97699">
            <w:pPr>
              <w:bidi w:val="0"/>
              <w:jc w:val="center"/>
              <w:rPr>
                <w:rFonts w:ascii="Times New Roman" w:hAnsi="Times New Roman"/>
                <w:sz w:val="20"/>
                <w:szCs w:val="20"/>
              </w:rPr>
            </w:pPr>
          </w:p>
          <w:p w:rsidR="00D93D30" w:rsidRPr="00D97699" w:rsidP="00D97699">
            <w:pPr>
              <w:bidi w:val="0"/>
              <w:jc w:val="center"/>
              <w:rPr>
                <w:rFonts w:ascii="Times New Roman" w:hAnsi="Times New Roman"/>
                <w:sz w:val="20"/>
                <w:szCs w:val="20"/>
              </w:rPr>
            </w:pPr>
          </w:p>
          <w:p w:rsidR="00D93D30" w:rsidRPr="00D97699" w:rsidP="00D97699">
            <w:pPr>
              <w:bidi w:val="0"/>
              <w:jc w:val="center"/>
              <w:rPr>
                <w:rFonts w:ascii="Times New Roman" w:hAnsi="Times New Roman"/>
                <w:sz w:val="20"/>
                <w:szCs w:val="20"/>
              </w:rPr>
            </w:pPr>
          </w:p>
          <w:p w:rsidR="00D93D30" w:rsidRPr="00D97699" w:rsidP="00D97699">
            <w:pPr>
              <w:bidi w:val="0"/>
              <w:jc w:val="center"/>
              <w:rPr>
                <w:rFonts w:ascii="Times New Roman" w:hAnsi="Times New Roman"/>
                <w:sz w:val="20"/>
                <w:szCs w:val="20"/>
              </w:rPr>
            </w:pPr>
          </w:p>
          <w:p w:rsidR="00D93D30" w:rsidRPr="00D97699" w:rsidP="00D97699">
            <w:pPr>
              <w:bidi w:val="0"/>
              <w:jc w:val="center"/>
              <w:rPr>
                <w:rFonts w:ascii="Times New Roman" w:hAnsi="Times New Roman"/>
                <w:sz w:val="20"/>
                <w:szCs w:val="20"/>
              </w:rPr>
            </w:pPr>
          </w:p>
          <w:p w:rsidR="00D93D30" w:rsidRPr="00D97699" w:rsidP="00D97699">
            <w:pPr>
              <w:bidi w:val="0"/>
              <w:jc w:val="center"/>
              <w:rPr>
                <w:rFonts w:ascii="Times New Roman" w:hAnsi="Times New Roman"/>
                <w:sz w:val="20"/>
                <w:szCs w:val="20"/>
              </w:rPr>
            </w:pPr>
          </w:p>
          <w:p w:rsidR="00D93D30" w:rsidRPr="00D97699" w:rsidP="00D97699">
            <w:pPr>
              <w:bidi w:val="0"/>
              <w:jc w:val="center"/>
              <w:rPr>
                <w:rFonts w:ascii="Times New Roman" w:hAnsi="Times New Roman"/>
                <w:sz w:val="20"/>
                <w:szCs w:val="20"/>
              </w:rPr>
            </w:pPr>
            <w:r w:rsidRPr="00D97699">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292563" w:rsidRPr="00D97699" w:rsidP="00D97699">
            <w:pPr>
              <w:pStyle w:val="EnvelopeReturn"/>
              <w:bidi w:val="0"/>
              <w:jc w:val="center"/>
              <w:rPr>
                <w:rFonts w:ascii="Times New Roman" w:hAnsi="Times New Roman"/>
                <w:b w:val="0"/>
                <w:bCs w:val="0"/>
                <w:color w:val="auto"/>
              </w:rPr>
            </w:pPr>
            <w:r w:rsidRPr="00D97699" w:rsidR="00170D33">
              <w:rPr>
                <w:rFonts w:ascii="Times New Roman" w:hAnsi="Times New Roman"/>
                <w:b w:val="0"/>
                <w:bCs w:val="0"/>
                <w:color w:val="auto"/>
              </w:rPr>
              <w:t>§ 60 O: 2</w:t>
            </w: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EC2D48" w:rsidRPr="00D97699" w:rsidP="00D97699">
            <w:pPr>
              <w:bidi w:val="0"/>
              <w:rPr>
                <w:rFonts w:ascii="Times New Roman" w:hAnsi="Times New Roman"/>
                <w:sz w:val="20"/>
                <w:szCs w:val="20"/>
              </w:rPr>
            </w:pPr>
            <w:r w:rsidRPr="00D97699">
              <w:rPr>
                <w:rFonts w:ascii="Times New Roman" w:hAnsi="Times New Roman"/>
                <w:sz w:val="20"/>
                <w:szCs w:val="20"/>
              </w:rPr>
              <w:t>V § 60 odsek 2 znie:</w:t>
            </w:r>
          </w:p>
          <w:p w:rsidR="00292563" w:rsidRPr="00D97699" w:rsidP="00D97699">
            <w:pPr>
              <w:bidi w:val="0"/>
              <w:rPr>
                <w:rFonts w:ascii="Times New Roman" w:hAnsi="Times New Roman"/>
                <w:sz w:val="20"/>
                <w:szCs w:val="20"/>
              </w:rPr>
            </w:pPr>
            <w:r w:rsidRPr="00D97699" w:rsidR="00EC2D48">
              <w:rPr>
                <w:rFonts w:ascii="Times New Roman" w:hAnsi="Times New Roman"/>
                <w:sz w:val="20"/>
                <w:szCs w:val="20"/>
              </w:rPr>
              <w:t>„</w:t>
            </w:r>
            <w:r w:rsidRPr="00D97699" w:rsidR="00170D33">
              <w:rPr>
                <w:rFonts w:ascii="Times New Roman" w:hAnsi="Times New Roman"/>
                <w:sz w:val="20"/>
                <w:szCs w:val="20"/>
              </w:rPr>
              <w:t>(2) Ak držiteľ registrácie humánneho lieku pozastaví alebo stiahne humánny liek z trhu z dôvodu jeho kvality, účinnosti alebo bezpečnosti</w:t>
            </w:r>
            <w:r w:rsidRPr="00D97699" w:rsidR="005A3B32">
              <w:rPr>
                <w:rFonts w:ascii="Times New Roman" w:hAnsi="Times New Roman"/>
                <w:sz w:val="20"/>
                <w:szCs w:val="20"/>
              </w:rPr>
              <w:t xml:space="preserve"> alebo </w:t>
            </w:r>
            <w:r w:rsidRPr="00D97699" w:rsidR="00EC2D48">
              <w:rPr>
                <w:rFonts w:ascii="Times New Roman" w:hAnsi="Times New Roman"/>
                <w:sz w:val="20"/>
                <w:szCs w:val="20"/>
              </w:rPr>
              <w:t>dôvodu uvedenom v § 56 ods. 1</w:t>
            </w:r>
            <w:r w:rsidRPr="00D97699" w:rsidR="00170D33">
              <w:rPr>
                <w:rFonts w:ascii="Times New Roman" w:hAnsi="Times New Roman"/>
                <w:sz w:val="20"/>
                <w:szCs w:val="20"/>
              </w:rPr>
              <w:t>, je povinný bezodkladne oznámiť štátnemu ústavu</w:t>
            </w:r>
            <w:r w:rsidRPr="00D97699" w:rsidR="005A3B32">
              <w:rPr>
                <w:rFonts w:ascii="Times New Roman" w:hAnsi="Times New Roman"/>
                <w:sz w:val="20"/>
                <w:szCs w:val="20"/>
              </w:rPr>
              <w:t>,</w:t>
            </w:r>
            <w:r w:rsidRPr="00D97699" w:rsidR="00170D33">
              <w:rPr>
                <w:rFonts w:ascii="Times New Roman" w:hAnsi="Times New Roman"/>
                <w:sz w:val="20"/>
                <w:szCs w:val="20"/>
              </w:rPr>
              <w:t xml:space="preserve"> dotknutým príslušným orgánom členských štátov</w:t>
            </w:r>
            <w:r w:rsidRPr="00D97699" w:rsidR="005A3B32">
              <w:rPr>
                <w:rFonts w:ascii="Times New Roman" w:hAnsi="Times New Roman"/>
                <w:sz w:val="20"/>
                <w:szCs w:val="20"/>
              </w:rPr>
              <w:t xml:space="preserve"> a agentúre</w:t>
            </w:r>
            <w:r w:rsidRPr="00D97699" w:rsidR="00170D33">
              <w:rPr>
                <w:rFonts w:ascii="Times New Roman" w:hAnsi="Times New Roman"/>
                <w:sz w:val="20"/>
                <w:szCs w:val="20"/>
              </w:rPr>
              <w:t xml:space="preserve"> dôvody na prijatie tohto opatrenia; </w:t>
            </w:r>
            <w:r w:rsidRPr="00D97699" w:rsidR="00EC2D48">
              <w:rPr>
                <w:rFonts w:ascii="Times New Roman" w:hAnsi="Times New Roman"/>
                <w:sz w:val="20"/>
                <w:szCs w:val="20"/>
              </w:rPr>
              <w:t>táto povinnosť sa vzťahuje aj na pozastavenie alebo stiahnutie humánneho lieku z trhu tretieho štátu dôvodu jeho kvality, účinnosti alebo bezpečnosti alebo dôvodu uvedenom v § 56 ods.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2D69" w:rsidRPr="00D97699" w:rsidP="00D97699">
            <w:pPr>
              <w:bidi w:val="0"/>
              <w:jc w:val="center"/>
              <w:rPr>
                <w:rFonts w:ascii="Times New Roman" w:hAnsi="Times New Roman"/>
                <w:sz w:val="20"/>
                <w:szCs w:val="20"/>
              </w:rPr>
            </w:pPr>
            <w:r w:rsidRPr="00D97699" w:rsidR="00287F23">
              <w:rPr>
                <w:rFonts w:ascii="Times New Roman" w:hAnsi="Times New Roman"/>
                <w:sz w:val="20"/>
                <w:szCs w:val="20"/>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75F71" w:rsidRPr="00D97699" w:rsidP="00D97699">
            <w:pPr>
              <w:bidi w:val="0"/>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8699B" w:rsidRPr="00D97699" w:rsidP="00D97699">
            <w:pPr>
              <w:bidi w:val="0"/>
              <w:ind w:right="225"/>
              <w:jc w:val="both"/>
              <w:rPr>
                <w:rFonts w:ascii="Times New Roman" w:hAnsi="Times New Roman"/>
                <w:sz w:val="20"/>
                <w:szCs w:val="20"/>
              </w:rPr>
            </w:pPr>
            <w:r w:rsidRPr="00D97699">
              <w:rPr>
                <w:rFonts w:ascii="Times New Roman" w:hAnsi="Times New Roman"/>
                <w:sz w:val="20"/>
                <w:szCs w:val="20"/>
              </w:rPr>
              <w:t>b) odsek 4 sa nahrádza takto:</w:t>
            </w:r>
          </w:p>
          <w:p w:rsidR="00175F71" w:rsidRPr="00D97699" w:rsidP="00D97699">
            <w:pPr>
              <w:bidi w:val="0"/>
              <w:ind w:right="225"/>
              <w:jc w:val="both"/>
              <w:rPr>
                <w:rFonts w:ascii="Times New Roman" w:hAnsi="Times New Roman"/>
                <w:sz w:val="20"/>
                <w:szCs w:val="20"/>
              </w:rPr>
            </w:pPr>
            <w:r w:rsidRPr="00D97699" w:rsidR="00F8699B">
              <w:rPr>
                <w:rFonts w:ascii="Times New Roman" w:hAnsi="Times New Roman"/>
                <w:sz w:val="20"/>
                <w:szCs w:val="20"/>
              </w:rPr>
              <w:t xml:space="preserve">"4. Agentúra každý rok zverejní zoznam liekov, ktorých povolenie na uvedenie na trh Únie bolo zamietnuté, zrušené alebo pozastavené, ktorých dodávanie bolo zakázané alebo ktoré boli stiahnuté z trhu, a pritom uvedie aj dôvody takýchto opatrení.".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75F71" w:rsidRPr="00D97699" w:rsidP="00D97699">
            <w:pPr>
              <w:bidi w:val="0"/>
              <w:jc w:val="center"/>
              <w:rPr>
                <w:rFonts w:ascii="Times New Roman" w:hAnsi="Times New Roman"/>
                <w:sz w:val="20"/>
                <w:szCs w:val="20"/>
              </w:rPr>
            </w:pPr>
          </w:p>
          <w:p w:rsidR="00FF48E6" w:rsidRPr="00D97699" w:rsidP="00D97699">
            <w:pPr>
              <w:bidi w:val="0"/>
              <w:jc w:val="center"/>
              <w:rPr>
                <w:rFonts w:ascii="Times New Roman" w:hAnsi="Times New Roman"/>
                <w:sz w:val="20"/>
                <w:szCs w:val="20"/>
              </w:rPr>
            </w:pPr>
          </w:p>
          <w:p w:rsidR="00FF48E6" w:rsidRPr="00D97699" w:rsidP="00D97699">
            <w:pPr>
              <w:bidi w:val="0"/>
              <w:jc w:val="center"/>
              <w:rPr>
                <w:rFonts w:ascii="Times New Roman" w:hAnsi="Times New Roman"/>
                <w:sz w:val="20"/>
                <w:szCs w:val="20"/>
              </w:rPr>
            </w:pPr>
            <w:r w:rsidRPr="00D97699" w:rsidR="00D93D30">
              <w:rPr>
                <w:rFonts w:ascii="Times New Roman" w:hAnsi="Times New Roman"/>
                <w:sz w:val="20"/>
                <w:szCs w:val="20"/>
              </w:rPr>
              <w:t>n.a.</w:t>
            </w:r>
          </w:p>
          <w:p w:rsidR="00FF48E6" w:rsidRPr="00D97699" w:rsidP="00D97699">
            <w:pPr>
              <w:bidi w:val="0"/>
              <w:jc w:val="center"/>
              <w:rPr>
                <w:rFonts w:ascii="Times New Roman" w:hAnsi="Times New Roman"/>
                <w:sz w:val="20"/>
                <w:szCs w:val="20"/>
              </w:rPr>
            </w:pPr>
          </w:p>
          <w:p w:rsidR="00FF48E6" w:rsidRPr="00D97699" w:rsidP="00D97699">
            <w:pPr>
              <w:bidi w:val="0"/>
              <w:jc w:val="center"/>
              <w:rPr>
                <w:rFonts w:ascii="Times New Roman" w:hAnsi="Times New Roman"/>
                <w:sz w:val="20"/>
                <w:szCs w:val="20"/>
              </w:rPr>
            </w:pPr>
          </w:p>
          <w:p w:rsidR="00FF48E6" w:rsidRPr="00D97699" w:rsidP="00D97699">
            <w:pPr>
              <w:bidi w:val="0"/>
              <w:jc w:val="center"/>
              <w:rPr>
                <w:rFonts w:ascii="Times New Roman" w:hAnsi="Times New Roman"/>
                <w:sz w:val="20"/>
                <w:szCs w:val="20"/>
              </w:rPr>
            </w:pPr>
          </w:p>
          <w:p w:rsidR="00FF48E6" w:rsidRPr="00D97699" w:rsidP="00D97699">
            <w:pPr>
              <w:bidi w:val="0"/>
              <w:jc w:val="center"/>
              <w:rPr>
                <w:rFonts w:ascii="Times New Roman" w:hAnsi="Times New Roman"/>
                <w:sz w:val="20"/>
                <w:szCs w:val="20"/>
              </w:rPr>
            </w:pPr>
          </w:p>
          <w:p w:rsidR="00FF48E6" w:rsidRPr="00D97699" w:rsidP="00D97699">
            <w:pPr>
              <w:bidi w:val="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75F71"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FF48E6" w:rsidRPr="00D97699" w:rsidP="00D97699">
            <w:pPr>
              <w:pStyle w:val="EnvelopeReturn"/>
              <w:bidi w:val="0"/>
              <w:jc w:val="center"/>
              <w:rPr>
                <w:rFonts w:ascii="Times New Roman" w:hAnsi="Times New Roman"/>
                <w:b w:val="0"/>
                <w:bCs w:val="0"/>
                <w:color w:val="auto"/>
              </w:rPr>
            </w:pP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FF48E6" w:rsidRPr="00D97699" w:rsidP="00D97699">
            <w:pPr>
              <w:bidi w:val="0"/>
              <w:ind w:right="15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F48E6" w:rsidRPr="00D97699" w:rsidP="00D97699">
            <w:pPr>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75F71"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8699B" w:rsidRPr="00D97699" w:rsidP="00D97699">
            <w:pPr>
              <w:bidi w:val="0"/>
              <w:ind w:right="225"/>
              <w:jc w:val="both"/>
              <w:rPr>
                <w:rFonts w:ascii="Times New Roman" w:hAnsi="Times New Roman"/>
                <w:sz w:val="20"/>
                <w:szCs w:val="20"/>
              </w:rPr>
            </w:pPr>
            <w:r w:rsidRPr="00D97699">
              <w:rPr>
                <w:rFonts w:ascii="Times New Roman" w:hAnsi="Times New Roman"/>
                <w:sz w:val="20"/>
                <w:szCs w:val="20"/>
              </w:rPr>
              <w:t>Článok 2</w:t>
            </w:r>
          </w:p>
          <w:p w:rsidR="00F8699B" w:rsidRPr="00D97699" w:rsidP="00D97699">
            <w:pPr>
              <w:bidi w:val="0"/>
              <w:ind w:right="225"/>
              <w:jc w:val="both"/>
              <w:rPr>
                <w:rFonts w:ascii="Times New Roman" w:hAnsi="Times New Roman"/>
                <w:sz w:val="20"/>
                <w:szCs w:val="20"/>
              </w:rPr>
            </w:pPr>
            <w:r w:rsidRPr="00D97699">
              <w:rPr>
                <w:rFonts w:ascii="Times New Roman" w:hAnsi="Times New Roman"/>
                <w:sz w:val="20"/>
                <w:szCs w:val="20"/>
              </w:rPr>
              <w:t>1. Členské štáty prijmú a uverejnia zákony, iné právne predpisy a správne opatrenia potrebné na dosiahnutie súladu s touto smernicou najneskôr do 28. októbra 2013. Komisii bezodkladne oznámia znenie týchto ustanovení.</w:t>
            </w:r>
          </w:p>
          <w:p w:rsidR="00F8699B" w:rsidRPr="00D97699" w:rsidP="00D97699">
            <w:pPr>
              <w:bidi w:val="0"/>
              <w:ind w:right="225"/>
              <w:jc w:val="both"/>
              <w:rPr>
                <w:rFonts w:ascii="Times New Roman" w:hAnsi="Times New Roman"/>
                <w:sz w:val="20"/>
                <w:szCs w:val="20"/>
              </w:rPr>
            </w:pPr>
            <w:r w:rsidRPr="00D97699">
              <w:rPr>
                <w:rFonts w:ascii="Times New Roman" w:hAnsi="Times New Roman"/>
                <w:sz w:val="20"/>
                <w:szCs w:val="20"/>
              </w:rPr>
              <w:t>Tieto ustanovenia uplatňujú od 28. októbra 2013.</w:t>
            </w:r>
          </w:p>
          <w:p w:rsidR="00F8699B" w:rsidRPr="00D97699" w:rsidP="00D97699">
            <w:pPr>
              <w:bidi w:val="0"/>
              <w:ind w:right="225"/>
              <w:jc w:val="both"/>
              <w:rPr>
                <w:rFonts w:ascii="Times New Roman" w:hAnsi="Times New Roman"/>
                <w:sz w:val="20"/>
                <w:szCs w:val="20"/>
              </w:rPr>
            </w:pPr>
            <w:r w:rsidRPr="00D97699">
              <w:rPr>
                <w:rFonts w:ascii="Times New Roman" w:hAnsi="Times New Roman"/>
                <w:sz w:val="20"/>
                <w:szCs w:val="20"/>
              </w:rPr>
              <w:t>Členské štáty uvedú priamo v prijatých opatreniach alebo pri ich úradnom uverejnení odkaz na túto smernicu. Podrobnosti o odkaze upravia členské štáty.</w:t>
            </w:r>
          </w:p>
          <w:p w:rsidR="00B5023C" w:rsidRPr="00D97699" w:rsidP="00D97699">
            <w:pPr>
              <w:bidi w:val="0"/>
              <w:ind w:right="225"/>
              <w:jc w:val="both"/>
              <w:rPr>
                <w:rFonts w:ascii="Times New Roman" w:hAnsi="Times New Roman"/>
                <w:sz w:val="20"/>
                <w:szCs w:val="20"/>
              </w:rPr>
            </w:pPr>
            <w:r w:rsidRPr="00D97699" w:rsidR="00F8699B">
              <w:rPr>
                <w:rFonts w:ascii="Times New Roman" w:hAnsi="Times New Roman"/>
                <w:sz w:val="20"/>
                <w:szCs w:val="20"/>
              </w:rPr>
              <w:t>2. Členské štáty oznámia Komisii znenie hlavných ustanovení vnútroštátnych právnych predpisov, ktoré prijmú v oblasti pôsobnosti tejto smernice.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r w:rsidR="00F004A6">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F004A6">
            <w:pPr>
              <w:pStyle w:val="EnvelopeReturn"/>
              <w:bidi w:val="0"/>
              <w:rPr>
                <w:rFonts w:ascii="Times New Roman" w:hAnsi="Times New Roman"/>
                <w:b w:val="0"/>
                <w:bCs w:val="0"/>
                <w:color w:val="auto"/>
              </w:rPr>
            </w:pPr>
            <w:r w:rsidR="00F004A6">
              <w:rPr>
                <w:rFonts w:ascii="Times New Roman" w:hAnsi="Times New Roman"/>
                <w:b w:val="0"/>
                <w:bCs w:val="0"/>
                <w:color w:val="auto"/>
              </w:rPr>
              <w:t>Návrh zákona Čl. VII</w:t>
            </w: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F004A6" w:rsidRPr="00F004A6" w:rsidP="00F004A6">
            <w:pPr>
              <w:bidi w:val="0"/>
              <w:rPr>
                <w:rFonts w:ascii="Times New Roman" w:hAnsi="Times New Roman"/>
                <w:color w:val="FF0000"/>
                <w:sz w:val="20"/>
                <w:szCs w:val="20"/>
              </w:rPr>
            </w:pPr>
            <w:r w:rsidRPr="00F004A6">
              <w:rPr>
                <w:rFonts w:ascii="Times New Roman" w:hAnsi="Times New Roman"/>
                <w:color w:val="FF0000"/>
                <w:sz w:val="20"/>
                <w:szCs w:val="20"/>
              </w:rPr>
              <w:t>Tento zákon nadobúda účinnosť 1. októbra 2013 okrem prvého bodu, siedmeho bodu, deviateho bodu a desiateho bodu článku VI, ktorý nadobúda účinnosť 28. októbra 2013, sedemnásteho bodu článku IV, ktorý nadobúda účinnosť 1. januára 2014 a osemnásteho bodu článku IV, ktorý nadobúda účinnosť 1. januára 2015.</w:t>
            </w:r>
          </w:p>
          <w:p w:rsidR="00B5023C" w:rsidRPr="00F004A6" w:rsidP="00F004A6">
            <w:pPr>
              <w:bidi w:val="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8699B" w:rsidRPr="00D97699" w:rsidP="00D97699">
            <w:pPr>
              <w:bidi w:val="0"/>
              <w:ind w:right="225"/>
              <w:jc w:val="both"/>
              <w:rPr>
                <w:rFonts w:ascii="Times New Roman" w:hAnsi="Times New Roman"/>
                <w:sz w:val="20"/>
                <w:szCs w:val="20"/>
              </w:rPr>
            </w:pPr>
            <w:r w:rsidRPr="00D97699">
              <w:rPr>
                <w:rFonts w:ascii="Times New Roman" w:hAnsi="Times New Roman"/>
                <w:sz w:val="20"/>
                <w:szCs w:val="20"/>
              </w:rPr>
              <w:t>Článok 3</w:t>
            </w:r>
          </w:p>
          <w:p w:rsidR="00B5023C" w:rsidRPr="00D97699" w:rsidP="00D97699">
            <w:pPr>
              <w:bidi w:val="0"/>
              <w:ind w:right="225"/>
              <w:jc w:val="both"/>
              <w:rPr>
                <w:rFonts w:ascii="Times New Roman" w:hAnsi="Times New Roman"/>
                <w:sz w:val="20"/>
                <w:szCs w:val="20"/>
              </w:rPr>
            </w:pPr>
            <w:r w:rsidRPr="00D97699" w:rsidR="00F8699B">
              <w:rPr>
                <w:rFonts w:ascii="Times New Roman" w:hAnsi="Times New Roman"/>
                <w:sz w:val="20"/>
                <w:szCs w:val="20"/>
              </w:rPr>
              <w:t>Táto smernica nadobúda účinnosť dvadsiatym dňom po jej uverejnení v Úradnom vestníku Európskej únie.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center"/>
              <w:rPr>
                <w:rFonts w:ascii="Times New Roman" w:hAnsi="Times New Roman"/>
                <w:sz w:val="20"/>
                <w:szCs w:val="20"/>
              </w:rPr>
            </w:pPr>
          </w:p>
          <w:p w:rsidR="006C1084" w:rsidRPr="00D97699" w:rsidP="00D97699">
            <w:pPr>
              <w:bidi w:val="0"/>
              <w:jc w:val="center"/>
              <w:rPr>
                <w:rFonts w:ascii="Times New Roman" w:hAnsi="Times New Roman"/>
                <w:sz w:val="20"/>
                <w:szCs w:val="20"/>
              </w:rPr>
            </w:pPr>
          </w:p>
          <w:p w:rsidR="006C1084" w:rsidRPr="00D97699" w:rsidP="00D97699">
            <w:pPr>
              <w:bidi w:val="0"/>
              <w:jc w:val="center"/>
              <w:rPr>
                <w:rFonts w:ascii="Times New Roman" w:hAnsi="Times New Roman"/>
                <w:sz w:val="20"/>
                <w:szCs w:val="20"/>
              </w:rPr>
            </w:pPr>
            <w:r w:rsidRPr="00D97699">
              <w:rPr>
                <w:rFonts w:ascii="Times New Roman" w:hAnsi="Times New Roman"/>
                <w:sz w:val="20"/>
                <w:szCs w:val="20"/>
              </w:rPr>
              <w:t>N</w:t>
            </w:r>
          </w:p>
          <w:p w:rsidR="006C1084" w:rsidRPr="00D97699" w:rsidP="00D97699">
            <w:pPr>
              <w:bidi w:val="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6C1084" w:rsidRPr="00D97699" w:rsidP="00D97699">
            <w:pPr>
              <w:pStyle w:val="EnvelopeReturn"/>
              <w:bidi w:val="0"/>
              <w:jc w:val="center"/>
              <w:rPr>
                <w:rFonts w:ascii="Times New Roman" w:hAnsi="Times New Roman"/>
                <w:b w:val="0"/>
                <w:bCs w:val="0"/>
                <w:color w:val="auto"/>
              </w:rPr>
            </w:pP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5B289C" w:rsidRPr="00D97699" w:rsidP="00D97699">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C1084" w:rsidRPr="00D97699" w:rsidP="00D97699">
            <w:pPr>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31EF4" w:rsidRPr="00D97699" w:rsidP="00D97699">
            <w:pPr>
              <w:bidi w:val="0"/>
              <w:ind w:right="225"/>
              <w:jc w:val="both"/>
              <w:rPr>
                <w:rFonts w:ascii="Times New Roman" w:hAnsi="Times New Roman"/>
                <w:sz w:val="20"/>
                <w:szCs w:val="20"/>
              </w:rPr>
            </w:pPr>
            <w:r w:rsidRPr="00D97699">
              <w:rPr>
                <w:rFonts w:ascii="Times New Roman" w:hAnsi="Times New Roman"/>
                <w:sz w:val="20"/>
                <w:szCs w:val="20"/>
              </w:rPr>
              <w:t>Článok 4</w:t>
            </w:r>
          </w:p>
          <w:p w:rsidR="00B5023C" w:rsidRPr="00D97699" w:rsidP="00D97699">
            <w:pPr>
              <w:bidi w:val="0"/>
              <w:ind w:right="225"/>
              <w:jc w:val="both"/>
              <w:rPr>
                <w:rFonts w:ascii="Times New Roman" w:hAnsi="Times New Roman"/>
                <w:sz w:val="20"/>
                <w:szCs w:val="20"/>
              </w:rPr>
            </w:pPr>
            <w:r w:rsidRPr="00D97699" w:rsidR="00F31EF4">
              <w:rPr>
                <w:rFonts w:ascii="Times New Roman" w:hAnsi="Times New Roman"/>
                <w:sz w:val="20"/>
                <w:szCs w:val="20"/>
              </w:rPr>
              <w:t>Táto smernica je určená členským štátom.</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26FE6" w:rsidRPr="00D97699" w:rsidP="00D97699">
            <w:pPr>
              <w:bidi w:val="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B26FE6" w:rsidRPr="00D97699" w:rsidP="00D97699">
            <w:pPr>
              <w:pStyle w:val="EnvelopeReturn"/>
              <w:bidi w:val="0"/>
              <w:jc w:val="center"/>
              <w:rPr>
                <w:rFonts w:ascii="Times New Roman" w:hAnsi="Times New Roman"/>
                <w:b w:val="0"/>
                <w:bCs w:val="0"/>
                <w:color w:val="auto"/>
              </w:rPr>
            </w:pPr>
          </w:p>
        </w:tc>
        <w:tc>
          <w:tcPr>
            <w:tcW w:w="4363" w:type="dxa"/>
            <w:tcBorders>
              <w:top w:val="single" w:sz="4" w:space="0" w:color="auto"/>
              <w:left w:val="single" w:sz="4" w:space="0" w:color="auto"/>
              <w:bottom w:val="single" w:sz="4" w:space="0" w:color="auto"/>
              <w:right w:val="single" w:sz="4" w:space="0" w:color="auto"/>
            </w:tcBorders>
            <w:textDirection w:val="lrTb"/>
            <w:vAlign w:val="top"/>
          </w:tcPr>
          <w:p w:rsidR="00801A1B" w:rsidRPr="00D97699" w:rsidP="00D97699">
            <w:pPr>
              <w:bidi w:val="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26FE6" w:rsidRPr="00D97699" w:rsidP="00D97699">
            <w:pPr>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D97699" w:rsidP="00D97699">
            <w:pPr>
              <w:bidi w:val="0"/>
              <w:jc w:val="both"/>
              <w:rPr>
                <w:rFonts w:ascii="Times New Roman" w:hAnsi="Times New Roman"/>
                <w:sz w:val="20"/>
                <w:szCs w:val="20"/>
              </w:rPr>
            </w:pPr>
          </w:p>
        </w:tc>
      </w:tr>
    </w:tbl>
    <w:p w:rsidR="004D7646" w:rsidP="00D97699">
      <w:pPr>
        <w:pStyle w:val="Heading3"/>
        <w:numPr>
          <w:numId w:val="0"/>
        </w:numPr>
        <w:tabs>
          <w:tab w:val="clear" w:pos="720"/>
        </w:tabs>
        <w:bidi w:val="0"/>
        <w:ind w:firstLine="0"/>
      </w:pPr>
    </w:p>
    <w:sectPr w:rsidSect="003C6828">
      <w:footerReference w:type="default" r:id="rId4"/>
      <w:pgSz w:w="16838" w:h="11906" w:orient="landscape"/>
      <w:pgMar w:top="1417" w:right="1417" w:bottom="1417" w:left="1417" w:header="708" w:footer="708" w:gutter="0"/>
      <w:lnNumType w:distance="0"/>
      <w:cols w:space="708"/>
      <w:noEndnote w:val="0"/>
      <w:bidi w:val="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01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B2626">
      <w:rPr>
        <w:rFonts w:ascii="Times New Roman" w:hAnsi="Times New Roman"/>
        <w:noProof/>
      </w:rPr>
      <w:t>1</w:t>
    </w:r>
    <w:r>
      <w:rPr>
        <w:rFonts w:ascii="Times New Roman" w:hAnsi="Times New Roman"/>
      </w:rPr>
      <w:fldChar w:fldCharType="end"/>
    </w:r>
  </w:p>
  <w:p w:rsidR="0066001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93E"/>
    <w:multiLevelType w:val="hybridMultilevel"/>
    <w:tmpl w:val="640CA1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3447AF"/>
    <w:multiLevelType w:val="hybridMultilevel"/>
    <w:tmpl w:val="BED444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675899"/>
    <w:multiLevelType w:val="hybridMultilevel"/>
    <w:tmpl w:val="09F670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F9179F"/>
    <w:multiLevelType w:val="hybridMultilevel"/>
    <w:tmpl w:val="09F670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5CD2167"/>
    <w:multiLevelType w:val="hybridMultilevel"/>
    <w:tmpl w:val="181E9B9C"/>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5">
    <w:nsid w:val="16074D7E"/>
    <w:multiLevelType w:val="hybridMultilevel"/>
    <w:tmpl w:val="9A8A39D4"/>
    <w:lvl w:ilvl="0">
      <w:start w:val="1"/>
      <w:numFmt w:val="decimal"/>
      <w:lvlText w:val="%1."/>
      <w:lvlJc w:val="left"/>
      <w:pPr>
        <w:ind w:left="643" w:hanging="360"/>
      </w:pPr>
      <w:rPr>
        <w:rFonts w:cs="Times New Roman" w:hint="default"/>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6">
    <w:nsid w:val="23DF5829"/>
    <w:multiLevelType w:val="hybridMultilevel"/>
    <w:tmpl w:val="3742407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298" w:hanging="360"/>
      </w:pPr>
      <w:rPr>
        <w:rFonts w:cs="Times New Roman"/>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7">
    <w:nsid w:val="29B42517"/>
    <w:multiLevelType w:val="hybridMultilevel"/>
    <w:tmpl w:val="826AA0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07776D9"/>
    <w:multiLevelType w:val="hybridMultilevel"/>
    <w:tmpl w:val="4B88F5D2"/>
    <w:lvl w:ilvl="0">
      <w:start w:val="1"/>
      <w:numFmt w:val="upperLetter"/>
      <w:pStyle w:val="Heading3"/>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3C7347B2"/>
    <w:multiLevelType w:val="hybridMultilevel"/>
    <w:tmpl w:val="9A8A39D4"/>
    <w:lvl w:ilvl="0">
      <w:start w:val="1"/>
      <w:numFmt w:val="decimal"/>
      <w:lvlText w:val="%1."/>
      <w:lvlJc w:val="left"/>
      <w:pPr>
        <w:ind w:left="643" w:hanging="360"/>
      </w:pPr>
      <w:rPr>
        <w:rFonts w:cs="Times New Roman" w:hint="default"/>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10">
    <w:nsid w:val="3E09324F"/>
    <w:multiLevelType w:val="hybridMultilevel"/>
    <w:tmpl w:val="09F6707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29C0EED"/>
    <w:multiLevelType w:val="hybridMultilevel"/>
    <w:tmpl w:val="640CA1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68C2CB2"/>
    <w:multiLevelType w:val="hybridMultilevel"/>
    <w:tmpl w:val="637608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63F6D47"/>
    <w:multiLevelType w:val="hybridMultilevel"/>
    <w:tmpl w:val="A746A2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66F209B"/>
    <w:multiLevelType w:val="hybridMultilevel"/>
    <w:tmpl w:val="1E48F8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8BF5101"/>
    <w:multiLevelType w:val="hybridMultilevel"/>
    <w:tmpl w:val="83F26352"/>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6">
    <w:nsid w:val="5AF233BE"/>
    <w:multiLevelType w:val="singleLevel"/>
    <w:tmpl w:val="0809000F"/>
    <w:lvl w:ilvl="0">
      <w:start w:val="1"/>
      <w:numFmt w:val="decimal"/>
      <w:lvlText w:val="%1."/>
      <w:lvlJc w:val="left"/>
      <w:pPr>
        <w:tabs>
          <w:tab w:val="num" w:pos="360"/>
        </w:tabs>
        <w:ind w:left="360" w:hanging="360"/>
      </w:pPr>
      <w:rPr>
        <w:rFonts w:cs="Times New Roman"/>
        <w:rtl w:val="0"/>
        <w:cs w:val="0"/>
      </w:rPr>
    </w:lvl>
  </w:abstractNum>
  <w:abstractNum w:abstractNumId="17">
    <w:nsid w:val="6B6A2175"/>
    <w:multiLevelType w:val="hybridMultilevel"/>
    <w:tmpl w:val="9FD671E6"/>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7"/>
  </w:num>
  <w:num w:numId="4">
    <w:abstractNumId w:val="6"/>
  </w:num>
  <w:num w:numId="5">
    <w:abstractNumId w:val="10"/>
  </w:num>
  <w:num w:numId="6">
    <w:abstractNumId w:val="2"/>
  </w:num>
  <w:num w:numId="7">
    <w:abstractNumId w:val="7"/>
  </w:num>
  <w:num w:numId="8">
    <w:abstractNumId w:val="13"/>
  </w:num>
  <w:num w:numId="9">
    <w:abstractNumId w:val="3"/>
  </w:num>
  <w:num w:numId="10">
    <w:abstractNumId w:val="9"/>
  </w:num>
  <w:num w:numId="11">
    <w:abstractNumId w:val="0"/>
  </w:num>
  <w:num w:numId="12">
    <w:abstractNumId w:val="11"/>
  </w:num>
  <w:num w:numId="13">
    <w:abstractNumId w:val="5"/>
  </w:num>
  <w:num w:numId="14">
    <w:abstractNumId w:val="14"/>
  </w:num>
  <w:num w:numId="15">
    <w:abstractNumId w:val="12"/>
  </w:num>
  <w:num w:numId="16">
    <w:abstractNumId w:val="1"/>
  </w:num>
  <w:num w:numId="17">
    <w:abstractNumId w:val="4"/>
  </w:num>
  <w:num w:numId="18">
    <w:abstractNumId w:val="1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B5023C"/>
    <w:rsid w:val="0000187B"/>
    <w:rsid w:val="000021E7"/>
    <w:rsid w:val="000038A8"/>
    <w:rsid w:val="00004AFB"/>
    <w:rsid w:val="00006524"/>
    <w:rsid w:val="00006B28"/>
    <w:rsid w:val="000071BF"/>
    <w:rsid w:val="000078CA"/>
    <w:rsid w:val="000107B0"/>
    <w:rsid w:val="000112D9"/>
    <w:rsid w:val="0001156C"/>
    <w:rsid w:val="00012918"/>
    <w:rsid w:val="00014EBE"/>
    <w:rsid w:val="0001515B"/>
    <w:rsid w:val="000168F9"/>
    <w:rsid w:val="00017E12"/>
    <w:rsid w:val="0002271D"/>
    <w:rsid w:val="000233CC"/>
    <w:rsid w:val="0002468F"/>
    <w:rsid w:val="000277A1"/>
    <w:rsid w:val="00027ECA"/>
    <w:rsid w:val="0003110C"/>
    <w:rsid w:val="0003111D"/>
    <w:rsid w:val="000319FF"/>
    <w:rsid w:val="000337D0"/>
    <w:rsid w:val="00033F0B"/>
    <w:rsid w:val="000349E9"/>
    <w:rsid w:val="00037518"/>
    <w:rsid w:val="00040108"/>
    <w:rsid w:val="000409C3"/>
    <w:rsid w:val="00044C48"/>
    <w:rsid w:val="00047BAF"/>
    <w:rsid w:val="00055563"/>
    <w:rsid w:val="00055C0D"/>
    <w:rsid w:val="000560C4"/>
    <w:rsid w:val="0005622B"/>
    <w:rsid w:val="00060C80"/>
    <w:rsid w:val="00063C2F"/>
    <w:rsid w:val="00063D16"/>
    <w:rsid w:val="00065285"/>
    <w:rsid w:val="00067F13"/>
    <w:rsid w:val="000705F4"/>
    <w:rsid w:val="00071858"/>
    <w:rsid w:val="00071C5B"/>
    <w:rsid w:val="00077D0A"/>
    <w:rsid w:val="00080891"/>
    <w:rsid w:val="000812D9"/>
    <w:rsid w:val="00082869"/>
    <w:rsid w:val="00090BA4"/>
    <w:rsid w:val="00092CB3"/>
    <w:rsid w:val="000935BC"/>
    <w:rsid w:val="0009696B"/>
    <w:rsid w:val="000A0A82"/>
    <w:rsid w:val="000A13B5"/>
    <w:rsid w:val="000A1DD2"/>
    <w:rsid w:val="000A27D1"/>
    <w:rsid w:val="000A3019"/>
    <w:rsid w:val="000A3C49"/>
    <w:rsid w:val="000A4495"/>
    <w:rsid w:val="000A490A"/>
    <w:rsid w:val="000A577C"/>
    <w:rsid w:val="000A6453"/>
    <w:rsid w:val="000A79CC"/>
    <w:rsid w:val="000B2690"/>
    <w:rsid w:val="000B2F53"/>
    <w:rsid w:val="000B4883"/>
    <w:rsid w:val="000B56AF"/>
    <w:rsid w:val="000B579D"/>
    <w:rsid w:val="000B5C4F"/>
    <w:rsid w:val="000B663F"/>
    <w:rsid w:val="000B6A2C"/>
    <w:rsid w:val="000B72D8"/>
    <w:rsid w:val="000C2718"/>
    <w:rsid w:val="000C7C39"/>
    <w:rsid w:val="000D01FE"/>
    <w:rsid w:val="000D1026"/>
    <w:rsid w:val="000D2EF1"/>
    <w:rsid w:val="000D3A1B"/>
    <w:rsid w:val="000D3E0E"/>
    <w:rsid w:val="000D4E15"/>
    <w:rsid w:val="000D60B8"/>
    <w:rsid w:val="000D66BE"/>
    <w:rsid w:val="000E1214"/>
    <w:rsid w:val="000E20C1"/>
    <w:rsid w:val="000E30E4"/>
    <w:rsid w:val="000E5DEF"/>
    <w:rsid w:val="000E631E"/>
    <w:rsid w:val="000E7440"/>
    <w:rsid w:val="000E74B1"/>
    <w:rsid w:val="000E790B"/>
    <w:rsid w:val="000F0E72"/>
    <w:rsid w:val="000F105F"/>
    <w:rsid w:val="000F2D6D"/>
    <w:rsid w:val="000F3265"/>
    <w:rsid w:val="000F58BE"/>
    <w:rsid w:val="000F66F5"/>
    <w:rsid w:val="000F750D"/>
    <w:rsid w:val="00101956"/>
    <w:rsid w:val="00101B95"/>
    <w:rsid w:val="00103661"/>
    <w:rsid w:val="001060CE"/>
    <w:rsid w:val="001067F1"/>
    <w:rsid w:val="0010751F"/>
    <w:rsid w:val="0011180A"/>
    <w:rsid w:val="00111843"/>
    <w:rsid w:val="00114C15"/>
    <w:rsid w:val="00116A84"/>
    <w:rsid w:val="00116BEA"/>
    <w:rsid w:val="001175C3"/>
    <w:rsid w:val="0012087C"/>
    <w:rsid w:val="0012350B"/>
    <w:rsid w:val="00123527"/>
    <w:rsid w:val="00123B36"/>
    <w:rsid w:val="00123B56"/>
    <w:rsid w:val="00130B7D"/>
    <w:rsid w:val="00135A17"/>
    <w:rsid w:val="0014048F"/>
    <w:rsid w:val="001472D2"/>
    <w:rsid w:val="001479C3"/>
    <w:rsid w:val="001503D0"/>
    <w:rsid w:val="00150546"/>
    <w:rsid w:val="001508A1"/>
    <w:rsid w:val="0015205B"/>
    <w:rsid w:val="0016238C"/>
    <w:rsid w:val="00162E44"/>
    <w:rsid w:val="00162EA5"/>
    <w:rsid w:val="00166F9B"/>
    <w:rsid w:val="001702AC"/>
    <w:rsid w:val="00170D33"/>
    <w:rsid w:val="001710ED"/>
    <w:rsid w:val="00171826"/>
    <w:rsid w:val="00173A95"/>
    <w:rsid w:val="001740A4"/>
    <w:rsid w:val="001747B7"/>
    <w:rsid w:val="00174D76"/>
    <w:rsid w:val="00175F71"/>
    <w:rsid w:val="00177BAC"/>
    <w:rsid w:val="00177EEC"/>
    <w:rsid w:val="00181712"/>
    <w:rsid w:val="0018189F"/>
    <w:rsid w:val="0018332E"/>
    <w:rsid w:val="00185098"/>
    <w:rsid w:val="001857BC"/>
    <w:rsid w:val="00185956"/>
    <w:rsid w:val="0018624C"/>
    <w:rsid w:val="00186BBE"/>
    <w:rsid w:val="001873C5"/>
    <w:rsid w:val="00187D1D"/>
    <w:rsid w:val="00194387"/>
    <w:rsid w:val="0019613E"/>
    <w:rsid w:val="001A02AF"/>
    <w:rsid w:val="001A1537"/>
    <w:rsid w:val="001A1638"/>
    <w:rsid w:val="001A1B0F"/>
    <w:rsid w:val="001A65DA"/>
    <w:rsid w:val="001A68A8"/>
    <w:rsid w:val="001B0ED4"/>
    <w:rsid w:val="001B0F72"/>
    <w:rsid w:val="001B16BC"/>
    <w:rsid w:val="001B5637"/>
    <w:rsid w:val="001B7C40"/>
    <w:rsid w:val="001C1519"/>
    <w:rsid w:val="001C167F"/>
    <w:rsid w:val="001C3EBF"/>
    <w:rsid w:val="001C7F10"/>
    <w:rsid w:val="001D0069"/>
    <w:rsid w:val="001D1470"/>
    <w:rsid w:val="001D4E10"/>
    <w:rsid w:val="001D7215"/>
    <w:rsid w:val="001E33C1"/>
    <w:rsid w:val="001E34EF"/>
    <w:rsid w:val="001E3F15"/>
    <w:rsid w:val="001E4388"/>
    <w:rsid w:val="001E4582"/>
    <w:rsid w:val="001E5F2F"/>
    <w:rsid w:val="001E60EA"/>
    <w:rsid w:val="001F090B"/>
    <w:rsid w:val="001F179B"/>
    <w:rsid w:val="001F1E3A"/>
    <w:rsid w:val="001F3582"/>
    <w:rsid w:val="001F45CD"/>
    <w:rsid w:val="001F7C89"/>
    <w:rsid w:val="00200974"/>
    <w:rsid w:val="002035A7"/>
    <w:rsid w:val="002048BB"/>
    <w:rsid w:val="00204AB2"/>
    <w:rsid w:val="002079A9"/>
    <w:rsid w:val="00210107"/>
    <w:rsid w:val="00213CA1"/>
    <w:rsid w:val="002150D4"/>
    <w:rsid w:val="00216ADD"/>
    <w:rsid w:val="00221059"/>
    <w:rsid w:val="002244FC"/>
    <w:rsid w:val="00232832"/>
    <w:rsid w:val="00232869"/>
    <w:rsid w:val="002350D5"/>
    <w:rsid w:val="00235663"/>
    <w:rsid w:val="00235C3B"/>
    <w:rsid w:val="00236757"/>
    <w:rsid w:val="00240235"/>
    <w:rsid w:val="0024043C"/>
    <w:rsid w:val="002416E7"/>
    <w:rsid w:val="00246E3D"/>
    <w:rsid w:val="00247AC1"/>
    <w:rsid w:val="002508F8"/>
    <w:rsid w:val="00250992"/>
    <w:rsid w:val="002516B6"/>
    <w:rsid w:val="00253D8D"/>
    <w:rsid w:val="0025567C"/>
    <w:rsid w:val="00257A7B"/>
    <w:rsid w:val="00257EAB"/>
    <w:rsid w:val="002613D5"/>
    <w:rsid w:val="00261ADC"/>
    <w:rsid w:val="00267826"/>
    <w:rsid w:val="002700EC"/>
    <w:rsid w:val="002709E6"/>
    <w:rsid w:val="00272625"/>
    <w:rsid w:val="002728C6"/>
    <w:rsid w:val="00272944"/>
    <w:rsid w:val="00275F19"/>
    <w:rsid w:val="00280AA2"/>
    <w:rsid w:val="0028149C"/>
    <w:rsid w:val="00281EDD"/>
    <w:rsid w:val="00282F10"/>
    <w:rsid w:val="00282FB9"/>
    <w:rsid w:val="0028617A"/>
    <w:rsid w:val="00286D1E"/>
    <w:rsid w:val="00287F23"/>
    <w:rsid w:val="0029047D"/>
    <w:rsid w:val="00291143"/>
    <w:rsid w:val="00291B8E"/>
    <w:rsid w:val="00292563"/>
    <w:rsid w:val="00293021"/>
    <w:rsid w:val="002941D8"/>
    <w:rsid w:val="002A03C8"/>
    <w:rsid w:val="002A0CC9"/>
    <w:rsid w:val="002A12DD"/>
    <w:rsid w:val="002A1393"/>
    <w:rsid w:val="002A455F"/>
    <w:rsid w:val="002A5B58"/>
    <w:rsid w:val="002A622A"/>
    <w:rsid w:val="002B0927"/>
    <w:rsid w:val="002B0CB7"/>
    <w:rsid w:val="002B2626"/>
    <w:rsid w:val="002B3D5D"/>
    <w:rsid w:val="002B4C6D"/>
    <w:rsid w:val="002B5803"/>
    <w:rsid w:val="002C22C8"/>
    <w:rsid w:val="002C2ACF"/>
    <w:rsid w:val="002C31CC"/>
    <w:rsid w:val="002C39C0"/>
    <w:rsid w:val="002C5A51"/>
    <w:rsid w:val="002C6452"/>
    <w:rsid w:val="002C6FB6"/>
    <w:rsid w:val="002C7144"/>
    <w:rsid w:val="002D00BD"/>
    <w:rsid w:val="002D01D3"/>
    <w:rsid w:val="002D0E86"/>
    <w:rsid w:val="002D5219"/>
    <w:rsid w:val="002D6343"/>
    <w:rsid w:val="002E0DB5"/>
    <w:rsid w:val="002E2B4D"/>
    <w:rsid w:val="002E3679"/>
    <w:rsid w:val="002F01A2"/>
    <w:rsid w:val="002F0CFB"/>
    <w:rsid w:val="002F696D"/>
    <w:rsid w:val="002F73EF"/>
    <w:rsid w:val="00303259"/>
    <w:rsid w:val="003045A4"/>
    <w:rsid w:val="00305109"/>
    <w:rsid w:val="003067FB"/>
    <w:rsid w:val="003112BB"/>
    <w:rsid w:val="00311D72"/>
    <w:rsid w:val="00312D9C"/>
    <w:rsid w:val="0031424F"/>
    <w:rsid w:val="00317D56"/>
    <w:rsid w:val="00320E51"/>
    <w:rsid w:val="00324542"/>
    <w:rsid w:val="00325033"/>
    <w:rsid w:val="00327AD3"/>
    <w:rsid w:val="00327D26"/>
    <w:rsid w:val="003308BD"/>
    <w:rsid w:val="00333B93"/>
    <w:rsid w:val="00333E28"/>
    <w:rsid w:val="003360CC"/>
    <w:rsid w:val="00337C59"/>
    <w:rsid w:val="0034087D"/>
    <w:rsid w:val="00340A8B"/>
    <w:rsid w:val="003414D1"/>
    <w:rsid w:val="0034156D"/>
    <w:rsid w:val="0034174B"/>
    <w:rsid w:val="0034258D"/>
    <w:rsid w:val="00344267"/>
    <w:rsid w:val="003444B5"/>
    <w:rsid w:val="00344589"/>
    <w:rsid w:val="003450FC"/>
    <w:rsid w:val="00350CEA"/>
    <w:rsid w:val="00350E90"/>
    <w:rsid w:val="003518E3"/>
    <w:rsid w:val="00352B1C"/>
    <w:rsid w:val="0035372D"/>
    <w:rsid w:val="00355C96"/>
    <w:rsid w:val="003579B7"/>
    <w:rsid w:val="0036031A"/>
    <w:rsid w:val="00361863"/>
    <w:rsid w:val="00363334"/>
    <w:rsid w:val="00364C49"/>
    <w:rsid w:val="00365545"/>
    <w:rsid w:val="00366FAD"/>
    <w:rsid w:val="00370378"/>
    <w:rsid w:val="00370FE3"/>
    <w:rsid w:val="00376D55"/>
    <w:rsid w:val="00376FA4"/>
    <w:rsid w:val="00377A66"/>
    <w:rsid w:val="003851D3"/>
    <w:rsid w:val="00385E14"/>
    <w:rsid w:val="00387BE9"/>
    <w:rsid w:val="00390198"/>
    <w:rsid w:val="00390AFA"/>
    <w:rsid w:val="00393DDF"/>
    <w:rsid w:val="003953E1"/>
    <w:rsid w:val="003965FC"/>
    <w:rsid w:val="003966A5"/>
    <w:rsid w:val="003A2C71"/>
    <w:rsid w:val="003A2FB4"/>
    <w:rsid w:val="003A39E6"/>
    <w:rsid w:val="003A4201"/>
    <w:rsid w:val="003A46D2"/>
    <w:rsid w:val="003A7A45"/>
    <w:rsid w:val="003B1B14"/>
    <w:rsid w:val="003B2418"/>
    <w:rsid w:val="003B3AFD"/>
    <w:rsid w:val="003B5A85"/>
    <w:rsid w:val="003B65BF"/>
    <w:rsid w:val="003B7852"/>
    <w:rsid w:val="003B7A68"/>
    <w:rsid w:val="003C2FA1"/>
    <w:rsid w:val="003C4EA9"/>
    <w:rsid w:val="003C6828"/>
    <w:rsid w:val="003C6CE3"/>
    <w:rsid w:val="003C7E41"/>
    <w:rsid w:val="003D3462"/>
    <w:rsid w:val="003D3660"/>
    <w:rsid w:val="003D3F4F"/>
    <w:rsid w:val="003D4E4D"/>
    <w:rsid w:val="003D5BF0"/>
    <w:rsid w:val="003D6890"/>
    <w:rsid w:val="003D7B8E"/>
    <w:rsid w:val="003E01D2"/>
    <w:rsid w:val="003E0F80"/>
    <w:rsid w:val="003E1A54"/>
    <w:rsid w:val="003E1FBC"/>
    <w:rsid w:val="003E303A"/>
    <w:rsid w:val="003E3AFA"/>
    <w:rsid w:val="003E6174"/>
    <w:rsid w:val="003E63D1"/>
    <w:rsid w:val="003E7586"/>
    <w:rsid w:val="003E779D"/>
    <w:rsid w:val="003F1BF5"/>
    <w:rsid w:val="003F2C09"/>
    <w:rsid w:val="003F3BCE"/>
    <w:rsid w:val="003F5A04"/>
    <w:rsid w:val="003F627C"/>
    <w:rsid w:val="003F63A3"/>
    <w:rsid w:val="003F77E3"/>
    <w:rsid w:val="004020BE"/>
    <w:rsid w:val="00402A87"/>
    <w:rsid w:val="00402E31"/>
    <w:rsid w:val="00403060"/>
    <w:rsid w:val="00403123"/>
    <w:rsid w:val="0040377A"/>
    <w:rsid w:val="0040379C"/>
    <w:rsid w:val="00406BF9"/>
    <w:rsid w:val="00410101"/>
    <w:rsid w:val="00410CDE"/>
    <w:rsid w:val="004121B4"/>
    <w:rsid w:val="0041636A"/>
    <w:rsid w:val="00416B14"/>
    <w:rsid w:val="004173BB"/>
    <w:rsid w:val="004238B2"/>
    <w:rsid w:val="0042419E"/>
    <w:rsid w:val="004250B0"/>
    <w:rsid w:val="004254FA"/>
    <w:rsid w:val="00427BB5"/>
    <w:rsid w:val="00433640"/>
    <w:rsid w:val="004340C3"/>
    <w:rsid w:val="004378E3"/>
    <w:rsid w:val="00437EB2"/>
    <w:rsid w:val="004409DB"/>
    <w:rsid w:val="00440FB6"/>
    <w:rsid w:val="00443E5A"/>
    <w:rsid w:val="00444BEE"/>
    <w:rsid w:val="00445216"/>
    <w:rsid w:val="00445B65"/>
    <w:rsid w:val="00451E65"/>
    <w:rsid w:val="004523CB"/>
    <w:rsid w:val="00452AEF"/>
    <w:rsid w:val="0045450B"/>
    <w:rsid w:val="0045493F"/>
    <w:rsid w:val="0045528F"/>
    <w:rsid w:val="0045685A"/>
    <w:rsid w:val="00456FF1"/>
    <w:rsid w:val="0045788D"/>
    <w:rsid w:val="004614D7"/>
    <w:rsid w:val="004622AA"/>
    <w:rsid w:val="004636EC"/>
    <w:rsid w:val="004703C7"/>
    <w:rsid w:val="004720D2"/>
    <w:rsid w:val="004726BE"/>
    <w:rsid w:val="00472B52"/>
    <w:rsid w:val="00476560"/>
    <w:rsid w:val="00476B6A"/>
    <w:rsid w:val="004816AC"/>
    <w:rsid w:val="00481999"/>
    <w:rsid w:val="00482362"/>
    <w:rsid w:val="00482732"/>
    <w:rsid w:val="00482A2D"/>
    <w:rsid w:val="004838FE"/>
    <w:rsid w:val="00483E59"/>
    <w:rsid w:val="00484F00"/>
    <w:rsid w:val="004902E4"/>
    <w:rsid w:val="00491A0E"/>
    <w:rsid w:val="004925BD"/>
    <w:rsid w:val="00492820"/>
    <w:rsid w:val="00492AC1"/>
    <w:rsid w:val="00493F06"/>
    <w:rsid w:val="0049452B"/>
    <w:rsid w:val="00494971"/>
    <w:rsid w:val="004966C2"/>
    <w:rsid w:val="00496EAD"/>
    <w:rsid w:val="00497EBD"/>
    <w:rsid w:val="004A0E2B"/>
    <w:rsid w:val="004A0F2A"/>
    <w:rsid w:val="004A15DF"/>
    <w:rsid w:val="004A1C59"/>
    <w:rsid w:val="004A23BF"/>
    <w:rsid w:val="004A3A64"/>
    <w:rsid w:val="004A41DC"/>
    <w:rsid w:val="004A4344"/>
    <w:rsid w:val="004B1BB9"/>
    <w:rsid w:val="004B1D9D"/>
    <w:rsid w:val="004B2774"/>
    <w:rsid w:val="004B420C"/>
    <w:rsid w:val="004B5DFD"/>
    <w:rsid w:val="004B7356"/>
    <w:rsid w:val="004B7953"/>
    <w:rsid w:val="004C01BD"/>
    <w:rsid w:val="004C3CA6"/>
    <w:rsid w:val="004C438C"/>
    <w:rsid w:val="004C498A"/>
    <w:rsid w:val="004C6CAB"/>
    <w:rsid w:val="004D3B92"/>
    <w:rsid w:val="004D6880"/>
    <w:rsid w:val="004D6C1E"/>
    <w:rsid w:val="004D7646"/>
    <w:rsid w:val="004E00A1"/>
    <w:rsid w:val="004E3081"/>
    <w:rsid w:val="004E37B3"/>
    <w:rsid w:val="004E4B58"/>
    <w:rsid w:val="004E6656"/>
    <w:rsid w:val="004E6C01"/>
    <w:rsid w:val="004F06E3"/>
    <w:rsid w:val="004F1EA5"/>
    <w:rsid w:val="004F2C5C"/>
    <w:rsid w:val="004F3533"/>
    <w:rsid w:val="004F6273"/>
    <w:rsid w:val="00501F24"/>
    <w:rsid w:val="00504011"/>
    <w:rsid w:val="00504B8F"/>
    <w:rsid w:val="00504ECA"/>
    <w:rsid w:val="005060E3"/>
    <w:rsid w:val="0051076A"/>
    <w:rsid w:val="005108C1"/>
    <w:rsid w:val="00513F24"/>
    <w:rsid w:val="00514E4E"/>
    <w:rsid w:val="00515E03"/>
    <w:rsid w:val="0051624E"/>
    <w:rsid w:val="00516847"/>
    <w:rsid w:val="00520DA4"/>
    <w:rsid w:val="005249DF"/>
    <w:rsid w:val="005273B4"/>
    <w:rsid w:val="00532454"/>
    <w:rsid w:val="00533BBC"/>
    <w:rsid w:val="00533F92"/>
    <w:rsid w:val="00534663"/>
    <w:rsid w:val="00534D81"/>
    <w:rsid w:val="005376A6"/>
    <w:rsid w:val="00544D99"/>
    <w:rsid w:val="00544F99"/>
    <w:rsid w:val="00545F4A"/>
    <w:rsid w:val="00546472"/>
    <w:rsid w:val="005475B2"/>
    <w:rsid w:val="00550ADA"/>
    <w:rsid w:val="0055780C"/>
    <w:rsid w:val="005611D6"/>
    <w:rsid w:val="00562E4B"/>
    <w:rsid w:val="00564303"/>
    <w:rsid w:val="00566A55"/>
    <w:rsid w:val="00567AFA"/>
    <w:rsid w:val="00572DA9"/>
    <w:rsid w:val="005752E6"/>
    <w:rsid w:val="005758E9"/>
    <w:rsid w:val="00577869"/>
    <w:rsid w:val="005809BD"/>
    <w:rsid w:val="005820ED"/>
    <w:rsid w:val="00583F6D"/>
    <w:rsid w:val="005846C0"/>
    <w:rsid w:val="005852D7"/>
    <w:rsid w:val="00585376"/>
    <w:rsid w:val="0059182C"/>
    <w:rsid w:val="00592582"/>
    <w:rsid w:val="00592A9A"/>
    <w:rsid w:val="0059322E"/>
    <w:rsid w:val="00594197"/>
    <w:rsid w:val="00594756"/>
    <w:rsid w:val="00594AD7"/>
    <w:rsid w:val="005954B5"/>
    <w:rsid w:val="00595673"/>
    <w:rsid w:val="00597BB8"/>
    <w:rsid w:val="005A1570"/>
    <w:rsid w:val="005A289C"/>
    <w:rsid w:val="005A3B32"/>
    <w:rsid w:val="005A3D10"/>
    <w:rsid w:val="005A479A"/>
    <w:rsid w:val="005A4F3D"/>
    <w:rsid w:val="005A7BE3"/>
    <w:rsid w:val="005B201A"/>
    <w:rsid w:val="005B2664"/>
    <w:rsid w:val="005B289C"/>
    <w:rsid w:val="005B456D"/>
    <w:rsid w:val="005B4C61"/>
    <w:rsid w:val="005C0DAF"/>
    <w:rsid w:val="005C1ED4"/>
    <w:rsid w:val="005C258F"/>
    <w:rsid w:val="005C25F3"/>
    <w:rsid w:val="005C2EB2"/>
    <w:rsid w:val="005C37B6"/>
    <w:rsid w:val="005C3E19"/>
    <w:rsid w:val="005C5DEB"/>
    <w:rsid w:val="005C77C0"/>
    <w:rsid w:val="005C7824"/>
    <w:rsid w:val="005D05B7"/>
    <w:rsid w:val="005D0EC7"/>
    <w:rsid w:val="005D1017"/>
    <w:rsid w:val="005D226E"/>
    <w:rsid w:val="005D4D28"/>
    <w:rsid w:val="005D524C"/>
    <w:rsid w:val="005D6220"/>
    <w:rsid w:val="005D653B"/>
    <w:rsid w:val="005D741D"/>
    <w:rsid w:val="005E00AC"/>
    <w:rsid w:val="005E1F27"/>
    <w:rsid w:val="005E2C5C"/>
    <w:rsid w:val="005E3CA7"/>
    <w:rsid w:val="005E4069"/>
    <w:rsid w:val="005E5C62"/>
    <w:rsid w:val="005F07A7"/>
    <w:rsid w:val="005F1B63"/>
    <w:rsid w:val="005F543A"/>
    <w:rsid w:val="005F7748"/>
    <w:rsid w:val="005F78D7"/>
    <w:rsid w:val="005F7952"/>
    <w:rsid w:val="00600065"/>
    <w:rsid w:val="00600117"/>
    <w:rsid w:val="006008A3"/>
    <w:rsid w:val="00602303"/>
    <w:rsid w:val="00603096"/>
    <w:rsid w:val="006034C7"/>
    <w:rsid w:val="006038B7"/>
    <w:rsid w:val="00604C34"/>
    <w:rsid w:val="00606B34"/>
    <w:rsid w:val="00607664"/>
    <w:rsid w:val="00610E96"/>
    <w:rsid w:val="006118CA"/>
    <w:rsid w:val="00611F30"/>
    <w:rsid w:val="006125BB"/>
    <w:rsid w:val="0061319B"/>
    <w:rsid w:val="00613C55"/>
    <w:rsid w:val="006204B4"/>
    <w:rsid w:val="006208B8"/>
    <w:rsid w:val="006213C2"/>
    <w:rsid w:val="0062172F"/>
    <w:rsid w:val="00622F88"/>
    <w:rsid w:val="00625E70"/>
    <w:rsid w:val="00630354"/>
    <w:rsid w:val="00630B3E"/>
    <w:rsid w:val="00631522"/>
    <w:rsid w:val="00632E33"/>
    <w:rsid w:val="00633071"/>
    <w:rsid w:val="0063564E"/>
    <w:rsid w:val="006367D2"/>
    <w:rsid w:val="006409EB"/>
    <w:rsid w:val="00641400"/>
    <w:rsid w:val="00643F9B"/>
    <w:rsid w:val="006478BB"/>
    <w:rsid w:val="006503E5"/>
    <w:rsid w:val="00650BF7"/>
    <w:rsid w:val="00654462"/>
    <w:rsid w:val="00656373"/>
    <w:rsid w:val="00656ADD"/>
    <w:rsid w:val="00657EC5"/>
    <w:rsid w:val="0066001E"/>
    <w:rsid w:val="0066185D"/>
    <w:rsid w:val="006623FA"/>
    <w:rsid w:val="00662DC6"/>
    <w:rsid w:val="00662FE6"/>
    <w:rsid w:val="006667E8"/>
    <w:rsid w:val="00667E55"/>
    <w:rsid w:val="0067054B"/>
    <w:rsid w:val="00670866"/>
    <w:rsid w:val="00671DF6"/>
    <w:rsid w:val="00672BB8"/>
    <w:rsid w:val="006750C0"/>
    <w:rsid w:val="00675258"/>
    <w:rsid w:val="00675B7A"/>
    <w:rsid w:val="00676237"/>
    <w:rsid w:val="00680586"/>
    <w:rsid w:val="0068066D"/>
    <w:rsid w:val="00680BB8"/>
    <w:rsid w:val="00682E72"/>
    <w:rsid w:val="006846DE"/>
    <w:rsid w:val="006849A6"/>
    <w:rsid w:val="0068595A"/>
    <w:rsid w:val="00687174"/>
    <w:rsid w:val="006875C4"/>
    <w:rsid w:val="00690633"/>
    <w:rsid w:val="006943BA"/>
    <w:rsid w:val="00695193"/>
    <w:rsid w:val="00695688"/>
    <w:rsid w:val="00696605"/>
    <w:rsid w:val="00696B0C"/>
    <w:rsid w:val="006A183E"/>
    <w:rsid w:val="006A2547"/>
    <w:rsid w:val="006A27B5"/>
    <w:rsid w:val="006A38BD"/>
    <w:rsid w:val="006A4D05"/>
    <w:rsid w:val="006A612C"/>
    <w:rsid w:val="006A64DA"/>
    <w:rsid w:val="006A6EDE"/>
    <w:rsid w:val="006B1F13"/>
    <w:rsid w:val="006B234E"/>
    <w:rsid w:val="006B2443"/>
    <w:rsid w:val="006B37F9"/>
    <w:rsid w:val="006B38D4"/>
    <w:rsid w:val="006C1084"/>
    <w:rsid w:val="006C1CE0"/>
    <w:rsid w:val="006C7C97"/>
    <w:rsid w:val="006D0A55"/>
    <w:rsid w:val="006D1A84"/>
    <w:rsid w:val="006D1EF2"/>
    <w:rsid w:val="006D5C9F"/>
    <w:rsid w:val="006D67DD"/>
    <w:rsid w:val="006D6807"/>
    <w:rsid w:val="006D74D1"/>
    <w:rsid w:val="006E0CB9"/>
    <w:rsid w:val="006E1B98"/>
    <w:rsid w:val="006E3387"/>
    <w:rsid w:val="006E69D9"/>
    <w:rsid w:val="006E6C22"/>
    <w:rsid w:val="006E6C54"/>
    <w:rsid w:val="006E7806"/>
    <w:rsid w:val="006F18A9"/>
    <w:rsid w:val="006F33B0"/>
    <w:rsid w:val="006F605F"/>
    <w:rsid w:val="00701D0B"/>
    <w:rsid w:val="00702417"/>
    <w:rsid w:val="007030D2"/>
    <w:rsid w:val="00704CFC"/>
    <w:rsid w:val="00706CDD"/>
    <w:rsid w:val="0070763F"/>
    <w:rsid w:val="00707DBC"/>
    <w:rsid w:val="00710504"/>
    <w:rsid w:val="00711D1C"/>
    <w:rsid w:val="00713586"/>
    <w:rsid w:val="00713C2B"/>
    <w:rsid w:val="007140C9"/>
    <w:rsid w:val="0071550E"/>
    <w:rsid w:val="00715CC3"/>
    <w:rsid w:val="00721621"/>
    <w:rsid w:val="00726549"/>
    <w:rsid w:val="00727EF8"/>
    <w:rsid w:val="00730818"/>
    <w:rsid w:val="00730F21"/>
    <w:rsid w:val="007319B3"/>
    <w:rsid w:val="0073317A"/>
    <w:rsid w:val="00733665"/>
    <w:rsid w:val="00733E3F"/>
    <w:rsid w:val="0073423D"/>
    <w:rsid w:val="00743023"/>
    <w:rsid w:val="00744DAD"/>
    <w:rsid w:val="0074512D"/>
    <w:rsid w:val="00746453"/>
    <w:rsid w:val="007470A0"/>
    <w:rsid w:val="007501F3"/>
    <w:rsid w:val="0075134A"/>
    <w:rsid w:val="00752F42"/>
    <w:rsid w:val="00753376"/>
    <w:rsid w:val="00753819"/>
    <w:rsid w:val="00753965"/>
    <w:rsid w:val="0075539A"/>
    <w:rsid w:val="00755E75"/>
    <w:rsid w:val="0075658D"/>
    <w:rsid w:val="00756D67"/>
    <w:rsid w:val="00763825"/>
    <w:rsid w:val="00766752"/>
    <w:rsid w:val="00767621"/>
    <w:rsid w:val="00770A26"/>
    <w:rsid w:val="007729AA"/>
    <w:rsid w:val="00772B23"/>
    <w:rsid w:val="00773BD3"/>
    <w:rsid w:val="0077433D"/>
    <w:rsid w:val="00775376"/>
    <w:rsid w:val="00775460"/>
    <w:rsid w:val="007755D3"/>
    <w:rsid w:val="007806D2"/>
    <w:rsid w:val="007820C6"/>
    <w:rsid w:val="007829D0"/>
    <w:rsid w:val="007842E2"/>
    <w:rsid w:val="00784778"/>
    <w:rsid w:val="00784C64"/>
    <w:rsid w:val="0078585C"/>
    <w:rsid w:val="007863E6"/>
    <w:rsid w:val="00786C7C"/>
    <w:rsid w:val="00786CCF"/>
    <w:rsid w:val="00790EB4"/>
    <w:rsid w:val="00791C2D"/>
    <w:rsid w:val="0079322E"/>
    <w:rsid w:val="007A0FAC"/>
    <w:rsid w:val="007A11A3"/>
    <w:rsid w:val="007A2791"/>
    <w:rsid w:val="007A3EEB"/>
    <w:rsid w:val="007A412E"/>
    <w:rsid w:val="007A4773"/>
    <w:rsid w:val="007A55B2"/>
    <w:rsid w:val="007B1E58"/>
    <w:rsid w:val="007B49E8"/>
    <w:rsid w:val="007B4D35"/>
    <w:rsid w:val="007B75C4"/>
    <w:rsid w:val="007C049F"/>
    <w:rsid w:val="007C1018"/>
    <w:rsid w:val="007C1E5D"/>
    <w:rsid w:val="007C3856"/>
    <w:rsid w:val="007C44FB"/>
    <w:rsid w:val="007C4FC1"/>
    <w:rsid w:val="007C6CC4"/>
    <w:rsid w:val="007C6CEE"/>
    <w:rsid w:val="007C6FA6"/>
    <w:rsid w:val="007D1983"/>
    <w:rsid w:val="007D2110"/>
    <w:rsid w:val="007D248C"/>
    <w:rsid w:val="007D43A2"/>
    <w:rsid w:val="007D43EA"/>
    <w:rsid w:val="007E1396"/>
    <w:rsid w:val="007E18D7"/>
    <w:rsid w:val="007E3FB9"/>
    <w:rsid w:val="007E4827"/>
    <w:rsid w:val="007E4EEB"/>
    <w:rsid w:val="007E690F"/>
    <w:rsid w:val="007E770B"/>
    <w:rsid w:val="007F013F"/>
    <w:rsid w:val="007F0F90"/>
    <w:rsid w:val="007F1916"/>
    <w:rsid w:val="007F1DB2"/>
    <w:rsid w:val="007F2CAE"/>
    <w:rsid w:val="007F38E5"/>
    <w:rsid w:val="007F6B46"/>
    <w:rsid w:val="007F6FC2"/>
    <w:rsid w:val="008000D7"/>
    <w:rsid w:val="00801A1B"/>
    <w:rsid w:val="00802215"/>
    <w:rsid w:val="00804454"/>
    <w:rsid w:val="008049A6"/>
    <w:rsid w:val="008054A0"/>
    <w:rsid w:val="00806E46"/>
    <w:rsid w:val="008072B9"/>
    <w:rsid w:val="008074EA"/>
    <w:rsid w:val="008125F9"/>
    <w:rsid w:val="00814420"/>
    <w:rsid w:val="00814F94"/>
    <w:rsid w:val="00815982"/>
    <w:rsid w:val="00816FFE"/>
    <w:rsid w:val="00817D24"/>
    <w:rsid w:val="00820AC8"/>
    <w:rsid w:val="00820C13"/>
    <w:rsid w:val="0082130E"/>
    <w:rsid w:val="00824887"/>
    <w:rsid w:val="0082499A"/>
    <w:rsid w:val="00827456"/>
    <w:rsid w:val="00827B18"/>
    <w:rsid w:val="0083057A"/>
    <w:rsid w:val="00830C33"/>
    <w:rsid w:val="00830F8A"/>
    <w:rsid w:val="00832BAC"/>
    <w:rsid w:val="0083316D"/>
    <w:rsid w:val="00833924"/>
    <w:rsid w:val="008339C1"/>
    <w:rsid w:val="00835027"/>
    <w:rsid w:val="008351C9"/>
    <w:rsid w:val="0083620C"/>
    <w:rsid w:val="00843D27"/>
    <w:rsid w:val="00844138"/>
    <w:rsid w:val="00845810"/>
    <w:rsid w:val="00846BB1"/>
    <w:rsid w:val="0085156A"/>
    <w:rsid w:val="00851E63"/>
    <w:rsid w:val="008537E8"/>
    <w:rsid w:val="00857713"/>
    <w:rsid w:val="008635DF"/>
    <w:rsid w:val="008643FE"/>
    <w:rsid w:val="00865030"/>
    <w:rsid w:val="0086509C"/>
    <w:rsid w:val="00866894"/>
    <w:rsid w:val="008679DD"/>
    <w:rsid w:val="008714E4"/>
    <w:rsid w:val="00872C3B"/>
    <w:rsid w:val="0087445D"/>
    <w:rsid w:val="00880215"/>
    <w:rsid w:val="00885311"/>
    <w:rsid w:val="0088603D"/>
    <w:rsid w:val="008872BA"/>
    <w:rsid w:val="008912C3"/>
    <w:rsid w:val="008916E3"/>
    <w:rsid w:val="008921BC"/>
    <w:rsid w:val="008951F2"/>
    <w:rsid w:val="00896764"/>
    <w:rsid w:val="008A2697"/>
    <w:rsid w:val="008A3016"/>
    <w:rsid w:val="008A3A5C"/>
    <w:rsid w:val="008A6463"/>
    <w:rsid w:val="008A6F91"/>
    <w:rsid w:val="008B0027"/>
    <w:rsid w:val="008B0B0F"/>
    <w:rsid w:val="008B0EE6"/>
    <w:rsid w:val="008B19D5"/>
    <w:rsid w:val="008B4169"/>
    <w:rsid w:val="008B42F5"/>
    <w:rsid w:val="008B4ACA"/>
    <w:rsid w:val="008B4DE2"/>
    <w:rsid w:val="008B506C"/>
    <w:rsid w:val="008B5902"/>
    <w:rsid w:val="008B658F"/>
    <w:rsid w:val="008B7D3B"/>
    <w:rsid w:val="008C08BD"/>
    <w:rsid w:val="008C0CF7"/>
    <w:rsid w:val="008C1764"/>
    <w:rsid w:val="008C1C88"/>
    <w:rsid w:val="008C5D8A"/>
    <w:rsid w:val="008C627F"/>
    <w:rsid w:val="008C64B8"/>
    <w:rsid w:val="008C6B90"/>
    <w:rsid w:val="008C6BB4"/>
    <w:rsid w:val="008C70B7"/>
    <w:rsid w:val="008C7125"/>
    <w:rsid w:val="008D1D9B"/>
    <w:rsid w:val="008E0108"/>
    <w:rsid w:val="008E19E2"/>
    <w:rsid w:val="008E3916"/>
    <w:rsid w:val="008E3FEA"/>
    <w:rsid w:val="008E5494"/>
    <w:rsid w:val="008E7120"/>
    <w:rsid w:val="008F2446"/>
    <w:rsid w:val="008F2B63"/>
    <w:rsid w:val="008F3D3D"/>
    <w:rsid w:val="008F540A"/>
    <w:rsid w:val="008F5453"/>
    <w:rsid w:val="008F6014"/>
    <w:rsid w:val="008F67CE"/>
    <w:rsid w:val="008F6803"/>
    <w:rsid w:val="008F7CE4"/>
    <w:rsid w:val="00900A43"/>
    <w:rsid w:val="00901E7B"/>
    <w:rsid w:val="00904C6A"/>
    <w:rsid w:val="009057D1"/>
    <w:rsid w:val="009078A8"/>
    <w:rsid w:val="00911915"/>
    <w:rsid w:val="009143C7"/>
    <w:rsid w:val="009175DE"/>
    <w:rsid w:val="00917D79"/>
    <w:rsid w:val="00922588"/>
    <w:rsid w:val="00925ED5"/>
    <w:rsid w:val="0092619A"/>
    <w:rsid w:val="009268C3"/>
    <w:rsid w:val="009301D9"/>
    <w:rsid w:val="009324CE"/>
    <w:rsid w:val="00932658"/>
    <w:rsid w:val="00934F85"/>
    <w:rsid w:val="0093643C"/>
    <w:rsid w:val="009379F9"/>
    <w:rsid w:val="009413FE"/>
    <w:rsid w:val="0094181D"/>
    <w:rsid w:val="00941DF0"/>
    <w:rsid w:val="009421B4"/>
    <w:rsid w:val="00944021"/>
    <w:rsid w:val="009462CF"/>
    <w:rsid w:val="009511AE"/>
    <w:rsid w:val="009511DC"/>
    <w:rsid w:val="00953638"/>
    <w:rsid w:val="0095530C"/>
    <w:rsid w:val="00955AE7"/>
    <w:rsid w:val="009563C4"/>
    <w:rsid w:val="00956731"/>
    <w:rsid w:val="009569D5"/>
    <w:rsid w:val="009627DD"/>
    <w:rsid w:val="00962B6B"/>
    <w:rsid w:val="0096383E"/>
    <w:rsid w:val="00963E8B"/>
    <w:rsid w:val="009642FC"/>
    <w:rsid w:val="00964A0A"/>
    <w:rsid w:val="00965810"/>
    <w:rsid w:val="0096581E"/>
    <w:rsid w:val="00965DE7"/>
    <w:rsid w:val="009677E8"/>
    <w:rsid w:val="00967DA6"/>
    <w:rsid w:val="0097024A"/>
    <w:rsid w:val="009723DB"/>
    <w:rsid w:val="009731B6"/>
    <w:rsid w:val="009753C2"/>
    <w:rsid w:val="00977422"/>
    <w:rsid w:val="0097751E"/>
    <w:rsid w:val="00981598"/>
    <w:rsid w:val="0098288B"/>
    <w:rsid w:val="0098406B"/>
    <w:rsid w:val="00984A93"/>
    <w:rsid w:val="009856E8"/>
    <w:rsid w:val="0098593A"/>
    <w:rsid w:val="009873DE"/>
    <w:rsid w:val="00993039"/>
    <w:rsid w:val="009937C7"/>
    <w:rsid w:val="0099515D"/>
    <w:rsid w:val="009A052A"/>
    <w:rsid w:val="009A14E3"/>
    <w:rsid w:val="009A1855"/>
    <w:rsid w:val="009A4D83"/>
    <w:rsid w:val="009A595E"/>
    <w:rsid w:val="009A5A38"/>
    <w:rsid w:val="009A5E47"/>
    <w:rsid w:val="009A7582"/>
    <w:rsid w:val="009A76C7"/>
    <w:rsid w:val="009B54C3"/>
    <w:rsid w:val="009B5E2A"/>
    <w:rsid w:val="009B6C09"/>
    <w:rsid w:val="009C00B4"/>
    <w:rsid w:val="009C38A9"/>
    <w:rsid w:val="009C4DC1"/>
    <w:rsid w:val="009C51FA"/>
    <w:rsid w:val="009C54BC"/>
    <w:rsid w:val="009C6186"/>
    <w:rsid w:val="009C6EBF"/>
    <w:rsid w:val="009C73B6"/>
    <w:rsid w:val="009C7BB1"/>
    <w:rsid w:val="009D1B8E"/>
    <w:rsid w:val="009D727B"/>
    <w:rsid w:val="009E05FB"/>
    <w:rsid w:val="009E0A66"/>
    <w:rsid w:val="009E2A70"/>
    <w:rsid w:val="009E2BC5"/>
    <w:rsid w:val="009E35E2"/>
    <w:rsid w:val="009F0FFB"/>
    <w:rsid w:val="009F1710"/>
    <w:rsid w:val="009F4046"/>
    <w:rsid w:val="009F5E7B"/>
    <w:rsid w:val="009F6438"/>
    <w:rsid w:val="00A04A5E"/>
    <w:rsid w:val="00A05C9F"/>
    <w:rsid w:val="00A111E8"/>
    <w:rsid w:val="00A1154D"/>
    <w:rsid w:val="00A126A8"/>
    <w:rsid w:val="00A13A75"/>
    <w:rsid w:val="00A14737"/>
    <w:rsid w:val="00A16C8C"/>
    <w:rsid w:val="00A20C75"/>
    <w:rsid w:val="00A21987"/>
    <w:rsid w:val="00A22D19"/>
    <w:rsid w:val="00A23E66"/>
    <w:rsid w:val="00A24C15"/>
    <w:rsid w:val="00A2527C"/>
    <w:rsid w:val="00A25357"/>
    <w:rsid w:val="00A2663E"/>
    <w:rsid w:val="00A27E02"/>
    <w:rsid w:val="00A3309C"/>
    <w:rsid w:val="00A37B35"/>
    <w:rsid w:val="00A414F4"/>
    <w:rsid w:val="00A43F90"/>
    <w:rsid w:val="00A46D10"/>
    <w:rsid w:val="00A479A8"/>
    <w:rsid w:val="00A50D9F"/>
    <w:rsid w:val="00A50E33"/>
    <w:rsid w:val="00A511DA"/>
    <w:rsid w:val="00A529AA"/>
    <w:rsid w:val="00A53265"/>
    <w:rsid w:val="00A534E0"/>
    <w:rsid w:val="00A55454"/>
    <w:rsid w:val="00A56062"/>
    <w:rsid w:val="00A56943"/>
    <w:rsid w:val="00A56EAA"/>
    <w:rsid w:val="00A57CBD"/>
    <w:rsid w:val="00A6081D"/>
    <w:rsid w:val="00A6301D"/>
    <w:rsid w:val="00A6420C"/>
    <w:rsid w:val="00A67135"/>
    <w:rsid w:val="00A674B0"/>
    <w:rsid w:val="00A67668"/>
    <w:rsid w:val="00A70541"/>
    <w:rsid w:val="00A70A18"/>
    <w:rsid w:val="00A71300"/>
    <w:rsid w:val="00A72BB1"/>
    <w:rsid w:val="00A72F60"/>
    <w:rsid w:val="00A7631B"/>
    <w:rsid w:val="00A76F05"/>
    <w:rsid w:val="00A80E31"/>
    <w:rsid w:val="00A81275"/>
    <w:rsid w:val="00A82DF5"/>
    <w:rsid w:val="00A845E0"/>
    <w:rsid w:val="00A85F26"/>
    <w:rsid w:val="00A87558"/>
    <w:rsid w:val="00A878BA"/>
    <w:rsid w:val="00A87AEA"/>
    <w:rsid w:val="00A91147"/>
    <w:rsid w:val="00A92AA9"/>
    <w:rsid w:val="00A95463"/>
    <w:rsid w:val="00A95C6E"/>
    <w:rsid w:val="00AA07AE"/>
    <w:rsid w:val="00AA0C31"/>
    <w:rsid w:val="00AA1160"/>
    <w:rsid w:val="00AA20FF"/>
    <w:rsid w:val="00AA278E"/>
    <w:rsid w:val="00AA3726"/>
    <w:rsid w:val="00AA5709"/>
    <w:rsid w:val="00AA63E6"/>
    <w:rsid w:val="00AA7C55"/>
    <w:rsid w:val="00AB0147"/>
    <w:rsid w:val="00AB192D"/>
    <w:rsid w:val="00AB3455"/>
    <w:rsid w:val="00AB68F8"/>
    <w:rsid w:val="00AB73DB"/>
    <w:rsid w:val="00AC1697"/>
    <w:rsid w:val="00AC1E0C"/>
    <w:rsid w:val="00AC24D1"/>
    <w:rsid w:val="00AC2822"/>
    <w:rsid w:val="00AC6346"/>
    <w:rsid w:val="00AC6709"/>
    <w:rsid w:val="00AD00E8"/>
    <w:rsid w:val="00AD0A75"/>
    <w:rsid w:val="00AD1D15"/>
    <w:rsid w:val="00AD2F24"/>
    <w:rsid w:val="00AD3530"/>
    <w:rsid w:val="00AD6A1C"/>
    <w:rsid w:val="00AE525A"/>
    <w:rsid w:val="00AE74EF"/>
    <w:rsid w:val="00AF0B9E"/>
    <w:rsid w:val="00AF1854"/>
    <w:rsid w:val="00AF1D47"/>
    <w:rsid w:val="00AF1E0F"/>
    <w:rsid w:val="00AF3D91"/>
    <w:rsid w:val="00AF47C1"/>
    <w:rsid w:val="00AF52E2"/>
    <w:rsid w:val="00AF7697"/>
    <w:rsid w:val="00B00252"/>
    <w:rsid w:val="00B04203"/>
    <w:rsid w:val="00B0682A"/>
    <w:rsid w:val="00B06F5C"/>
    <w:rsid w:val="00B12477"/>
    <w:rsid w:val="00B133FC"/>
    <w:rsid w:val="00B141FD"/>
    <w:rsid w:val="00B14442"/>
    <w:rsid w:val="00B14E0A"/>
    <w:rsid w:val="00B15C10"/>
    <w:rsid w:val="00B20C96"/>
    <w:rsid w:val="00B216EA"/>
    <w:rsid w:val="00B24A4C"/>
    <w:rsid w:val="00B25644"/>
    <w:rsid w:val="00B2633F"/>
    <w:rsid w:val="00B26FE6"/>
    <w:rsid w:val="00B27A54"/>
    <w:rsid w:val="00B30043"/>
    <w:rsid w:val="00B300D5"/>
    <w:rsid w:val="00B330C9"/>
    <w:rsid w:val="00B41F1F"/>
    <w:rsid w:val="00B42055"/>
    <w:rsid w:val="00B432E2"/>
    <w:rsid w:val="00B435A0"/>
    <w:rsid w:val="00B43BCA"/>
    <w:rsid w:val="00B43C29"/>
    <w:rsid w:val="00B456B8"/>
    <w:rsid w:val="00B47467"/>
    <w:rsid w:val="00B5023C"/>
    <w:rsid w:val="00B5469B"/>
    <w:rsid w:val="00B557A4"/>
    <w:rsid w:val="00B5708C"/>
    <w:rsid w:val="00B572A4"/>
    <w:rsid w:val="00B579D1"/>
    <w:rsid w:val="00B62EB1"/>
    <w:rsid w:val="00B63D91"/>
    <w:rsid w:val="00B66AE9"/>
    <w:rsid w:val="00B66FD1"/>
    <w:rsid w:val="00B70854"/>
    <w:rsid w:val="00B71B9E"/>
    <w:rsid w:val="00B72348"/>
    <w:rsid w:val="00B72530"/>
    <w:rsid w:val="00B72A9F"/>
    <w:rsid w:val="00B7329B"/>
    <w:rsid w:val="00B7362B"/>
    <w:rsid w:val="00B73D48"/>
    <w:rsid w:val="00B7447F"/>
    <w:rsid w:val="00B77009"/>
    <w:rsid w:val="00B77522"/>
    <w:rsid w:val="00B77C3E"/>
    <w:rsid w:val="00B809E9"/>
    <w:rsid w:val="00B818FF"/>
    <w:rsid w:val="00B84A6C"/>
    <w:rsid w:val="00B87656"/>
    <w:rsid w:val="00B920CF"/>
    <w:rsid w:val="00B93615"/>
    <w:rsid w:val="00B94F0D"/>
    <w:rsid w:val="00B9582B"/>
    <w:rsid w:val="00B96942"/>
    <w:rsid w:val="00BA386C"/>
    <w:rsid w:val="00BA3AD7"/>
    <w:rsid w:val="00BB05B5"/>
    <w:rsid w:val="00BB0D55"/>
    <w:rsid w:val="00BB0D65"/>
    <w:rsid w:val="00BB1C2F"/>
    <w:rsid w:val="00BB2511"/>
    <w:rsid w:val="00BB37AC"/>
    <w:rsid w:val="00BB4153"/>
    <w:rsid w:val="00BB6364"/>
    <w:rsid w:val="00BB6ECD"/>
    <w:rsid w:val="00BB7A78"/>
    <w:rsid w:val="00BB7BDD"/>
    <w:rsid w:val="00BC0D81"/>
    <w:rsid w:val="00BC30E5"/>
    <w:rsid w:val="00BC329F"/>
    <w:rsid w:val="00BC435C"/>
    <w:rsid w:val="00BD108D"/>
    <w:rsid w:val="00BD3346"/>
    <w:rsid w:val="00BD476F"/>
    <w:rsid w:val="00BD58F3"/>
    <w:rsid w:val="00BD5B41"/>
    <w:rsid w:val="00BD615E"/>
    <w:rsid w:val="00BD6FC5"/>
    <w:rsid w:val="00BE069D"/>
    <w:rsid w:val="00BE30AF"/>
    <w:rsid w:val="00BE32B3"/>
    <w:rsid w:val="00BE646E"/>
    <w:rsid w:val="00BE725B"/>
    <w:rsid w:val="00BE7474"/>
    <w:rsid w:val="00BE74DF"/>
    <w:rsid w:val="00BE7E7F"/>
    <w:rsid w:val="00BF0E5F"/>
    <w:rsid w:val="00BF1D2B"/>
    <w:rsid w:val="00BF2C3D"/>
    <w:rsid w:val="00BF6705"/>
    <w:rsid w:val="00C026B9"/>
    <w:rsid w:val="00C02EDD"/>
    <w:rsid w:val="00C0343A"/>
    <w:rsid w:val="00C03F0E"/>
    <w:rsid w:val="00C040F7"/>
    <w:rsid w:val="00C05683"/>
    <w:rsid w:val="00C05EB0"/>
    <w:rsid w:val="00C06184"/>
    <w:rsid w:val="00C11FF9"/>
    <w:rsid w:val="00C13D34"/>
    <w:rsid w:val="00C1518F"/>
    <w:rsid w:val="00C15733"/>
    <w:rsid w:val="00C17178"/>
    <w:rsid w:val="00C21E13"/>
    <w:rsid w:val="00C23F9C"/>
    <w:rsid w:val="00C242B5"/>
    <w:rsid w:val="00C24702"/>
    <w:rsid w:val="00C25BC1"/>
    <w:rsid w:val="00C318D1"/>
    <w:rsid w:val="00C31A91"/>
    <w:rsid w:val="00C31A9B"/>
    <w:rsid w:val="00C321D0"/>
    <w:rsid w:val="00C326FF"/>
    <w:rsid w:val="00C32C2D"/>
    <w:rsid w:val="00C33EFD"/>
    <w:rsid w:val="00C34BDC"/>
    <w:rsid w:val="00C356CB"/>
    <w:rsid w:val="00C3572B"/>
    <w:rsid w:val="00C35F6D"/>
    <w:rsid w:val="00C3656C"/>
    <w:rsid w:val="00C368CA"/>
    <w:rsid w:val="00C37332"/>
    <w:rsid w:val="00C410B6"/>
    <w:rsid w:val="00C43F5A"/>
    <w:rsid w:val="00C4486A"/>
    <w:rsid w:val="00C46BB2"/>
    <w:rsid w:val="00C50188"/>
    <w:rsid w:val="00C51800"/>
    <w:rsid w:val="00C518A3"/>
    <w:rsid w:val="00C52451"/>
    <w:rsid w:val="00C527E7"/>
    <w:rsid w:val="00C53022"/>
    <w:rsid w:val="00C54C23"/>
    <w:rsid w:val="00C550E9"/>
    <w:rsid w:val="00C55C23"/>
    <w:rsid w:val="00C61060"/>
    <w:rsid w:val="00C6126B"/>
    <w:rsid w:val="00C614CB"/>
    <w:rsid w:val="00C63003"/>
    <w:rsid w:val="00C64B53"/>
    <w:rsid w:val="00C6577D"/>
    <w:rsid w:val="00C658B3"/>
    <w:rsid w:val="00C663D1"/>
    <w:rsid w:val="00C66A3D"/>
    <w:rsid w:val="00C70B9A"/>
    <w:rsid w:val="00C711BB"/>
    <w:rsid w:val="00C745EF"/>
    <w:rsid w:val="00C758E7"/>
    <w:rsid w:val="00C8048F"/>
    <w:rsid w:val="00C80C37"/>
    <w:rsid w:val="00C81B3C"/>
    <w:rsid w:val="00C82910"/>
    <w:rsid w:val="00C83FD8"/>
    <w:rsid w:val="00C8605F"/>
    <w:rsid w:val="00C877BD"/>
    <w:rsid w:val="00C87CF1"/>
    <w:rsid w:val="00C90696"/>
    <w:rsid w:val="00C90E31"/>
    <w:rsid w:val="00C91739"/>
    <w:rsid w:val="00C91A21"/>
    <w:rsid w:val="00C92AC6"/>
    <w:rsid w:val="00C94569"/>
    <w:rsid w:val="00C96DC9"/>
    <w:rsid w:val="00C97FF7"/>
    <w:rsid w:val="00CA0018"/>
    <w:rsid w:val="00CA08D7"/>
    <w:rsid w:val="00CA247A"/>
    <w:rsid w:val="00CA299B"/>
    <w:rsid w:val="00CA2A6D"/>
    <w:rsid w:val="00CA4127"/>
    <w:rsid w:val="00CA51BF"/>
    <w:rsid w:val="00CA5A22"/>
    <w:rsid w:val="00CA6D8B"/>
    <w:rsid w:val="00CA7D3C"/>
    <w:rsid w:val="00CB6CC4"/>
    <w:rsid w:val="00CB7513"/>
    <w:rsid w:val="00CC03FB"/>
    <w:rsid w:val="00CC1044"/>
    <w:rsid w:val="00CC1273"/>
    <w:rsid w:val="00CC21F5"/>
    <w:rsid w:val="00CC2C2B"/>
    <w:rsid w:val="00CC4A5C"/>
    <w:rsid w:val="00CC5A1D"/>
    <w:rsid w:val="00CC622F"/>
    <w:rsid w:val="00CC6D15"/>
    <w:rsid w:val="00CC7FF7"/>
    <w:rsid w:val="00CD2454"/>
    <w:rsid w:val="00CD32D7"/>
    <w:rsid w:val="00CD3879"/>
    <w:rsid w:val="00CD5860"/>
    <w:rsid w:val="00CD6061"/>
    <w:rsid w:val="00CD684D"/>
    <w:rsid w:val="00CD69F2"/>
    <w:rsid w:val="00CD7349"/>
    <w:rsid w:val="00CE0F17"/>
    <w:rsid w:val="00CE1E1F"/>
    <w:rsid w:val="00CE44CB"/>
    <w:rsid w:val="00CE6114"/>
    <w:rsid w:val="00CE67BD"/>
    <w:rsid w:val="00CE7728"/>
    <w:rsid w:val="00CF0B14"/>
    <w:rsid w:val="00CF250E"/>
    <w:rsid w:val="00CF3255"/>
    <w:rsid w:val="00CF3FAD"/>
    <w:rsid w:val="00CF4DDD"/>
    <w:rsid w:val="00D010DC"/>
    <w:rsid w:val="00D012F9"/>
    <w:rsid w:val="00D01D8A"/>
    <w:rsid w:val="00D02C9A"/>
    <w:rsid w:val="00D0480E"/>
    <w:rsid w:val="00D04AE2"/>
    <w:rsid w:val="00D053F3"/>
    <w:rsid w:val="00D0687C"/>
    <w:rsid w:val="00D1316D"/>
    <w:rsid w:val="00D13B88"/>
    <w:rsid w:val="00D1520A"/>
    <w:rsid w:val="00D15924"/>
    <w:rsid w:val="00D160EE"/>
    <w:rsid w:val="00D211C6"/>
    <w:rsid w:val="00D21907"/>
    <w:rsid w:val="00D21C31"/>
    <w:rsid w:val="00D22A9E"/>
    <w:rsid w:val="00D22EF1"/>
    <w:rsid w:val="00D23444"/>
    <w:rsid w:val="00D2451E"/>
    <w:rsid w:val="00D252A9"/>
    <w:rsid w:val="00D2593E"/>
    <w:rsid w:val="00D25DE4"/>
    <w:rsid w:val="00D27004"/>
    <w:rsid w:val="00D27A59"/>
    <w:rsid w:val="00D32F4E"/>
    <w:rsid w:val="00D33FB3"/>
    <w:rsid w:val="00D368C9"/>
    <w:rsid w:val="00D4027F"/>
    <w:rsid w:val="00D41FEE"/>
    <w:rsid w:val="00D42389"/>
    <w:rsid w:val="00D4304F"/>
    <w:rsid w:val="00D471C1"/>
    <w:rsid w:val="00D471D2"/>
    <w:rsid w:val="00D505DE"/>
    <w:rsid w:val="00D51FB9"/>
    <w:rsid w:val="00D52469"/>
    <w:rsid w:val="00D55A36"/>
    <w:rsid w:val="00D55A93"/>
    <w:rsid w:val="00D6032D"/>
    <w:rsid w:val="00D60FF0"/>
    <w:rsid w:val="00D62A08"/>
    <w:rsid w:val="00D65408"/>
    <w:rsid w:val="00D6567F"/>
    <w:rsid w:val="00D67901"/>
    <w:rsid w:val="00D72D6C"/>
    <w:rsid w:val="00D746E0"/>
    <w:rsid w:val="00D75DB6"/>
    <w:rsid w:val="00D770FE"/>
    <w:rsid w:val="00D77CB0"/>
    <w:rsid w:val="00D80468"/>
    <w:rsid w:val="00D80BB1"/>
    <w:rsid w:val="00D80CCB"/>
    <w:rsid w:val="00D80F80"/>
    <w:rsid w:val="00D812C3"/>
    <w:rsid w:val="00D81395"/>
    <w:rsid w:val="00D81DC3"/>
    <w:rsid w:val="00D82C99"/>
    <w:rsid w:val="00D85472"/>
    <w:rsid w:val="00D8601C"/>
    <w:rsid w:val="00D92B87"/>
    <w:rsid w:val="00D93D30"/>
    <w:rsid w:val="00D95806"/>
    <w:rsid w:val="00D95B7E"/>
    <w:rsid w:val="00D97699"/>
    <w:rsid w:val="00DA3467"/>
    <w:rsid w:val="00DA398E"/>
    <w:rsid w:val="00DA3F14"/>
    <w:rsid w:val="00DA50AC"/>
    <w:rsid w:val="00DA6CB5"/>
    <w:rsid w:val="00DB0B14"/>
    <w:rsid w:val="00DB3645"/>
    <w:rsid w:val="00DB4410"/>
    <w:rsid w:val="00DB5946"/>
    <w:rsid w:val="00DC21FC"/>
    <w:rsid w:val="00DC3F40"/>
    <w:rsid w:val="00DC4D61"/>
    <w:rsid w:val="00DC54AC"/>
    <w:rsid w:val="00DC6232"/>
    <w:rsid w:val="00DD1477"/>
    <w:rsid w:val="00DD17D1"/>
    <w:rsid w:val="00DD36A5"/>
    <w:rsid w:val="00DD4D4F"/>
    <w:rsid w:val="00DD6C70"/>
    <w:rsid w:val="00DD6DF8"/>
    <w:rsid w:val="00DD7543"/>
    <w:rsid w:val="00DD7E48"/>
    <w:rsid w:val="00DE210A"/>
    <w:rsid w:val="00DE4D65"/>
    <w:rsid w:val="00DE6999"/>
    <w:rsid w:val="00DE6C90"/>
    <w:rsid w:val="00DE7B48"/>
    <w:rsid w:val="00DF08E4"/>
    <w:rsid w:val="00DF2A77"/>
    <w:rsid w:val="00DF3AC4"/>
    <w:rsid w:val="00DF4BF5"/>
    <w:rsid w:val="00DF5795"/>
    <w:rsid w:val="00DF5D30"/>
    <w:rsid w:val="00E00786"/>
    <w:rsid w:val="00E014E1"/>
    <w:rsid w:val="00E02CEF"/>
    <w:rsid w:val="00E0547D"/>
    <w:rsid w:val="00E14A8C"/>
    <w:rsid w:val="00E156AA"/>
    <w:rsid w:val="00E161A2"/>
    <w:rsid w:val="00E164A1"/>
    <w:rsid w:val="00E1679F"/>
    <w:rsid w:val="00E16F76"/>
    <w:rsid w:val="00E17DF0"/>
    <w:rsid w:val="00E23438"/>
    <w:rsid w:val="00E24616"/>
    <w:rsid w:val="00E24E29"/>
    <w:rsid w:val="00E25004"/>
    <w:rsid w:val="00E25BB3"/>
    <w:rsid w:val="00E27CBB"/>
    <w:rsid w:val="00E3189E"/>
    <w:rsid w:val="00E33D58"/>
    <w:rsid w:val="00E34BBA"/>
    <w:rsid w:val="00E379D6"/>
    <w:rsid w:val="00E37AA5"/>
    <w:rsid w:val="00E4059B"/>
    <w:rsid w:val="00E43618"/>
    <w:rsid w:val="00E45C44"/>
    <w:rsid w:val="00E50058"/>
    <w:rsid w:val="00E51A45"/>
    <w:rsid w:val="00E52236"/>
    <w:rsid w:val="00E5321F"/>
    <w:rsid w:val="00E57A3B"/>
    <w:rsid w:val="00E60DD0"/>
    <w:rsid w:val="00E60F08"/>
    <w:rsid w:val="00E61553"/>
    <w:rsid w:val="00E643EB"/>
    <w:rsid w:val="00E66484"/>
    <w:rsid w:val="00E7289A"/>
    <w:rsid w:val="00E7377F"/>
    <w:rsid w:val="00E80111"/>
    <w:rsid w:val="00E82099"/>
    <w:rsid w:val="00E82101"/>
    <w:rsid w:val="00E82464"/>
    <w:rsid w:val="00E82CED"/>
    <w:rsid w:val="00E84760"/>
    <w:rsid w:val="00E8488E"/>
    <w:rsid w:val="00E878E2"/>
    <w:rsid w:val="00E928C0"/>
    <w:rsid w:val="00E92924"/>
    <w:rsid w:val="00E95F9F"/>
    <w:rsid w:val="00E960F0"/>
    <w:rsid w:val="00E96EAE"/>
    <w:rsid w:val="00E96FBD"/>
    <w:rsid w:val="00E97DC5"/>
    <w:rsid w:val="00EA0910"/>
    <w:rsid w:val="00EA0BDD"/>
    <w:rsid w:val="00EA3857"/>
    <w:rsid w:val="00EA4FAF"/>
    <w:rsid w:val="00EA5E78"/>
    <w:rsid w:val="00EB07DD"/>
    <w:rsid w:val="00EB12E1"/>
    <w:rsid w:val="00EB34E6"/>
    <w:rsid w:val="00EB4705"/>
    <w:rsid w:val="00EB4AC9"/>
    <w:rsid w:val="00EB523A"/>
    <w:rsid w:val="00EB681B"/>
    <w:rsid w:val="00EB6842"/>
    <w:rsid w:val="00EB6DF2"/>
    <w:rsid w:val="00EB7087"/>
    <w:rsid w:val="00EC04C7"/>
    <w:rsid w:val="00EC131B"/>
    <w:rsid w:val="00EC2D48"/>
    <w:rsid w:val="00EC40BC"/>
    <w:rsid w:val="00EC431E"/>
    <w:rsid w:val="00EC5833"/>
    <w:rsid w:val="00EC796C"/>
    <w:rsid w:val="00ED149D"/>
    <w:rsid w:val="00ED1620"/>
    <w:rsid w:val="00ED18F2"/>
    <w:rsid w:val="00ED35E8"/>
    <w:rsid w:val="00ED5A03"/>
    <w:rsid w:val="00ED5FA6"/>
    <w:rsid w:val="00ED5FDB"/>
    <w:rsid w:val="00ED6574"/>
    <w:rsid w:val="00EE03C1"/>
    <w:rsid w:val="00EE0814"/>
    <w:rsid w:val="00EE0D38"/>
    <w:rsid w:val="00EE0FB5"/>
    <w:rsid w:val="00EE23A8"/>
    <w:rsid w:val="00EE2A14"/>
    <w:rsid w:val="00EE3D3D"/>
    <w:rsid w:val="00EE42D5"/>
    <w:rsid w:val="00EE758D"/>
    <w:rsid w:val="00EF3688"/>
    <w:rsid w:val="00EF461A"/>
    <w:rsid w:val="00EF48CA"/>
    <w:rsid w:val="00EF52B0"/>
    <w:rsid w:val="00EF5BBF"/>
    <w:rsid w:val="00F004A6"/>
    <w:rsid w:val="00F01357"/>
    <w:rsid w:val="00F03050"/>
    <w:rsid w:val="00F04A8B"/>
    <w:rsid w:val="00F062E3"/>
    <w:rsid w:val="00F117BC"/>
    <w:rsid w:val="00F11A2C"/>
    <w:rsid w:val="00F11A5D"/>
    <w:rsid w:val="00F12FA7"/>
    <w:rsid w:val="00F15611"/>
    <w:rsid w:val="00F20097"/>
    <w:rsid w:val="00F2153C"/>
    <w:rsid w:val="00F226A7"/>
    <w:rsid w:val="00F228F9"/>
    <w:rsid w:val="00F31154"/>
    <w:rsid w:val="00F31EF4"/>
    <w:rsid w:val="00F32A58"/>
    <w:rsid w:val="00F32D69"/>
    <w:rsid w:val="00F32F1D"/>
    <w:rsid w:val="00F33340"/>
    <w:rsid w:val="00F338AE"/>
    <w:rsid w:val="00F33EB5"/>
    <w:rsid w:val="00F364E7"/>
    <w:rsid w:val="00F40348"/>
    <w:rsid w:val="00F40453"/>
    <w:rsid w:val="00F40607"/>
    <w:rsid w:val="00F41FF9"/>
    <w:rsid w:val="00F43CCA"/>
    <w:rsid w:val="00F44804"/>
    <w:rsid w:val="00F451DA"/>
    <w:rsid w:val="00F4568D"/>
    <w:rsid w:val="00F470BB"/>
    <w:rsid w:val="00F506B9"/>
    <w:rsid w:val="00F512B7"/>
    <w:rsid w:val="00F51B8E"/>
    <w:rsid w:val="00F523B7"/>
    <w:rsid w:val="00F533ED"/>
    <w:rsid w:val="00F55FD6"/>
    <w:rsid w:val="00F5672D"/>
    <w:rsid w:val="00F57FF3"/>
    <w:rsid w:val="00F613E5"/>
    <w:rsid w:val="00F636D0"/>
    <w:rsid w:val="00F63F90"/>
    <w:rsid w:val="00F64FB8"/>
    <w:rsid w:val="00F66297"/>
    <w:rsid w:val="00F66FFC"/>
    <w:rsid w:val="00F718A5"/>
    <w:rsid w:val="00F71C68"/>
    <w:rsid w:val="00F73951"/>
    <w:rsid w:val="00F75746"/>
    <w:rsid w:val="00F77243"/>
    <w:rsid w:val="00F77D94"/>
    <w:rsid w:val="00F8137E"/>
    <w:rsid w:val="00F81B27"/>
    <w:rsid w:val="00F81D10"/>
    <w:rsid w:val="00F8381E"/>
    <w:rsid w:val="00F8527A"/>
    <w:rsid w:val="00F8622D"/>
    <w:rsid w:val="00F86986"/>
    <w:rsid w:val="00F8699B"/>
    <w:rsid w:val="00F913FD"/>
    <w:rsid w:val="00F918FF"/>
    <w:rsid w:val="00F94BBE"/>
    <w:rsid w:val="00F96263"/>
    <w:rsid w:val="00F96FEC"/>
    <w:rsid w:val="00F972DD"/>
    <w:rsid w:val="00FA0CB8"/>
    <w:rsid w:val="00FA21A5"/>
    <w:rsid w:val="00FA35B5"/>
    <w:rsid w:val="00FA6FAF"/>
    <w:rsid w:val="00FA771D"/>
    <w:rsid w:val="00FB0B67"/>
    <w:rsid w:val="00FB0D06"/>
    <w:rsid w:val="00FB2D19"/>
    <w:rsid w:val="00FB2F18"/>
    <w:rsid w:val="00FB53AD"/>
    <w:rsid w:val="00FB7A96"/>
    <w:rsid w:val="00FC1EC2"/>
    <w:rsid w:val="00FC54EC"/>
    <w:rsid w:val="00FC55FD"/>
    <w:rsid w:val="00FC7D10"/>
    <w:rsid w:val="00FD3A36"/>
    <w:rsid w:val="00FD4D69"/>
    <w:rsid w:val="00FD6CB6"/>
    <w:rsid w:val="00FD7E2A"/>
    <w:rsid w:val="00FE0F40"/>
    <w:rsid w:val="00FE1993"/>
    <w:rsid w:val="00FE2D24"/>
    <w:rsid w:val="00FE300C"/>
    <w:rsid w:val="00FE716C"/>
    <w:rsid w:val="00FF06A5"/>
    <w:rsid w:val="00FF06DE"/>
    <w:rsid w:val="00FF06E4"/>
    <w:rsid w:val="00FF1D95"/>
    <w:rsid w:val="00FF1E99"/>
    <w:rsid w:val="00FF355F"/>
    <w:rsid w:val="00FF48E6"/>
    <w:rsid w:val="00FF594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uiPriority="99"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envelope return" w:uiPriority="99"/>
    <w:lsdException w:name="annotation reference" w:uiPriority="99"/>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894"/>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1">
    <w:name w:val="heading 1"/>
    <w:basedOn w:val="Normal"/>
    <w:next w:val="Normal"/>
    <w:link w:val="Heading1Char"/>
    <w:uiPriority w:val="9"/>
    <w:qFormat/>
    <w:rsid w:val="007F013F"/>
    <w:pPr>
      <w:keepNext/>
      <w:spacing w:before="240" w:after="60"/>
      <w:jc w:val="left"/>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97699"/>
    <w:pPr>
      <w:keepNext/>
      <w:keepLines/>
      <w:spacing w:before="200"/>
      <w:jc w:val="left"/>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5023C"/>
    <w:pPr>
      <w:keepNext/>
      <w:numPr>
        <w:numId w:val="1"/>
      </w:numPr>
      <w:tabs>
        <w:tab w:val="num" w:pos="720"/>
      </w:tabs>
      <w:ind w:left="720" w:hanging="720"/>
      <w:jc w:val="both"/>
      <w:outlineLvl w:val="2"/>
    </w:pPr>
    <w:rPr>
      <w:rFonts w:ascii="Times New Roman" w:eastAsia="Arial Unicode MS" w:hAnsi="Times New Roman"/>
      <w:b/>
      <w:bCs/>
      <w:szCs w:val="28"/>
      <w:lang w:eastAsia="cs-CZ"/>
    </w:rPr>
  </w:style>
  <w:style w:type="paragraph" w:styleId="Heading7">
    <w:name w:val="heading 7"/>
    <w:basedOn w:val="Normal"/>
    <w:next w:val="Normal"/>
    <w:link w:val="Heading7Char"/>
    <w:uiPriority w:val="99"/>
    <w:qFormat/>
    <w:rsid w:val="00B5023C"/>
    <w:pPr>
      <w:keepNext/>
      <w:jc w:val="center"/>
      <w:outlineLvl w:val="6"/>
    </w:pPr>
    <w:rPr>
      <w:b/>
      <w:bCs/>
      <w:szCs w:val="28"/>
      <w:lang w:eastAsia="cs-CZ"/>
    </w:rPr>
  </w:style>
  <w:style w:type="paragraph" w:styleId="Heading8">
    <w:name w:val="heading 8"/>
    <w:basedOn w:val="Normal"/>
    <w:next w:val="Normal"/>
    <w:link w:val="Heading8Char"/>
    <w:uiPriority w:val="99"/>
    <w:qFormat/>
    <w:rsid w:val="00B5023C"/>
    <w:pPr>
      <w:keepNext/>
      <w:jc w:val="center"/>
      <w:outlineLvl w:val="7"/>
    </w:pPr>
    <w:rPr>
      <w:szCs w:val="2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7F013F"/>
    <w:rPr>
      <w:rFonts w:ascii="Cambria" w:hAnsi="Cambria" w:cs="Cambria"/>
      <w:b/>
      <w:kern w:val="32"/>
      <w:sz w:val="32"/>
    </w:rPr>
  </w:style>
  <w:style w:type="character" w:customStyle="1" w:styleId="Heading2Char">
    <w:name w:val="Heading 2 Char"/>
    <w:link w:val="Heading2"/>
    <w:uiPriority w:val="9"/>
    <w:semiHidden/>
    <w:locked/>
    <w:rsid w:val="00D97699"/>
    <w:rPr>
      <w:rFonts w:ascii="Cambria" w:hAnsi="Cambria" w:cs="Cambria"/>
      <w:b/>
      <w:color w:val="4F81BD"/>
      <w:sz w:val="26"/>
    </w:rPr>
  </w:style>
  <w:style w:type="character" w:customStyle="1" w:styleId="Heading3Char">
    <w:name w:val="Heading 3 Char"/>
    <w:link w:val="Heading3"/>
    <w:uiPriority w:val="99"/>
    <w:locked/>
    <w:rsid w:val="00B5023C"/>
    <w:rPr>
      <w:rFonts w:eastAsia="Arial Unicode MS"/>
      <w:b/>
      <w:sz w:val="28"/>
      <w:lang w:val="x-none" w:eastAsia="cs-CZ"/>
    </w:rPr>
  </w:style>
  <w:style w:type="character" w:customStyle="1" w:styleId="Heading7Char">
    <w:name w:val="Heading 7 Char"/>
    <w:link w:val="Heading7"/>
    <w:uiPriority w:val="99"/>
    <w:locked/>
    <w:rsid w:val="00B5023C"/>
    <w:rPr>
      <w:b/>
      <w:sz w:val="28"/>
      <w:lang w:val="x-none" w:eastAsia="cs-CZ"/>
    </w:rPr>
  </w:style>
  <w:style w:type="character" w:customStyle="1" w:styleId="Heading8Char">
    <w:name w:val="Heading 8 Char"/>
    <w:link w:val="Heading8"/>
    <w:uiPriority w:val="99"/>
    <w:locked/>
    <w:rsid w:val="00B5023C"/>
    <w:rPr>
      <w:sz w:val="28"/>
      <w:lang w:val="x-none" w:eastAsia="cs-CZ"/>
    </w:rPr>
  </w:style>
  <w:style w:type="paragraph" w:styleId="EnvelopeReturn">
    <w:name w:val="envelope return"/>
    <w:basedOn w:val="Normal"/>
    <w:uiPriority w:val="99"/>
    <w:rsid w:val="00B5023C"/>
    <w:pPr>
      <w:jc w:val="left"/>
    </w:pPr>
    <w:rPr>
      <w:b/>
      <w:bCs/>
      <w:color w:val="000000"/>
      <w:sz w:val="20"/>
      <w:szCs w:val="20"/>
      <w:lang w:eastAsia="cs-CZ"/>
    </w:rPr>
  </w:style>
  <w:style w:type="paragraph" w:styleId="Header">
    <w:name w:val="header"/>
    <w:basedOn w:val="Normal"/>
    <w:link w:val="HeaderChar"/>
    <w:uiPriority w:val="99"/>
    <w:rsid w:val="00123B56"/>
    <w:pPr>
      <w:tabs>
        <w:tab w:val="center" w:pos="4536"/>
        <w:tab w:val="right" w:pos="9072"/>
      </w:tabs>
      <w:jc w:val="left"/>
    </w:pPr>
  </w:style>
  <w:style w:type="character" w:customStyle="1" w:styleId="HeaderChar">
    <w:name w:val="Header Char"/>
    <w:link w:val="Header"/>
    <w:uiPriority w:val="99"/>
    <w:locked/>
    <w:rsid w:val="00123B56"/>
    <w:rPr>
      <w:sz w:val="24"/>
    </w:rPr>
  </w:style>
  <w:style w:type="paragraph" w:styleId="Footer">
    <w:name w:val="footer"/>
    <w:basedOn w:val="Normal"/>
    <w:link w:val="FooterChar"/>
    <w:uiPriority w:val="99"/>
    <w:rsid w:val="00123B56"/>
    <w:pPr>
      <w:tabs>
        <w:tab w:val="center" w:pos="4536"/>
        <w:tab w:val="right" w:pos="9072"/>
      </w:tabs>
      <w:jc w:val="left"/>
    </w:pPr>
  </w:style>
  <w:style w:type="character" w:customStyle="1" w:styleId="FooterChar">
    <w:name w:val="Footer Char"/>
    <w:link w:val="Footer"/>
    <w:uiPriority w:val="99"/>
    <w:locked/>
    <w:rsid w:val="00123B56"/>
    <w:rPr>
      <w:sz w:val="24"/>
    </w:rPr>
  </w:style>
  <w:style w:type="table" w:styleId="TableGrid">
    <w:name w:val="Table Grid"/>
    <w:basedOn w:val="TableNormal"/>
    <w:uiPriority w:val="59"/>
    <w:rsid w:val="003C6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kazkladnhotextu1">
    <w:name w:val="Zarážka základného textu1"/>
    <w:basedOn w:val="Normal"/>
    <w:rsid w:val="00344267"/>
    <w:pPr>
      <w:ind w:left="360"/>
      <w:jc w:val="center"/>
    </w:pPr>
    <w:rPr>
      <w:sz w:val="24"/>
    </w:rPr>
  </w:style>
  <w:style w:type="paragraph" w:styleId="BodyTextIndent2">
    <w:name w:val="Body Text Indent 2"/>
    <w:basedOn w:val="Normal"/>
    <w:link w:val="BodyTextIndent2Char"/>
    <w:uiPriority w:val="99"/>
    <w:rsid w:val="004E6C01"/>
    <w:pPr>
      <w:spacing w:after="120" w:line="480" w:lineRule="auto"/>
      <w:ind w:left="283"/>
      <w:jc w:val="both"/>
    </w:pPr>
    <w:rPr>
      <w:sz w:val="24"/>
    </w:rPr>
  </w:style>
  <w:style w:type="character" w:customStyle="1" w:styleId="BodyTextIndent2Char">
    <w:name w:val="Body Text Indent 2 Char"/>
    <w:link w:val="BodyTextIndent2"/>
    <w:uiPriority w:val="99"/>
    <w:locked/>
    <w:rsid w:val="004E6C01"/>
    <w:rPr>
      <w:sz w:val="24"/>
    </w:rPr>
  </w:style>
  <w:style w:type="paragraph" w:styleId="ListParagraph">
    <w:name w:val="List Paragraph"/>
    <w:basedOn w:val="Normal"/>
    <w:uiPriority w:val="34"/>
    <w:qFormat/>
    <w:rsid w:val="00186BBE"/>
    <w:pPr>
      <w:ind w:left="720"/>
      <w:contextualSpacing/>
      <w:jc w:val="both"/>
    </w:pPr>
    <w:rPr>
      <w:sz w:val="24"/>
    </w:rPr>
  </w:style>
  <w:style w:type="character" w:styleId="CommentReference">
    <w:name w:val="annotation reference"/>
    <w:uiPriority w:val="99"/>
    <w:rsid w:val="00FF48E6"/>
    <w:rPr>
      <w:sz w:val="16"/>
    </w:rPr>
  </w:style>
  <w:style w:type="paragraph" w:styleId="CommentText">
    <w:name w:val="annotation text"/>
    <w:basedOn w:val="Normal"/>
    <w:link w:val="CommentTextChar"/>
    <w:uiPriority w:val="99"/>
    <w:rsid w:val="00FF48E6"/>
    <w:pPr>
      <w:jc w:val="both"/>
    </w:pPr>
    <w:rPr>
      <w:sz w:val="20"/>
      <w:szCs w:val="20"/>
    </w:rPr>
  </w:style>
  <w:style w:type="character" w:customStyle="1" w:styleId="CommentTextChar">
    <w:name w:val="Comment Text Char"/>
    <w:link w:val="CommentText"/>
    <w:uiPriority w:val="99"/>
    <w:locked/>
    <w:rsid w:val="00FF48E6"/>
  </w:style>
  <w:style w:type="paragraph" w:styleId="BalloonText">
    <w:name w:val="Balloon Text"/>
    <w:basedOn w:val="Normal"/>
    <w:link w:val="BalloonTextChar"/>
    <w:uiPriority w:val="99"/>
    <w:rsid w:val="00FF48E6"/>
    <w:pPr>
      <w:jc w:val="left"/>
    </w:pPr>
    <w:rPr>
      <w:rFonts w:ascii="Tahoma" w:hAnsi="Tahoma" w:cs="Tahoma"/>
      <w:sz w:val="16"/>
      <w:szCs w:val="16"/>
    </w:rPr>
  </w:style>
  <w:style w:type="character" w:customStyle="1" w:styleId="BalloonTextChar">
    <w:name w:val="Balloon Text Char"/>
    <w:link w:val="BalloonText"/>
    <w:uiPriority w:val="99"/>
    <w:locked/>
    <w:rsid w:val="00FF48E6"/>
    <w:rPr>
      <w:rFonts w:ascii="Tahoma" w:hAnsi="Tahoma" w:cs="Tahoma"/>
      <w:sz w:val="16"/>
    </w:rPr>
  </w:style>
  <w:style w:type="character" w:customStyle="1" w:styleId="ppp-input-value1">
    <w:name w:val="ppp-input-value1"/>
    <w:uiPriority w:val="99"/>
    <w:rsid w:val="000078CA"/>
    <w:rPr>
      <w:rFonts w:ascii="Tahoma" w:hAnsi="Tahoma" w:cs="Tahoma"/>
      <w:color w:val="837A73"/>
      <w:sz w:val="16"/>
    </w:rPr>
  </w:style>
  <w:style w:type="paragraph" w:styleId="NormalWeb">
    <w:name w:val="Normal (Web)"/>
    <w:basedOn w:val="Normal"/>
    <w:uiPriority w:val="99"/>
    <w:unhideWhenUsed/>
    <w:rsid w:val="004B1BB9"/>
    <w:pPr>
      <w:spacing w:before="150" w:after="150"/>
      <w:ind w:left="675" w:right="525"/>
      <w:jc w:val="left"/>
    </w:pPr>
    <w:rPr>
      <w:sz w:val="19"/>
      <w:szCs w:val="19"/>
    </w:rPr>
  </w:style>
  <w:style w:type="character" w:styleId="Strong">
    <w:name w:val="Strong"/>
    <w:uiPriority w:val="22"/>
    <w:qFormat/>
    <w:rsid w:val="004B1BB9"/>
    <w:rPr>
      <w:b/>
    </w:rPr>
  </w:style>
  <w:style w:type="paragraph" w:styleId="BodyText">
    <w:name w:val="Body Text"/>
    <w:basedOn w:val="Normal"/>
    <w:link w:val="BodyTextChar"/>
    <w:uiPriority w:val="99"/>
    <w:rsid w:val="00170D33"/>
    <w:pPr>
      <w:spacing w:after="120"/>
      <w:jc w:val="left"/>
    </w:pPr>
  </w:style>
  <w:style w:type="character" w:customStyle="1" w:styleId="BodyTextChar">
    <w:name w:val="Body Text Char"/>
    <w:link w:val="BodyText"/>
    <w:uiPriority w:val="99"/>
    <w:locked/>
    <w:rsid w:val="00170D33"/>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2536</Words>
  <Characters>14460</Characters>
  <Application>Microsoft Office Word</Application>
  <DocSecurity>0</DocSecurity>
  <Lines>0</Lines>
  <Paragraphs>0</Paragraphs>
  <ScaleCrop>false</ScaleCrop>
  <Company>MZ SR</Company>
  <LinksUpToDate>false</LinksUpToDate>
  <CharactersWithSpaces>16963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Gašparíková, Jarmila</dc:creator>
  <cp:lastModifiedBy>Gašparíková, Jarmila</cp:lastModifiedBy>
  <cp:revision>2</cp:revision>
  <dcterms:created xsi:type="dcterms:W3CDTF">2013-04-25T14:57:00Z</dcterms:created>
  <dcterms:modified xsi:type="dcterms:W3CDTF">2013-04-25T14:57:00Z</dcterms:modified>
</cp:coreProperties>
</file>