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10DD2" w:rsidRPr="0084290D" w:rsidP="00D10DD2">
      <w:pPr>
        <w:bidi w:val="0"/>
        <w:jc w:val="center"/>
        <w:rPr>
          <w:rFonts w:ascii="Times New Roman" w:hAnsi="Times New Roman"/>
          <w:b/>
          <w:bCs/>
          <w:caps/>
          <w:spacing w:val="30"/>
        </w:rPr>
      </w:pPr>
      <w:r w:rsidRPr="0084290D">
        <w:rPr>
          <w:rFonts w:ascii="Times New Roman" w:hAnsi="Times New Roman"/>
          <w:b/>
          <w:bCs/>
          <w:caps/>
          <w:spacing w:val="30"/>
        </w:rPr>
        <w:t>Doložka</w:t>
      </w:r>
    </w:p>
    <w:p w:rsidR="00D10DD2" w:rsidRPr="0084290D" w:rsidP="00D10DD2">
      <w:pPr>
        <w:bidi w:val="0"/>
        <w:jc w:val="center"/>
        <w:rPr>
          <w:rFonts w:ascii="Times New Roman" w:hAnsi="Times New Roman"/>
          <w:b/>
          <w:bCs/>
        </w:rPr>
      </w:pPr>
      <w:r w:rsidRPr="0084290D">
        <w:rPr>
          <w:rFonts w:ascii="Times New Roman" w:hAnsi="Times New Roman"/>
          <w:b/>
          <w:bCs/>
        </w:rPr>
        <w:t>vybraných vplyvov</w:t>
      </w:r>
    </w:p>
    <w:p w:rsidR="00D10DD2" w:rsidRPr="0084290D" w:rsidP="00D10DD2">
      <w:pPr>
        <w:bidi w:val="0"/>
        <w:rPr>
          <w:rFonts w:ascii="Times New Roman" w:hAnsi="Times New Roman"/>
        </w:rPr>
      </w:pPr>
    </w:p>
    <w:p w:rsidR="00D10DD2" w:rsidRPr="0084290D" w:rsidP="00D10DD2">
      <w:pPr>
        <w:bidi w:val="0"/>
        <w:rPr>
          <w:rFonts w:ascii="Times New Roman" w:hAnsi="Times New Roman"/>
        </w:rPr>
      </w:pPr>
      <w:r w:rsidRPr="0084290D">
        <w:rPr>
          <w:rFonts w:ascii="Times New Roman" w:hAnsi="Times New Roman"/>
          <w:b/>
          <w:bCs/>
        </w:rPr>
        <w:t xml:space="preserve">A.1. Názov materiálu: </w:t>
      </w:r>
      <w:r w:rsidRPr="0084290D">
        <w:rPr>
          <w:rFonts w:ascii="Times New Roman" w:hAnsi="Times New Roman"/>
        </w:rPr>
        <w:t>Návrh zákona, ktorým sa mení a dopĺňa zákon č. 580/2004 Z. z. o zdravotnom poistení a o zmene a doplnení zákona č. 95/2002 Z. z. o poisťovníctve a o zmene a doplnení niektorých zákonov v znení neskorších predpisov a ktorým sa menia a dopĺňajú niektoré zákony </w:t>
      </w:r>
    </w:p>
    <w:p w:rsidR="00D10DD2" w:rsidRPr="0084290D" w:rsidP="00D10DD2">
      <w:pPr>
        <w:bidi w:val="0"/>
        <w:rPr>
          <w:rFonts w:ascii="Times New Roman" w:hAnsi="Times New Roman"/>
          <w:b/>
          <w:bCs/>
        </w:rPr>
      </w:pPr>
      <w:r w:rsidRPr="0084290D">
        <w:rPr>
          <w:rFonts w:ascii="Times New Roman" w:hAnsi="Times New Roman"/>
          <w:b/>
          <w:bCs/>
        </w:rPr>
        <w:t xml:space="preserve">        Termín začatia a ukončenia PPK:</w:t>
      </w:r>
      <w:r w:rsidRPr="0084290D">
        <w:rPr>
          <w:rFonts w:ascii="Times New Roman" w:hAnsi="Times New Roman"/>
        </w:rPr>
        <w:t xml:space="preserve"> -  </w:t>
      </w:r>
    </w:p>
    <w:p w:rsidR="00D10DD2" w:rsidRPr="0084290D" w:rsidP="00D10DD2">
      <w:pPr>
        <w:bidi w:val="0"/>
        <w:rPr>
          <w:rFonts w:ascii="Times New Roman" w:hAnsi="Times New Roman"/>
          <w:b/>
          <w:bCs/>
        </w:rPr>
      </w:pPr>
    </w:p>
    <w:p w:rsidR="00D10DD2" w:rsidRPr="0084290D" w:rsidP="00D10DD2">
      <w:pPr>
        <w:bidi w:val="0"/>
        <w:rPr>
          <w:rFonts w:ascii="Times New Roman" w:hAnsi="Times New Roman"/>
          <w:b/>
          <w:bCs/>
        </w:rPr>
      </w:pPr>
      <w:r w:rsidRPr="0084290D">
        <w:rPr>
          <w:rFonts w:ascii="Times New Roman" w:hAnsi="Times New Roman"/>
          <w:b/>
          <w:bC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r w:rsidRPr="0084290D">
              <w:rPr>
                <w:rFonts w:ascii="Times New Roman" w:hAnsi="Times New Roman"/>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r w:rsidRPr="0084290D">
              <w:rPr>
                <w:rFonts w:ascii="Times New Roman" w:hAnsi="Times New Roman"/>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r w:rsidRPr="0084290D">
              <w:rPr>
                <w:rFonts w:ascii="Times New Roman" w:hAnsi="Times New Roman"/>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rPr>
                <w:rFonts w:ascii="Times New Roman" w:hAnsi="Times New Roman"/>
              </w:rPr>
            </w:pPr>
            <w:r w:rsidRPr="0084290D">
              <w:rPr>
                <w:rFonts w:ascii="Times New Roman" w:hAnsi="Times New Roman"/>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r w:rsidRPr="0084290D">
              <w:rPr>
                <w:rFonts w:ascii="Times New Roman" w:hAnsi="Times New Roman"/>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rPr>
                <w:rFonts w:ascii="Times New Roman" w:hAnsi="Times New Roman"/>
              </w:rPr>
            </w:pPr>
            <w:r w:rsidRPr="0084290D">
              <w:rPr>
                <w:rFonts w:ascii="Times New Roman" w:hAnsi="Times New Roman"/>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r w:rsidRPr="0084290D">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r w:rsidRPr="0084290D">
              <w:rPr>
                <w:rFonts w:ascii="Times New Roman" w:hAnsi="Times New Roman"/>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rPr>
                <w:rFonts w:ascii="Times New Roman" w:hAnsi="Times New Roman"/>
              </w:rPr>
            </w:pPr>
            <w:r w:rsidRPr="0084290D">
              <w:rPr>
                <w:rFonts w:ascii="Times New Roman" w:hAnsi="Times New Roman"/>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r w:rsidRPr="0084290D">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rPr>
                <w:rFonts w:ascii="Times New Roman" w:hAnsi="Times New Roman"/>
              </w:rPr>
            </w:pPr>
            <w:r w:rsidRPr="0084290D">
              <w:rPr>
                <w:rFonts w:ascii="Times New Roman" w:hAnsi="Times New Roman"/>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rPr>
                <w:rFonts w:ascii="Times New Roman" w:hAnsi="Times New Roman"/>
              </w:rPr>
            </w:pPr>
            <w:r w:rsidRPr="0084290D">
              <w:rPr>
                <w:rFonts w:ascii="Times New Roman" w:hAnsi="Times New Roman"/>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rPr>
                <w:rFonts w:ascii="Times New Roman" w:hAnsi="Times New Roman"/>
              </w:rPr>
            </w:pPr>
            <w:r w:rsidRPr="0084290D">
              <w:rPr>
                <w:rFonts w:ascii="Times New Roman" w:hAnsi="Times New Roman"/>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rPr>
                <w:rFonts w:ascii="Times New Roman" w:hAnsi="Times New Roman"/>
              </w:rPr>
            </w:pPr>
            <w:r w:rsidRPr="0084290D">
              <w:rPr>
                <w:rFonts w:ascii="Times New Roman" w:hAnsi="Times New Roman"/>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r w:rsidRPr="0084290D">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rPr>
                <w:rFonts w:ascii="Times New Roman" w:hAnsi="Times New Roman"/>
              </w:rPr>
            </w:pPr>
            <w:r w:rsidRPr="0084290D">
              <w:rPr>
                <w:rFonts w:ascii="Times New Roman" w:hAnsi="Times New Roman"/>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r w:rsidRPr="0084290D">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0DD2" w:rsidRPr="0084290D" w:rsidP="00770D78">
            <w:pPr>
              <w:bidi w:val="0"/>
              <w:jc w:val="center"/>
              <w:rPr>
                <w:rFonts w:ascii="Times New Roman" w:hAnsi="Times New Roman"/>
              </w:rPr>
            </w:pPr>
          </w:p>
        </w:tc>
      </w:tr>
    </w:tbl>
    <w:p w:rsidR="00D10DD2" w:rsidRPr="0084290D" w:rsidP="00D10DD2">
      <w:pPr>
        <w:bidi w:val="0"/>
        <w:rPr>
          <w:rFonts w:ascii="Times New Roman" w:hAnsi="Times New Roman"/>
        </w:rPr>
      </w:pPr>
      <w:r w:rsidRPr="0084290D">
        <w:rPr>
          <w:rFonts w:ascii="Times New Roman" w:hAnsi="Times New Roman"/>
        </w:rPr>
        <w:t> </w:t>
      </w:r>
    </w:p>
    <w:p w:rsidR="00D10DD2" w:rsidRPr="0084290D" w:rsidP="00D10DD2">
      <w:pPr>
        <w:bidi w:val="0"/>
        <w:rPr>
          <w:rFonts w:ascii="Times New Roman" w:hAnsi="Times New Roman"/>
          <w:b/>
          <w:bCs/>
        </w:rPr>
      </w:pPr>
      <w:r w:rsidRPr="0084290D">
        <w:rPr>
          <w:rFonts w:ascii="Times New Roman" w:hAnsi="Times New Roman"/>
          <w:b/>
          <w:bCs/>
        </w:rPr>
        <w:t>A.3. Poznámky</w:t>
      </w:r>
    </w:p>
    <w:p w:rsidR="00D10DD2" w:rsidRPr="0084290D" w:rsidP="00C83C38">
      <w:pPr>
        <w:tabs>
          <w:tab w:val="left" w:pos="426"/>
        </w:tabs>
        <w:bidi w:val="0"/>
        <w:ind w:left="426" w:hanging="426"/>
        <w:rPr>
          <w:rFonts w:ascii="Times New Roman" w:hAnsi="Times New Roman"/>
        </w:rPr>
      </w:pPr>
      <w:r w:rsidRPr="0084290D">
        <w:rPr>
          <w:rFonts w:ascii="Times New Roman" w:hAnsi="Times New Roman"/>
        </w:rPr>
        <w:t>1.</w:t>
      </w:r>
      <w:r w:rsidRPr="0084290D">
        <w:rPr>
          <w:rFonts w:ascii="Times New Roman" w:hAnsi="Times New Roman"/>
          <w:sz w:val="14"/>
        </w:rPr>
        <w:t xml:space="preserve">      </w:t>
      </w:r>
      <w:r w:rsidRPr="0084290D">
        <w:rPr>
          <w:rFonts w:ascii="Times New Roman" w:hAnsi="Times New Roman"/>
          <w:b/>
        </w:rPr>
        <w:t> </w:t>
      </w:r>
      <w:r w:rsidRPr="0084290D">
        <w:rPr>
          <w:rFonts w:ascii="Times New Roman" w:hAnsi="Times New Roman"/>
          <w:u w:val="single"/>
        </w:rPr>
        <w:t>Vplyvy na rozpočet verejnej správy</w:t>
      </w:r>
      <w:r w:rsidRPr="0084290D">
        <w:rPr>
          <w:rFonts w:ascii="Times New Roman" w:hAnsi="Times New Roman"/>
        </w:rPr>
        <w:t xml:space="preserve"> – celkový vplyv na rozpočet verejnej správy bude negatívny, predovšetkým z dôvodu nárastu výdavkov zdravotných poisťovní na úhradu zdravotnej starostlivosti, poskytovanej v iných členských štátoch EÚ a nárastu výdavkov poskytovateľov zdravotnej starostlivosti v zriaďovateľskej kompetencii štátu, VÚC a obcí z titulu nárastu minimálneho mzdového nároku lekárov.</w:t>
      </w:r>
      <w:r w:rsidRPr="0084290D" w:rsidR="00C83C38">
        <w:rPr>
          <w:rFonts w:ascii="Times New Roman" w:hAnsi="Times New Roman"/>
        </w:rPr>
        <w:t xml:space="preserve"> </w:t>
      </w:r>
      <w:r w:rsidRPr="0084290D">
        <w:rPr>
          <w:rFonts w:ascii="Times New Roman" w:hAnsi="Times New Roman"/>
        </w:rPr>
        <w:t xml:space="preserve">Tieto požiadavky na financie budú v plnom rozsahu riešené z existujúcich rozpočtových zdrojov </w:t>
      </w:r>
      <w:r w:rsidR="00D6203E">
        <w:rPr>
          <w:rFonts w:ascii="Times New Roman" w:hAnsi="Times New Roman"/>
        </w:rPr>
        <w:t xml:space="preserve">verejného </w:t>
      </w:r>
      <w:r w:rsidRPr="0084290D">
        <w:rPr>
          <w:rFonts w:ascii="Times New Roman" w:hAnsi="Times New Roman"/>
        </w:rPr>
        <w:t>zdravotn</w:t>
      </w:r>
      <w:r w:rsidR="00D6203E">
        <w:rPr>
          <w:rFonts w:ascii="Times New Roman" w:hAnsi="Times New Roman"/>
        </w:rPr>
        <w:t>ého</w:t>
      </w:r>
      <w:r w:rsidRPr="0084290D">
        <w:rPr>
          <w:rFonts w:ascii="Times New Roman" w:hAnsi="Times New Roman"/>
        </w:rPr>
        <w:t xml:space="preserve"> pois</w:t>
      </w:r>
      <w:r w:rsidR="00D6203E">
        <w:rPr>
          <w:rFonts w:ascii="Times New Roman" w:hAnsi="Times New Roman"/>
        </w:rPr>
        <w:t>tenia</w:t>
      </w:r>
      <w:r w:rsidRPr="0084290D">
        <w:rPr>
          <w:rFonts w:ascii="Times New Roman" w:hAnsi="Times New Roman"/>
        </w:rPr>
        <w:t>, bez dodatočných požiadaviek na štátny rozpočet.</w:t>
      </w:r>
    </w:p>
    <w:p w:rsidR="00D10DD2" w:rsidRPr="0084290D" w:rsidP="00C83C38">
      <w:pPr>
        <w:tabs>
          <w:tab w:val="left" w:pos="426"/>
        </w:tabs>
        <w:bidi w:val="0"/>
        <w:ind w:left="426" w:hanging="426"/>
        <w:rPr>
          <w:rFonts w:ascii="Times New Roman" w:hAnsi="Times New Roman"/>
        </w:rPr>
      </w:pPr>
      <w:r w:rsidRPr="0084290D">
        <w:rPr>
          <w:rFonts w:ascii="Times New Roman" w:hAnsi="Times New Roman"/>
        </w:rPr>
        <w:t>2.</w:t>
      </w:r>
      <w:r w:rsidRPr="0084290D">
        <w:rPr>
          <w:rFonts w:ascii="Times New Roman" w:hAnsi="Times New Roman"/>
          <w:sz w:val="14"/>
        </w:rPr>
        <w:t xml:space="preserve">      </w:t>
      </w:r>
      <w:r w:rsidRPr="0084290D">
        <w:rPr>
          <w:rFonts w:ascii="Times New Roman" w:hAnsi="Times New Roman"/>
          <w:u w:val="single"/>
        </w:rPr>
        <w:t>Vplyvy na podnikateľské prostredie</w:t>
      </w:r>
      <w:r w:rsidRPr="0084290D">
        <w:rPr>
          <w:rFonts w:ascii="Times New Roman" w:hAnsi="Times New Roman"/>
        </w:rPr>
        <w:t xml:space="preserve"> – celkový vplyv na podnikateľské prostredie bude pozitívny.</w:t>
      </w:r>
      <w:r w:rsidRPr="0084290D" w:rsidR="00C83C38">
        <w:rPr>
          <w:rFonts w:ascii="Times New Roman" w:hAnsi="Times New Roman"/>
        </w:rPr>
        <w:t xml:space="preserve"> </w:t>
      </w:r>
      <w:r w:rsidRPr="0084290D">
        <w:rPr>
          <w:rFonts w:ascii="Times New Roman" w:hAnsi="Times New Roman"/>
        </w:rPr>
        <w:t>Implementácia Smernice do právneho poriadku Slovenskej republiky a zároveň do právneho poriadku ostatných členských štátov znamená zjednodušenie administratívy pri poskytovaní zdravotnej starostlivosti v inom členskom štáte a teda počet osôb, ktorým bude poskytovaná cezhraničná zdravotná starostlivosť sa zvýši. Pre súkromné subjekty, pôsobiace v oblasti poskytovania zdravotnej starostlivosti v Slovenskej republike sa otvára potenciál rastu, spojený s možným zvýšením počtu klientov, predovšetkým v prihraničných oblastiach Slovenskej republiky.</w:t>
      </w:r>
      <w:r w:rsidRPr="0084290D" w:rsidR="00C83C38">
        <w:rPr>
          <w:rFonts w:ascii="Times New Roman" w:hAnsi="Times New Roman"/>
        </w:rPr>
        <w:t xml:space="preserve"> </w:t>
      </w:r>
      <w:r w:rsidRPr="0084290D">
        <w:rPr>
          <w:rFonts w:ascii="Times New Roman" w:hAnsi="Times New Roman"/>
        </w:rPr>
        <w:t>Pre zdravotné poisťovne je tu negatívny vplyv, jednak z pohľadu dodatočných nárokov na ich rozpočty, jednak z pohľadu vyššej administratívy súvisiacej s rozšírením možnosti výberu poskytovateľa aj v inom členskom štáte.</w:t>
      </w:r>
    </w:p>
    <w:p w:rsidR="00D10DD2" w:rsidRPr="0084290D" w:rsidP="00C83C38">
      <w:pPr>
        <w:tabs>
          <w:tab w:val="left" w:pos="426"/>
        </w:tabs>
        <w:bidi w:val="0"/>
        <w:ind w:left="426" w:hanging="426"/>
        <w:rPr>
          <w:rFonts w:ascii="Times New Roman" w:hAnsi="Times New Roman"/>
        </w:rPr>
      </w:pPr>
      <w:r w:rsidRPr="0084290D">
        <w:rPr>
          <w:rFonts w:ascii="Times New Roman" w:hAnsi="Times New Roman"/>
        </w:rPr>
        <w:t> 3.</w:t>
      </w:r>
      <w:r w:rsidRPr="0084290D">
        <w:rPr>
          <w:rFonts w:ascii="Times New Roman" w:hAnsi="Times New Roman"/>
          <w:sz w:val="14"/>
        </w:rPr>
        <w:t>     </w:t>
      </w:r>
      <w:r w:rsidRPr="0084290D">
        <w:rPr>
          <w:rFonts w:ascii="Times New Roman" w:hAnsi="Times New Roman"/>
          <w:u w:val="single"/>
        </w:rPr>
        <w:t>Sociálne vplyvy</w:t>
      </w:r>
      <w:r w:rsidRPr="0084290D">
        <w:rPr>
          <w:rFonts w:ascii="Times New Roman" w:hAnsi="Times New Roman"/>
        </w:rPr>
        <w:t xml:space="preserve"> – celkový vplyv na hospodárenie obyvateľstva sa predpokladá pozitívny; dochádza k rozšíreniu možností čerpania zdravotnej starostlivosti na celom území Európskej únie, pričom nie je vyžadovaná administratíva, súvisiaca s predchádzajúcim súhlasom zdravotnej poisťovne. </w:t>
      </w:r>
    </w:p>
    <w:p w:rsidR="00D10DD2" w:rsidRPr="0084290D" w:rsidP="00C83C38">
      <w:pPr>
        <w:tabs>
          <w:tab w:val="left" w:pos="426"/>
        </w:tabs>
        <w:bidi w:val="0"/>
        <w:ind w:left="426" w:hanging="426"/>
        <w:rPr>
          <w:rFonts w:ascii="Times New Roman" w:hAnsi="Times New Roman"/>
        </w:rPr>
      </w:pPr>
      <w:r w:rsidRPr="0084290D">
        <w:rPr>
          <w:rFonts w:ascii="Times New Roman" w:hAnsi="Times New Roman"/>
        </w:rPr>
        <w:t>4.</w:t>
      </w:r>
      <w:r w:rsidRPr="0084290D">
        <w:rPr>
          <w:rFonts w:ascii="Times New Roman" w:hAnsi="Times New Roman"/>
          <w:sz w:val="14"/>
        </w:rPr>
        <w:t xml:space="preserve">      </w:t>
      </w:r>
      <w:r w:rsidRPr="0084290D" w:rsidR="00C83C38">
        <w:rPr>
          <w:rFonts w:ascii="Times New Roman" w:hAnsi="Times New Roman"/>
          <w:sz w:val="14"/>
        </w:rPr>
        <w:tab/>
      </w:r>
      <w:r w:rsidRPr="0084290D">
        <w:rPr>
          <w:rFonts w:ascii="Times New Roman" w:hAnsi="Times New Roman"/>
          <w:u w:val="single"/>
        </w:rPr>
        <w:t>Vplyvy na životné prostredie</w:t>
      </w:r>
      <w:r w:rsidRPr="0084290D">
        <w:rPr>
          <w:rFonts w:ascii="Times New Roman" w:hAnsi="Times New Roman"/>
        </w:rPr>
        <w:t xml:space="preserve"> – návrh zákona nemá vplyv na životné prostredie.</w:t>
      </w:r>
    </w:p>
    <w:p w:rsidR="00D10DD2" w:rsidRPr="0084290D" w:rsidP="00C83C38">
      <w:pPr>
        <w:tabs>
          <w:tab w:val="left" w:pos="426"/>
        </w:tabs>
        <w:bidi w:val="0"/>
        <w:ind w:left="426" w:hanging="426"/>
        <w:rPr>
          <w:rFonts w:ascii="Times New Roman" w:hAnsi="Times New Roman"/>
        </w:rPr>
      </w:pPr>
      <w:r w:rsidRPr="0084290D">
        <w:rPr>
          <w:rFonts w:ascii="Times New Roman" w:hAnsi="Times New Roman"/>
        </w:rPr>
        <w:t>5.</w:t>
      </w:r>
      <w:r w:rsidRPr="0084290D">
        <w:rPr>
          <w:rFonts w:ascii="Times New Roman" w:hAnsi="Times New Roman"/>
          <w:sz w:val="14"/>
        </w:rPr>
        <w:t>     </w:t>
      </w:r>
      <w:r w:rsidRPr="0084290D" w:rsidR="00C83C38">
        <w:rPr>
          <w:rFonts w:ascii="Times New Roman" w:hAnsi="Times New Roman"/>
          <w:sz w:val="14"/>
        </w:rPr>
        <w:tab/>
      </w:r>
      <w:r w:rsidRPr="0084290D">
        <w:rPr>
          <w:rFonts w:ascii="Times New Roman" w:hAnsi="Times New Roman"/>
          <w:u w:val="single"/>
        </w:rPr>
        <w:t>Vplyvy na informatizáciu spoločnosti</w:t>
      </w:r>
      <w:r w:rsidRPr="0084290D">
        <w:rPr>
          <w:rFonts w:ascii="Times New Roman" w:hAnsi="Times New Roman"/>
        </w:rPr>
        <w:t xml:space="preserve"> – návrh zákona má pozitívny vplyv na informatizáciu spoločnosti.</w:t>
      </w:r>
    </w:p>
    <w:p w:rsidR="00D10DD2" w:rsidRPr="0084290D" w:rsidP="00C83C38">
      <w:pPr>
        <w:bidi w:val="0"/>
        <w:rPr>
          <w:rFonts w:ascii="Times New Roman" w:hAnsi="Times New Roman"/>
          <w:b/>
          <w:bCs/>
        </w:rPr>
      </w:pPr>
      <w:r w:rsidRPr="0084290D">
        <w:rPr>
          <w:rFonts w:ascii="Times New Roman" w:hAnsi="Times New Roman"/>
        </w:rPr>
        <w:t> </w:t>
      </w:r>
      <w:r w:rsidRPr="0084290D">
        <w:rPr>
          <w:rFonts w:ascii="Times New Roman" w:hAnsi="Times New Roman"/>
          <w:b/>
          <w:bCs/>
        </w:rPr>
        <w:t>A.4. Alternatívne riešenia</w:t>
      </w:r>
    </w:p>
    <w:p w:rsidR="00D10DD2" w:rsidRPr="0084290D" w:rsidP="00D10DD2">
      <w:pPr>
        <w:bidi w:val="0"/>
        <w:rPr>
          <w:rFonts w:ascii="Times New Roman" w:hAnsi="Times New Roman"/>
          <w:b/>
          <w:bCs/>
        </w:rPr>
      </w:pPr>
      <w:r w:rsidRPr="0084290D">
        <w:rPr>
          <w:rFonts w:ascii="Times New Roman" w:hAnsi="Times New Roman"/>
        </w:rPr>
        <w:t> </w:t>
      </w:r>
      <w:r w:rsidRPr="0084290D">
        <w:rPr>
          <w:rFonts w:ascii="Times New Roman" w:hAnsi="Times New Roman"/>
          <w:b/>
          <w:bCs/>
        </w:rPr>
        <w:t>A.5. Stanovisko gestorov</w:t>
      </w:r>
    </w:p>
    <w:p w:rsidR="005E22B7" w:rsidRPr="0084290D" w:rsidP="00C83C38">
      <w:pPr>
        <w:bidi w:val="0"/>
        <w:jc w:val="center"/>
        <w:rPr>
          <w:rFonts w:ascii="Times New Roman" w:hAnsi="Times New Roman"/>
        </w:rPr>
      </w:pPr>
      <w:r w:rsidRPr="0084290D">
        <w:rPr>
          <w:rFonts w:ascii="Times New Roman" w:hAnsi="Times New Roman"/>
          <w:b/>
          <w:bCs/>
        </w:rPr>
        <w:t>Vplyvy na rozpočet verejnej správy,</w:t>
      </w:r>
    </w:p>
    <w:p w:rsidR="005E22B7" w:rsidRPr="0084290D" w:rsidP="000B0AB8">
      <w:pPr>
        <w:bidi w:val="0"/>
        <w:jc w:val="center"/>
        <w:outlineLvl w:val="0"/>
        <w:rPr>
          <w:rFonts w:ascii="Times New Roman" w:hAnsi="Times New Roman"/>
        </w:rPr>
      </w:pPr>
      <w:r w:rsidRPr="0084290D">
        <w:rPr>
          <w:rFonts w:ascii="Times New Roman" w:hAnsi="Times New Roman"/>
          <w:b/>
          <w:bCs/>
        </w:rPr>
        <w:t>na zamestnanosť vo verejnej správe a financovanie návrhu</w:t>
      </w:r>
    </w:p>
    <w:p w:rsidR="005E22B7" w:rsidRPr="0084290D" w:rsidP="000B0AB8">
      <w:pPr>
        <w:bidi w:val="0"/>
        <w:rPr>
          <w:rFonts w:ascii="Times New Roman" w:hAnsi="Times New Roman"/>
        </w:rPr>
      </w:pPr>
      <w:r w:rsidRPr="0084290D">
        <w:rPr>
          <w:rFonts w:ascii="Times New Roman" w:hAnsi="Times New Roman"/>
        </w:rPr>
        <w:t> </w:t>
      </w:r>
    </w:p>
    <w:p w:rsidR="005E22B7" w:rsidRPr="0084290D" w:rsidP="000B0AB8">
      <w:pPr>
        <w:bidi w:val="0"/>
        <w:outlineLvl w:val="0"/>
        <w:rPr>
          <w:rFonts w:ascii="Times New Roman" w:hAnsi="Times New Roman"/>
        </w:rPr>
      </w:pPr>
      <w:r w:rsidRPr="0084290D">
        <w:rPr>
          <w:rFonts w:ascii="Times New Roman" w:hAnsi="Times New Roman"/>
          <w:b/>
          <w:bCs/>
        </w:rPr>
        <w:t>2.1. Zhrnutie vplyvov na rozpočet verejnej správy v návrhu v €</w:t>
      </w:r>
    </w:p>
    <w:tbl>
      <w:tblPr>
        <w:tblStyle w:val="TableNormal"/>
        <w:tblW w:w="11383" w:type="dxa"/>
        <w:tblInd w:w="-851" w:type="dxa"/>
        <w:tblCellMar>
          <w:left w:w="0" w:type="dxa"/>
          <w:right w:w="0" w:type="dxa"/>
        </w:tblCellMar>
      </w:tblPr>
      <w:tblGrid>
        <w:gridCol w:w="10794"/>
        <w:gridCol w:w="146"/>
        <w:gridCol w:w="146"/>
        <w:gridCol w:w="151"/>
        <w:gridCol w:w="146"/>
      </w:tblGrid>
      <w:tr>
        <w:tblPrEx>
          <w:tblW w:w="11383" w:type="dxa"/>
          <w:tblInd w:w="-851" w:type="dxa"/>
          <w:tblCellMar>
            <w:left w:w="0" w:type="dxa"/>
            <w:right w:w="0" w:type="dxa"/>
          </w:tblCellMar>
        </w:tblPrEx>
        <w:tc>
          <w:tcPr>
            <w:tcW w:w="10794" w:type="dxa"/>
            <w:tcBorders>
              <w:top w:val="nil"/>
              <w:left w:val="nil"/>
              <w:bottom w:val="nil"/>
              <w:right w:val="nil"/>
            </w:tcBorders>
            <w:textDirection w:val="lrTb"/>
            <w:vAlign w:val="center"/>
          </w:tcPr>
          <w:p w:rsidR="0059453D" w:rsidRPr="0059453D" w:rsidP="0059453D">
            <w:pPr>
              <w:bidi w:val="0"/>
              <w:jc w:val="right"/>
              <w:rPr>
                <w:rFonts w:ascii="Times New Roman" w:hAnsi="Times New Roman"/>
              </w:rPr>
            </w:pPr>
          </w:p>
          <w:tbl>
            <w:tblPr>
              <w:tblStyle w:val="TableNormal"/>
              <w:tblW w:w="10774" w:type="dxa"/>
              <w:tblCellMar>
                <w:left w:w="0" w:type="dxa"/>
                <w:right w:w="0" w:type="dxa"/>
              </w:tblCellMar>
              <w:tblLook w:val="04A0"/>
            </w:tblPr>
            <w:tblGrid>
              <w:gridCol w:w="4820"/>
              <w:gridCol w:w="1367"/>
              <w:gridCol w:w="1519"/>
              <w:gridCol w:w="1441"/>
              <w:gridCol w:w="109"/>
              <w:gridCol w:w="1518"/>
            </w:tblGrid>
            <w:tr>
              <w:tblPrEx>
                <w:tblW w:w="10774" w:type="dxa"/>
                <w:tblCellMar>
                  <w:left w:w="0" w:type="dxa"/>
                  <w:right w:w="0" w:type="dxa"/>
                </w:tblCellMar>
                <w:tblLook w:val="04A0"/>
              </w:tblPrEx>
              <w:tc>
                <w:tcPr>
                  <w:tcW w:w="4820" w:type="dxa"/>
                  <w:vMerge w:val="restart"/>
                  <w:tcBorders>
                    <w:top w:val="single" w:sz="8" w:space="0" w:color="000000"/>
                    <w:left w:val="single" w:sz="8" w:space="0" w:color="000000"/>
                    <w:bottom w:val="single" w:sz="8" w:space="0" w:color="000000"/>
                    <w:right w:val="single" w:sz="8" w:space="0" w:color="000000"/>
                  </w:tcBorders>
                  <w:shd w:val="clear" w:color="auto" w:fill="000000"/>
                  <w:tcMar>
                    <w:top w:w="0" w:type="dxa"/>
                    <w:left w:w="70" w:type="dxa"/>
                    <w:bottom w:w="0" w:type="dxa"/>
                    <w:right w:w="70" w:type="dxa"/>
                  </w:tcMar>
                  <w:textDirection w:val="lrTb"/>
                  <w:vAlign w:val="center"/>
                  <w:hideMark/>
                </w:tcPr>
                <w:p w:rsidR="0059453D" w:rsidRPr="0059453D" w:rsidP="0059453D">
                  <w:pPr>
                    <w:bidi w:val="0"/>
                    <w:jc w:val="center"/>
                    <w:rPr>
                      <w:rFonts w:ascii="Times New Roman" w:hAnsi="Times New Roman"/>
                      <w:color w:val="222222"/>
                    </w:rPr>
                  </w:pPr>
                  <w:r w:rsidRPr="0059453D">
                    <w:rPr>
                      <w:rFonts w:ascii="Times New Roman" w:hAnsi="Times New Roman"/>
                      <w:b/>
                      <w:bCs/>
                      <w:color w:val="222222"/>
                    </w:rPr>
                    <w:t>Vplyvy na rozpočet verejnej správy</w:t>
                  </w:r>
                </w:p>
              </w:tc>
              <w:tc>
                <w:tcPr>
                  <w:tcW w:w="5954" w:type="dxa"/>
                  <w:gridSpan w:val="5"/>
                  <w:tcBorders>
                    <w:top w:val="single" w:sz="8" w:space="0" w:color="000000"/>
                    <w:left w:val="nil"/>
                    <w:bottom w:val="single" w:sz="8" w:space="0" w:color="000000"/>
                    <w:right w:val="single" w:sz="8" w:space="0" w:color="000000"/>
                  </w:tcBorders>
                  <w:shd w:val="clear" w:color="auto" w:fill="000000"/>
                  <w:tcMar>
                    <w:top w:w="0" w:type="dxa"/>
                    <w:left w:w="70" w:type="dxa"/>
                    <w:bottom w:w="0" w:type="dxa"/>
                    <w:right w:w="70" w:type="dxa"/>
                  </w:tcMar>
                  <w:textDirection w:val="lrTb"/>
                  <w:vAlign w:val="center"/>
                  <w:hideMark/>
                </w:tcPr>
                <w:p w:rsidR="0059453D" w:rsidRPr="0059453D" w:rsidP="0059453D">
                  <w:pPr>
                    <w:bidi w:val="0"/>
                    <w:jc w:val="center"/>
                    <w:rPr>
                      <w:rFonts w:ascii="Times New Roman" w:hAnsi="Times New Roman"/>
                      <w:color w:val="222222"/>
                    </w:rPr>
                  </w:pPr>
                  <w:r w:rsidRPr="0059453D">
                    <w:rPr>
                      <w:rFonts w:ascii="Times New Roman" w:hAnsi="Times New Roman"/>
                      <w:b/>
                      <w:bCs/>
                      <w:color w:val="222222"/>
                    </w:rPr>
                    <w:t>Vplyv na rozpočet verejnej správy (</w:t>
                  </w:r>
                  <w:r w:rsidRPr="0059453D">
                    <w:rPr>
                      <w:rFonts w:ascii="Arial Narrow" w:hAnsi="Arial Narrow"/>
                      <w:b/>
                      <w:bCs/>
                      <w:color w:val="FFFFFF"/>
                    </w:rPr>
                    <w:t>cash=ESA95)</w:t>
                  </w:r>
                  <w:r w:rsidRPr="0059453D">
                    <w:rPr>
                      <w:rFonts w:ascii="Times New Roman" w:hAnsi="Times New Roman"/>
                      <w:b/>
                      <w:bCs/>
                      <w:color w:val="222222"/>
                    </w:rPr>
                    <w:t> (v eurách)</w:t>
                  </w:r>
                </w:p>
              </w:tc>
            </w:tr>
            <w:tr>
              <w:tblPrEx>
                <w:tblW w:w="10774" w:type="dxa"/>
                <w:tblCellMar>
                  <w:left w:w="0" w:type="dxa"/>
                  <w:right w:w="0" w:type="dxa"/>
                </w:tblCellMar>
                <w:tblLook w:val="04A0"/>
              </w:tblPrEx>
              <w:tc>
                <w:tcPr>
                  <w:tcW w:w="0" w:type="auto"/>
                  <w:vMerge/>
                  <w:tcBorders>
                    <w:top w:val="single" w:sz="8" w:space="0" w:color="000000"/>
                    <w:left w:val="single" w:sz="8" w:space="0" w:color="000000"/>
                    <w:bottom w:val="single" w:sz="8" w:space="0" w:color="000000"/>
                    <w:right w:val="single" w:sz="8" w:space="0" w:color="000000"/>
                  </w:tcBorders>
                  <w:shd w:val="clear" w:color="auto" w:fill="FFFFFF"/>
                  <w:textDirection w:val="lrTb"/>
                  <w:vAlign w:val="center"/>
                  <w:hideMark/>
                </w:tcPr>
                <w:p w:rsidR="0059453D" w:rsidRPr="0059453D" w:rsidP="0059453D">
                  <w:pPr>
                    <w:bidi w:val="0"/>
                    <w:jc w:val="left"/>
                    <w:rPr>
                      <w:rFonts w:ascii="Times New Roman" w:hAnsi="Times New Roman"/>
                      <w:color w:val="222222"/>
                    </w:rPr>
                  </w:pPr>
                </w:p>
              </w:tc>
              <w:tc>
                <w:tcPr>
                  <w:tcW w:w="1367" w:type="dxa"/>
                  <w:tcBorders>
                    <w:top w:val="nil"/>
                    <w:left w:val="nil"/>
                    <w:bottom w:val="single" w:sz="8" w:space="0" w:color="000000"/>
                    <w:right w:val="single" w:sz="8" w:space="0" w:color="000000"/>
                  </w:tcBorders>
                  <w:shd w:val="clear" w:color="auto" w:fill="000000"/>
                  <w:tcMar>
                    <w:top w:w="0" w:type="dxa"/>
                    <w:left w:w="70" w:type="dxa"/>
                    <w:bottom w:w="0" w:type="dxa"/>
                    <w:right w:w="70" w:type="dxa"/>
                  </w:tcMar>
                  <w:textDirection w:val="lrTb"/>
                  <w:vAlign w:val="center"/>
                  <w:hideMark/>
                </w:tcPr>
                <w:p w:rsidR="0059453D" w:rsidRPr="0059453D" w:rsidP="0059453D">
                  <w:pPr>
                    <w:bidi w:val="0"/>
                    <w:jc w:val="center"/>
                    <w:rPr>
                      <w:rFonts w:ascii="Times New Roman" w:hAnsi="Times New Roman"/>
                      <w:color w:val="222222"/>
                    </w:rPr>
                  </w:pPr>
                  <w:r w:rsidRPr="0059453D">
                    <w:rPr>
                      <w:rFonts w:ascii="Times New Roman" w:hAnsi="Times New Roman"/>
                      <w:b/>
                      <w:bCs/>
                      <w:color w:val="222222"/>
                    </w:rPr>
                    <w:t>r 2013</w:t>
                  </w:r>
                </w:p>
              </w:tc>
              <w:tc>
                <w:tcPr>
                  <w:tcW w:w="1519" w:type="dxa"/>
                  <w:tcBorders>
                    <w:top w:val="nil"/>
                    <w:left w:val="nil"/>
                    <w:bottom w:val="single" w:sz="8" w:space="0" w:color="000000"/>
                    <w:right w:val="single" w:sz="8" w:space="0" w:color="000000"/>
                  </w:tcBorders>
                  <w:shd w:val="clear" w:color="auto" w:fill="000000"/>
                  <w:tcMar>
                    <w:top w:w="0" w:type="dxa"/>
                    <w:left w:w="70" w:type="dxa"/>
                    <w:bottom w:w="0" w:type="dxa"/>
                    <w:right w:w="70" w:type="dxa"/>
                  </w:tcMar>
                  <w:textDirection w:val="lrTb"/>
                  <w:vAlign w:val="center"/>
                  <w:hideMark/>
                </w:tcPr>
                <w:p w:rsidR="0059453D" w:rsidRPr="0059453D" w:rsidP="0059453D">
                  <w:pPr>
                    <w:bidi w:val="0"/>
                    <w:jc w:val="center"/>
                    <w:rPr>
                      <w:rFonts w:ascii="Times New Roman" w:hAnsi="Times New Roman"/>
                      <w:color w:val="222222"/>
                    </w:rPr>
                  </w:pPr>
                  <w:r w:rsidRPr="0059453D">
                    <w:rPr>
                      <w:rFonts w:ascii="Times New Roman" w:hAnsi="Times New Roman"/>
                      <w:b/>
                      <w:bCs/>
                      <w:color w:val="222222"/>
                    </w:rPr>
                    <w:t>r 2014</w:t>
                  </w:r>
                </w:p>
              </w:tc>
              <w:tc>
                <w:tcPr>
                  <w:tcW w:w="1441" w:type="dxa"/>
                  <w:tcBorders>
                    <w:top w:val="nil"/>
                    <w:left w:val="nil"/>
                    <w:bottom w:val="single" w:sz="8" w:space="0" w:color="000000"/>
                    <w:right w:val="single" w:sz="8" w:space="0" w:color="000000"/>
                  </w:tcBorders>
                  <w:shd w:val="clear" w:color="auto" w:fill="000000"/>
                  <w:tcMar>
                    <w:top w:w="0" w:type="dxa"/>
                    <w:left w:w="70" w:type="dxa"/>
                    <w:bottom w:w="0" w:type="dxa"/>
                    <w:right w:w="70" w:type="dxa"/>
                  </w:tcMar>
                  <w:textDirection w:val="lrTb"/>
                  <w:vAlign w:val="center"/>
                  <w:hideMark/>
                </w:tcPr>
                <w:p w:rsidR="0059453D" w:rsidRPr="0059453D" w:rsidP="0059453D">
                  <w:pPr>
                    <w:bidi w:val="0"/>
                    <w:jc w:val="center"/>
                    <w:rPr>
                      <w:rFonts w:ascii="Times New Roman" w:hAnsi="Times New Roman"/>
                      <w:color w:val="222222"/>
                    </w:rPr>
                  </w:pPr>
                  <w:r w:rsidRPr="0059453D">
                    <w:rPr>
                      <w:rFonts w:ascii="Times New Roman" w:hAnsi="Times New Roman"/>
                      <w:b/>
                      <w:bCs/>
                      <w:color w:val="222222"/>
                    </w:rPr>
                    <w:t>r 2015</w:t>
                  </w:r>
                </w:p>
              </w:tc>
              <w:tc>
                <w:tcPr>
                  <w:tcW w:w="1627" w:type="dxa"/>
                  <w:gridSpan w:val="2"/>
                  <w:tcBorders>
                    <w:top w:val="nil"/>
                    <w:left w:val="nil"/>
                    <w:bottom w:val="single" w:sz="8" w:space="0" w:color="000000"/>
                    <w:right w:val="single" w:sz="8" w:space="0" w:color="000000"/>
                  </w:tcBorders>
                  <w:shd w:val="clear" w:color="auto" w:fill="000000"/>
                  <w:tcMar>
                    <w:top w:w="0" w:type="dxa"/>
                    <w:left w:w="70" w:type="dxa"/>
                    <w:bottom w:w="0" w:type="dxa"/>
                    <w:right w:w="70" w:type="dxa"/>
                  </w:tcMar>
                  <w:textDirection w:val="lrTb"/>
                  <w:vAlign w:val="center"/>
                  <w:hideMark/>
                </w:tcPr>
                <w:p w:rsidR="0059453D" w:rsidRPr="0059453D" w:rsidP="0059453D">
                  <w:pPr>
                    <w:bidi w:val="0"/>
                    <w:jc w:val="center"/>
                    <w:rPr>
                      <w:rFonts w:ascii="Times New Roman" w:hAnsi="Times New Roman"/>
                      <w:color w:val="222222"/>
                    </w:rPr>
                  </w:pPr>
                  <w:r w:rsidRPr="0059453D">
                    <w:rPr>
                      <w:rFonts w:ascii="Times New Roman" w:hAnsi="Times New Roman"/>
                      <w:b/>
                      <w:bCs/>
                      <w:color w:val="222222"/>
                    </w:rPr>
                    <w:t>r 2016</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b/>
                      <w:bCs/>
                      <w:color w:val="222222"/>
                    </w:rPr>
                    <w:t>Príjmy verejnej správy celkom</w:t>
                  </w:r>
                </w:p>
              </w:tc>
              <w:tc>
                <w:tcPr>
                  <w:tcW w:w="1367"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0</w:t>
                  </w:r>
                </w:p>
              </w:tc>
              <w:tc>
                <w:tcPr>
                  <w:tcW w:w="1519"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0</w:t>
                  </w:r>
                </w:p>
              </w:tc>
              <w:tc>
                <w:tcPr>
                  <w:tcW w:w="1550" w:type="dxa"/>
                  <w:gridSpan w:val="2"/>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0</w:t>
                  </w:r>
                </w:p>
              </w:tc>
              <w:tc>
                <w:tcPr>
                  <w:tcW w:w="1518"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0</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color w:val="222222"/>
                    </w:rPr>
                    <w:t>v tom: za každý subjekt verejnej správy zvlášť</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color w:val="222222"/>
                    </w:rPr>
                    <w:t>0</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color w:val="222222"/>
                    </w:rPr>
                    <w:t>0</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color w:val="222222"/>
                    </w:rPr>
                    <w:t>0</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color w:val="222222"/>
                    </w:rPr>
                    <w:t>0</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b/>
                      <w:bCs/>
                      <w:i/>
                      <w:iCs/>
                      <w:color w:val="222222"/>
                    </w:rPr>
                    <w:t>z toho:</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i/>
                      <w:iCs/>
                      <w:color w:val="222222"/>
                    </w:rPr>
                    <w:t> </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i/>
                      <w:iCs/>
                      <w:color w:val="222222"/>
                    </w:rPr>
                    <w:t> </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i/>
                      <w:iCs/>
                      <w:color w:val="222222"/>
                    </w:rPr>
                    <w:t> </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i/>
                      <w:iCs/>
                      <w:color w:val="222222"/>
                    </w:rPr>
                    <w:t> </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b/>
                      <w:bCs/>
                      <w:i/>
                      <w:iCs/>
                      <w:color w:val="222222"/>
                    </w:rPr>
                    <w:t>- vplyv na ŠR</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0</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0</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0</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0</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b/>
                      <w:bCs/>
                      <w:i/>
                      <w:iCs/>
                      <w:color w:val="222222"/>
                    </w:rPr>
                    <w:t>- vplyv na územnú samosprávu</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0</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0</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0</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0</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b/>
                      <w:bCs/>
                      <w:color w:val="222222"/>
                    </w:rPr>
                    <w:t>Výdavky verejnej správy celkom</w:t>
                  </w:r>
                </w:p>
              </w:tc>
              <w:tc>
                <w:tcPr>
                  <w:tcW w:w="1367"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+9 705 000</w:t>
                  </w:r>
                </w:p>
              </w:tc>
              <w:tc>
                <w:tcPr>
                  <w:tcW w:w="1519"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+78 987 000</w:t>
                  </w:r>
                </w:p>
              </w:tc>
              <w:tc>
                <w:tcPr>
                  <w:tcW w:w="1550" w:type="dxa"/>
                  <w:gridSpan w:val="2"/>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+99 309 000</w:t>
                  </w:r>
                </w:p>
              </w:tc>
              <w:tc>
                <w:tcPr>
                  <w:tcW w:w="1518"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+103 538 000</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color w:val="222222"/>
                    </w:rPr>
                    <w:t>v tom:</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color w:val="222222"/>
                    </w:rPr>
                    <w:t> </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color w:val="222222"/>
                    </w:rPr>
                    <w:t> </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color w:val="222222"/>
                    </w:rPr>
                    <w:t> </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color w:val="222222"/>
                    </w:rPr>
                    <w:t> </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color w:val="222222"/>
                    </w:rPr>
                    <w:t>vplyv na rozpočet verejného zdravotného poistenia</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  705 000</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+78 787 000</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+99 159 000</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+103 888 000</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b/>
                      <w:bCs/>
                      <w:i/>
                      <w:iCs/>
                      <w:color w:val="222222"/>
                    </w:rPr>
                    <w:t>z toho:</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i/>
                      <w:iCs/>
                      <w:color w:val="222222"/>
                    </w:rPr>
                    <w:t> </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i/>
                      <w:iCs/>
                      <w:color w:val="222222"/>
                    </w:rPr>
                    <w:t> </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i/>
                      <w:iCs/>
                      <w:color w:val="222222"/>
                    </w:rPr>
                    <w:t> </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i/>
                      <w:iCs/>
                      <w:color w:val="222222"/>
                    </w:rPr>
                    <w:t> </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left"/>
                    <w:rPr>
                      <w:rFonts w:ascii="Times New Roman" w:hAnsi="Times New Roman"/>
                      <w:color w:val="222222"/>
                    </w:rPr>
                  </w:pPr>
                  <w:r w:rsidRPr="0059453D">
                    <w:rPr>
                      <w:rFonts w:ascii="Times New Roman" w:hAnsi="Times New Roman"/>
                      <w:b/>
                      <w:bCs/>
                      <w:i/>
                      <w:iCs/>
                      <w:color w:val="222222"/>
                    </w:rPr>
                    <w:t>- vplyv zvýšenia minimálnych mzdových nárokov</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 </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+19 278 000</w:t>
                  </w:r>
                </w:p>
                <w:p w:rsidR="0059453D" w:rsidRPr="0059453D" w:rsidP="0059453D">
                  <w:pPr>
                    <w:bidi w:val="0"/>
                    <w:jc w:val="right"/>
                    <w:rPr>
                      <w:rFonts w:ascii="Times New Roman" w:hAnsi="Times New Roman"/>
                      <w:color w:val="222222"/>
                    </w:rPr>
                  </w:pPr>
                  <w:r w:rsidRPr="0059453D">
                    <w:rPr>
                      <w:rFonts w:ascii="Times New Roman" w:hAnsi="Times New Roman"/>
                      <w:b/>
                      <w:bCs/>
                      <w:color w:val="222222"/>
                    </w:rPr>
                    <w:t> </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+36 647 000</w:t>
                  </w:r>
                </w:p>
                <w:p w:rsidR="0059453D" w:rsidRPr="0059453D" w:rsidP="0059453D">
                  <w:pPr>
                    <w:bidi w:val="0"/>
                    <w:jc w:val="right"/>
                    <w:rPr>
                      <w:rFonts w:ascii="Times New Roman" w:hAnsi="Times New Roman"/>
                      <w:color w:val="222222"/>
                    </w:rPr>
                  </w:pPr>
                  <w:r w:rsidRPr="0059453D">
                    <w:rPr>
                      <w:rFonts w:ascii="Times New Roman" w:hAnsi="Times New Roman"/>
                      <w:b/>
                      <w:bCs/>
                      <w:color w:val="222222"/>
                    </w:rPr>
                    <w:t> </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+37 939 000</w:t>
                  </w:r>
                </w:p>
                <w:p w:rsidR="0059453D" w:rsidRPr="0059453D" w:rsidP="0059453D">
                  <w:pPr>
                    <w:bidi w:val="0"/>
                    <w:jc w:val="right"/>
                    <w:rPr>
                      <w:rFonts w:ascii="Times New Roman" w:hAnsi="Times New Roman"/>
                      <w:color w:val="222222"/>
                    </w:rPr>
                  </w:pPr>
                  <w:r w:rsidRPr="0059453D">
                    <w:rPr>
                      <w:rFonts w:ascii="Times New Roman" w:hAnsi="Times New Roman"/>
                      <w:b/>
                      <w:bCs/>
                      <w:color w:val="222222"/>
                    </w:rPr>
                    <w:t> </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left"/>
                    <w:rPr>
                      <w:rFonts w:ascii="Times New Roman" w:hAnsi="Times New Roman"/>
                      <w:color w:val="222222"/>
                    </w:rPr>
                  </w:pPr>
                  <w:r w:rsidRPr="0059453D">
                    <w:rPr>
                      <w:rFonts w:ascii="Times New Roman" w:hAnsi="Times New Roman"/>
                      <w:b/>
                      <w:bCs/>
                      <w:i/>
                      <w:iCs/>
                      <w:color w:val="222222"/>
                    </w:rPr>
                    <w:t>- vplyv rozšírenia nároku na kúpeľnú liečbu</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+252 000</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+252 000</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+252 000</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+252 000</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left"/>
                    <w:rPr>
                      <w:rFonts w:ascii="Times New Roman" w:hAnsi="Times New Roman"/>
                      <w:color w:val="222222"/>
                    </w:rPr>
                  </w:pPr>
                  <w:r w:rsidRPr="0059453D">
                    <w:rPr>
                      <w:rFonts w:ascii="Times New Roman" w:hAnsi="Times New Roman"/>
                      <w:b/>
                      <w:bCs/>
                      <w:i/>
                      <w:iCs/>
                      <w:color w:val="222222"/>
                    </w:rPr>
                    <w:t>- vplyv zavedenia cezhraničnej zdravotnej starostlivosti</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+9 453 000</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+59 257 000</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+62 260 000</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color w:val="222222"/>
                    </w:rPr>
                  </w:pPr>
                  <w:r w:rsidRPr="0059453D">
                    <w:rPr>
                      <w:rFonts w:ascii="Times New Roman" w:hAnsi="Times New Roman"/>
                      <w:b/>
                      <w:bCs/>
                      <w:color w:val="222222"/>
                    </w:rPr>
                    <w:t>+65 197 000</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rPr>
                      <w:rFonts w:ascii="Times New Roman" w:hAnsi="Times New Roman"/>
                    </w:rPr>
                  </w:pPr>
                  <w:r w:rsidRPr="0059453D">
                    <w:rPr>
                      <w:rFonts w:ascii="Times New Roman" w:hAnsi="Times New Roman"/>
                    </w:rPr>
                    <w:t xml:space="preserve">- vplyv na rozpočet Úradu pre dohľad nad zdravotnou starostlivosťou – zavedenie novej činnosti  - </w:t>
                  </w:r>
                  <w:r w:rsidRPr="0059453D">
                    <w:rPr>
                      <w:rFonts w:ascii="Times New Roman" w:hAnsi="Times New Roman"/>
                      <w:b/>
                      <w:bCs/>
                      <w:i/>
                      <w:iCs/>
                    </w:rPr>
                    <w:t>Národné kontaktné miesto</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b/>
                      <w:bCs/>
                    </w:rPr>
                    <w:t>0</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b/>
                      <w:bCs/>
                    </w:rPr>
                    <w:t>+200 000</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b/>
                      <w:bCs/>
                    </w:rPr>
                    <w:t>+150 000</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b/>
                      <w:bCs/>
                    </w:rPr>
                    <w:t>+150 000</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rPr>
                      <w:rFonts w:ascii="Times New Roman" w:hAnsi="Times New Roman"/>
                    </w:rPr>
                  </w:pPr>
                  <w:r w:rsidRPr="0059453D">
                    <w:rPr>
                      <w:rFonts w:ascii="Times New Roman" w:hAnsi="Times New Roman"/>
                      <w:b/>
                      <w:bCs/>
                    </w:rPr>
                    <w:t>Celková zamestnanosť</w:t>
                  </w:r>
                </w:p>
              </w:tc>
              <w:tc>
                <w:tcPr>
                  <w:tcW w:w="1367"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b/>
                      <w:bCs/>
                    </w:rPr>
                    <w:t>0</w:t>
                  </w:r>
                </w:p>
              </w:tc>
              <w:tc>
                <w:tcPr>
                  <w:tcW w:w="1519"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b/>
                      <w:bCs/>
                    </w:rPr>
                    <w:t>0</w:t>
                  </w:r>
                </w:p>
              </w:tc>
              <w:tc>
                <w:tcPr>
                  <w:tcW w:w="1550" w:type="dxa"/>
                  <w:gridSpan w:val="2"/>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b/>
                      <w:bCs/>
                    </w:rPr>
                    <w:t>0</w:t>
                  </w:r>
                </w:p>
              </w:tc>
              <w:tc>
                <w:tcPr>
                  <w:tcW w:w="1518"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b/>
                      <w:bCs/>
                    </w:rPr>
                    <w:t>0</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rPr>
                      <w:rFonts w:ascii="Times New Roman" w:hAnsi="Times New Roman"/>
                    </w:rPr>
                  </w:pPr>
                  <w:r w:rsidRPr="0059453D">
                    <w:rPr>
                      <w:rFonts w:ascii="Times New Roman" w:hAnsi="Times New Roman"/>
                      <w:b/>
                      <w:bCs/>
                      <w:i/>
                      <w:iCs/>
                    </w:rPr>
                    <w:t>- z toho vplyv na ŠR</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rPr>
                    <w:t>0</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rPr>
                    <w:t>0</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rPr>
                    <w:t>0</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rPr>
                    <w:t>0</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rPr>
                      <w:rFonts w:ascii="Times New Roman" w:hAnsi="Times New Roman"/>
                    </w:rPr>
                  </w:pPr>
                  <w:r w:rsidRPr="0059453D">
                    <w:rPr>
                      <w:rFonts w:ascii="Times New Roman" w:hAnsi="Times New Roman"/>
                      <w:b/>
                      <w:bCs/>
                    </w:rPr>
                    <w:t>Financovanie zabezpečené v rozpočte</w:t>
                  </w:r>
                </w:p>
              </w:tc>
              <w:tc>
                <w:tcPr>
                  <w:tcW w:w="1367"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b/>
                      <w:bCs/>
                    </w:rPr>
                    <w:t>+9 705 000</w:t>
                  </w:r>
                </w:p>
              </w:tc>
              <w:tc>
                <w:tcPr>
                  <w:tcW w:w="1519"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b/>
                      <w:bCs/>
                    </w:rPr>
                    <w:t>+78 987 000</w:t>
                  </w:r>
                </w:p>
              </w:tc>
              <w:tc>
                <w:tcPr>
                  <w:tcW w:w="1550" w:type="dxa"/>
                  <w:gridSpan w:val="2"/>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b/>
                      <w:bCs/>
                    </w:rPr>
                    <w:t>+99 309 000</w:t>
                  </w:r>
                </w:p>
              </w:tc>
              <w:tc>
                <w:tcPr>
                  <w:tcW w:w="1518" w:type="dxa"/>
                  <w:tcBorders>
                    <w:top w:val="nil"/>
                    <w:left w:val="nil"/>
                    <w:bottom w:val="single" w:sz="8" w:space="0" w:color="000000"/>
                    <w:right w:val="single" w:sz="8" w:space="0" w:color="000000"/>
                  </w:tcBorders>
                  <w:shd w:val="clear" w:color="auto" w:fill="C0C0C0"/>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b/>
                      <w:bCs/>
                    </w:rPr>
                    <w:t>+103 538 000</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rPr>
                      <w:rFonts w:ascii="Times New Roman" w:hAnsi="Times New Roman"/>
                    </w:rPr>
                  </w:pPr>
                  <w:r w:rsidRPr="0059453D">
                    <w:rPr>
                      <w:rFonts w:ascii="Times New Roman" w:hAnsi="Times New Roman"/>
                    </w:rPr>
                    <w:t>verejné zdravotné poistenie</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rPr>
                    <w:t>+9 705 000</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rPr>
                    <w:t>+78 787 000</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rPr>
                    <w:t>+99 159 000</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rPr>
                    <w:t>+103 388 000</w:t>
                  </w:r>
                </w:p>
              </w:tc>
            </w:tr>
            <w:tr>
              <w:tblPrEx>
                <w:tblW w:w="10774" w:type="dxa"/>
                <w:tblCellMar>
                  <w:left w:w="0" w:type="dxa"/>
                  <w:right w:w="0" w:type="dxa"/>
                </w:tblCellMar>
                <w:tblLook w:val="04A0"/>
              </w:tblPrEx>
              <w:tc>
                <w:tcPr>
                  <w:tcW w:w="4820"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rPr>
                      <w:rFonts w:ascii="Times New Roman" w:hAnsi="Times New Roman"/>
                    </w:rPr>
                  </w:pPr>
                  <w:r w:rsidRPr="0059453D">
                    <w:rPr>
                      <w:rFonts w:ascii="Times New Roman" w:hAnsi="Times New Roman"/>
                    </w:rPr>
                    <w:t>Úrad pre dohľad nad zdravotnou starostlivosťou</w:t>
                  </w:r>
                </w:p>
              </w:tc>
              <w:tc>
                <w:tcPr>
                  <w:tcW w:w="136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rPr>
                    <w:t>0</w:t>
                  </w:r>
                </w:p>
              </w:tc>
              <w:tc>
                <w:tcPr>
                  <w:tcW w:w="151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rPr>
                    <w:t>+200 000</w:t>
                  </w:r>
                </w:p>
              </w:tc>
              <w:tc>
                <w:tcPr>
                  <w:tcW w:w="1550"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rPr>
                    <w:t>+150 000</w:t>
                  </w:r>
                </w:p>
              </w:tc>
              <w:tc>
                <w:tcPr>
                  <w:tcW w:w="1518"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textDirection w:val="lrTb"/>
                  <w:vAlign w:val="center"/>
                  <w:hideMark/>
                </w:tcPr>
                <w:p w:rsidR="0059453D" w:rsidRPr="0059453D" w:rsidP="0059453D">
                  <w:pPr>
                    <w:bidi w:val="0"/>
                    <w:jc w:val="right"/>
                    <w:rPr>
                      <w:rFonts w:ascii="Times New Roman" w:hAnsi="Times New Roman"/>
                    </w:rPr>
                  </w:pPr>
                  <w:r w:rsidRPr="0059453D">
                    <w:rPr>
                      <w:rFonts w:ascii="Times New Roman" w:hAnsi="Times New Roman"/>
                    </w:rPr>
                    <w:t>+150 000</w:t>
                  </w:r>
                </w:p>
              </w:tc>
            </w:tr>
            <w:tr>
              <w:tblPrEx>
                <w:tblW w:w="10774" w:type="dxa"/>
                <w:tblCellMar>
                  <w:left w:w="0" w:type="dxa"/>
                  <w:right w:w="0" w:type="dxa"/>
                </w:tblCellMar>
                <w:tblLook w:val="04A0"/>
              </w:tblPrEx>
              <w:tc>
                <w:tcPr>
                  <w:tcW w:w="4820" w:type="dxa"/>
                  <w:tcBorders>
                    <w:top w:val="none" w:sz="0" w:space="0" w:color="auto"/>
                    <w:left w:val="none" w:sz="0" w:space="0" w:color="auto"/>
                    <w:bottom w:val="none" w:sz="0" w:space="0" w:color="auto"/>
                    <w:right w:val="none" w:sz="0" w:space="0" w:color="auto"/>
                  </w:tcBorders>
                  <w:shd w:val="clear" w:color="auto" w:fill="FFFFFF"/>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color w:val="222222"/>
                    </w:rPr>
                    <w:t> </w:t>
                  </w:r>
                </w:p>
              </w:tc>
              <w:tc>
                <w:tcPr>
                  <w:tcW w:w="1367" w:type="dxa"/>
                  <w:tcBorders>
                    <w:top w:val="none" w:sz="0" w:space="0" w:color="auto"/>
                    <w:left w:val="none" w:sz="0" w:space="0" w:color="auto"/>
                    <w:bottom w:val="none" w:sz="0" w:space="0" w:color="auto"/>
                    <w:right w:val="none" w:sz="0" w:space="0" w:color="auto"/>
                  </w:tcBorders>
                  <w:shd w:val="clear" w:color="auto" w:fill="FFFFFF"/>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color w:val="222222"/>
                    </w:rPr>
                    <w:t> </w:t>
                  </w:r>
                </w:p>
              </w:tc>
              <w:tc>
                <w:tcPr>
                  <w:tcW w:w="1519" w:type="dxa"/>
                  <w:tcBorders>
                    <w:top w:val="none" w:sz="0" w:space="0" w:color="auto"/>
                    <w:left w:val="none" w:sz="0" w:space="0" w:color="auto"/>
                    <w:bottom w:val="none" w:sz="0" w:space="0" w:color="auto"/>
                    <w:right w:val="none" w:sz="0" w:space="0" w:color="auto"/>
                  </w:tcBorders>
                  <w:shd w:val="clear" w:color="auto" w:fill="FFFFFF"/>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color w:val="222222"/>
                    </w:rPr>
                    <w:t> </w:t>
                  </w:r>
                </w:p>
              </w:tc>
              <w:tc>
                <w:tcPr>
                  <w:tcW w:w="1550" w:type="dxa"/>
                  <w:gridSpan w:val="2"/>
                  <w:tcBorders>
                    <w:top w:val="none" w:sz="0" w:space="0" w:color="auto"/>
                    <w:left w:val="none" w:sz="0" w:space="0" w:color="auto"/>
                    <w:bottom w:val="none" w:sz="0" w:space="0" w:color="auto"/>
                    <w:right w:val="none" w:sz="0" w:space="0" w:color="auto"/>
                  </w:tcBorders>
                  <w:shd w:val="clear" w:color="auto" w:fill="FFFFFF"/>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color w:val="222222"/>
                    </w:rPr>
                    <w:t> </w:t>
                  </w:r>
                </w:p>
              </w:tc>
              <w:tc>
                <w:tcPr>
                  <w:tcW w:w="1518" w:type="dxa"/>
                  <w:tcBorders>
                    <w:top w:val="none" w:sz="0" w:space="0" w:color="auto"/>
                    <w:left w:val="none" w:sz="0" w:space="0" w:color="auto"/>
                    <w:bottom w:val="none" w:sz="0" w:space="0" w:color="auto"/>
                    <w:right w:val="none" w:sz="0" w:space="0" w:color="auto"/>
                  </w:tcBorders>
                  <w:shd w:val="clear" w:color="auto" w:fill="FFFFFF"/>
                  <w:textDirection w:val="lrTb"/>
                  <w:vAlign w:val="center"/>
                  <w:hideMark/>
                </w:tcPr>
                <w:p w:rsidR="0059453D" w:rsidRPr="0059453D" w:rsidP="0059453D">
                  <w:pPr>
                    <w:bidi w:val="0"/>
                    <w:rPr>
                      <w:rFonts w:ascii="Times New Roman" w:hAnsi="Times New Roman"/>
                      <w:color w:val="222222"/>
                    </w:rPr>
                  </w:pPr>
                  <w:r w:rsidRPr="0059453D">
                    <w:rPr>
                      <w:rFonts w:ascii="Times New Roman" w:hAnsi="Times New Roman"/>
                      <w:color w:val="222222"/>
                    </w:rPr>
                    <w:t> </w:t>
                  </w:r>
                </w:p>
              </w:tc>
            </w:tr>
            <w:tr>
              <w:tblPrEx>
                <w:tblW w:w="10774" w:type="dxa"/>
                <w:tblCellMar>
                  <w:left w:w="0" w:type="dxa"/>
                  <w:right w:w="0" w:type="dxa"/>
                </w:tblCellMar>
                <w:tblLook w:val="04A0"/>
              </w:tblPrEx>
              <w:tc>
                <w:tcPr>
                  <w:tcW w:w="4820" w:type="dxa"/>
                  <w:tcBorders>
                    <w:top w:val="none" w:sz="0" w:space="0" w:color="auto"/>
                    <w:left w:val="none" w:sz="0" w:space="0" w:color="auto"/>
                    <w:bottom w:val="none" w:sz="0" w:space="0" w:color="auto"/>
                    <w:right w:val="none" w:sz="0" w:space="0" w:color="auto"/>
                  </w:tcBorders>
                  <w:shd w:val="clear" w:color="auto" w:fill="FFFFFF"/>
                  <w:textDirection w:val="lrTb"/>
                  <w:vAlign w:val="center"/>
                  <w:hideMark/>
                </w:tcPr>
                <w:p w:rsidR="0059453D" w:rsidRPr="0059453D" w:rsidP="0059453D">
                  <w:pPr>
                    <w:bidi w:val="0"/>
                    <w:jc w:val="left"/>
                    <w:rPr>
                      <w:rFonts w:ascii="Arial" w:hAnsi="Arial" w:cs="Arial"/>
                      <w:color w:val="222222"/>
                      <w:sz w:val="20"/>
                      <w:szCs w:val="20"/>
                    </w:rPr>
                  </w:pPr>
                </w:p>
              </w:tc>
              <w:tc>
                <w:tcPr>
                  <w:tcW w:w="1367" w:type="dxa"/>
                  <w:tcBorders>
                    <w:top w:val="none" w:sz="0" w:space="0" w:color="auto"/>
                    <w:left w:val="none" w:sz="0" w:space="0" w:color="auto"/>
                    <w:bottom w:val="none" w:sz="0" w:space="0" w:color="auto"/>
                    <w:right w:val="none" w:sz="0" w:space="0" w:color="auto"/>
                  </w:tcBorders>
                  <w:shd w:val="clear" w:color="auto" w:fill="FFFFFF"/>
                  <w:textDirection w:val="lrTb"/>
                  <w:vAlign w:val="center"/>
                  <w:hideMark/>
                </w:tcPr>
                <w:p w:rsidR="0059453D" w:rsidRPr="0059453D" w:rsidP="0059453D">
                  <w:pPr>
                    <w:bidi w:val="0"/>
                    <w:jc w:val="left"/>
                    <w:rPr>
                      <w:rFonts w:ascii="Arial" w:hAnsi="Arial" w:cs="Arial"/>
                      <w:color w:val="222222"/>
                      <w:sz w:val="20"/>
                      <w:szCs w:val="20"/>
                    </w:rPr>
                  </w:pPr>
                </w:p>
              </w:tc>
              <w:tc>
                <w:tcPr>
                  <w:tcW w:w="1519" w:type="dxa"/>
                  <w:tcBorders>
                    <w:top w:val="none" w:sz="0" w:space="0" w:color="auto"/>
                    <w:left w:val="none" w:sz="0" w:space="0" w:color="auto"/>
                    <w:bottom w:val="none" w:sz="0" w:space="0" w:color="auto"/>
                    <w:right w:val="none" w:sz="0" w:space="0" w:color="auto"/>
                  </w:tcBorders>
                  <w:shd w:val="clear" w:color="auto" w:fill="FFFFFF"/>
                  <w:textDirection w:val="lrTb"/>
                  <w:vAlign w:val="center"/>
                  <w:hideMark/>
                </w:tcPr>
                <w:p w:rsidR="0059453D" w:rsidRPr="0059453D" w:rsidP="0059453D">
                  <w:pPr>
                    <w:bidi w:val="0"/>
                    <w:jc w:val="left"/>
                    <w:rPr>
                      <w:rFonts w:ascii="Arial" w:hAnsi="Arial" w:cs="Arial"/>
                      <w:color w:val="222222"/>
                      <w:sz w:val="20"/>
                      <w:szCs w:val="20"/>
                    </w:rPr>
                  </w:pPr>
                </w:p>
              </w:tc>
              <w:tc>
                <w:tcPr>
                  <w:tcW w:w="1441" w:type="dxa"/>
                  <w:tcBorders>
                    <w:top w:val="none" w:sz="0" w:space="0" w:color="auto"/>
                    <w:left w:val="none" w:sz="0" w:space="0" w:color="auto"/>
                    <w:bottom w:val="none" w:sz="0" w:space="0" w:color="auto"/>
                    <w:right w:val="none" w:sz="0" w:space="0" w:color="auto"/>
                  </w:tcBorders>
                  <w:shd w:val="clear" w:color="auto" w:fill="FFFFFF"/>
                  <w:textDirection w:val="lrTb"/>
                  <w:vAlign w:val="center"/>
                  <w:hideMark/>
                </w:tcPr>
                <w:p w:rsidR="0059453D" w:rsidRPr="0059453D" w:rsidP="0059453D">
                  <w:pPr>
                    <w:bidi w:val="0"/>
                    <w:jc w:val="left"/>
                    <w:rPr>
                      <w:rFonts w:ascii="Arial" w:hAnsi="Arial" w:cs="Arial"/>
                      <w:color w:val="222222"/>
                      <w:sz w:val="20"/>
                      <w:szCs w:val="20"/>
                    </w:rPr>
                  </w:pPr>
                </w:p>
              </w:tc>
              <w:tc>
                <w:tcPr>
                  <w:tcW w:w="109" w:type="dxa"/>
                  <w:tcBorders>
                    <w:top w:val="none" w:sz="0" w:space="0" w:color="auto"/>
                    <w:left w:val="none" w:sz="0" w:space="0" w:color="auto"/>
                    <w:bottom w:val="none" w:sz="0" w:space="0" w:color="auto"/>
                    <w:right w:val="none" w:sz="0" w:space="0" w:color="auto"/>
                  </w:tcBorders>
                  <w:shd w:val="clear" w:color="auto" w:fill="FFFFFF"/>
                  <w:textDirection w:val="lrTb"/>
                  <w:vAlign w:val="center"/>
                  <w:hideMark/>
                </w:tcPr>
                <w:p w:rsidR="0059453D" w:rsidRPr="0059453D" w:rsidP="0059453D">
                  <w:pPr>
                    <w:bidi w:val="0"/>
                    <w:jc w:val="left"/>
                    <w:rPr>
                      <w:rFonts w:ascii="Arial" w:hAnsi="Arial" w:cs="Arial"/>
                      <w:color w:val="222222"/>
                      <w:sz w:val="20"/>
                      <w:szCs w:val="20"/>
                    </w:rPr>
                  </w:pPr>
                </w:p>
              </w:tc>
              <w:tc>
                <w:tcPr>
                  <w:tcW w:w="1518" w:type="dxa"/>
                  <w:tcBorders>
                    <w:top w:val="none" w:sz="0" w:space="0" w:color="auto"/>
                    <w:left w:val="none" w:sz="0" w:space="0" w:color="auto"/>
                    <w:bottom w:val="none" w:sz="0" w:space="0" w:color="auto"/>
                    <w:right w:val="none" w:sz="0" w:space="0" w:color="auto"/>
                  </w:tcBorders>
                  <w:shd w:val="clear" w:color="auto" w:fill="FFFFFF"/>
                  <w:textDirection w:val="lrTb"/>
                  <w:vAlign w:val="center"/>
                  <w:hideMark/>
                </w:tcPr>
                <w:p w:rsidR="0059453D" w:rsidRPr="0059453D" w:rsidP="0059453D">
                  <w:pPr>
                    <w:bidi w:val="0"/>
                    <w:jc w:val="left"/>
                    <w:rPr>
                      <w:rFonts w:ascii="Arial" w:hAnsi="Arial" w:cs="Arial"/>
                      <w:color w:val="222222"/>
                      <w:sz w:val="20"/>
                      <w:szCs w:val="20"/>
                    </w:rPr>
                  </w:pPr>
                </w:p>
              </w:tc>
            </w:tr>
          </w:tbl>
          <w:p w:rsidR="0059453D" w:rsidRPr="0084290D" w:rsidP="0059453D">
            <w:pPr>
              <w:shd w:val="clear" w:color="auto" w:fill="FFFFFF"/>
              <w:bidi w:val="0"/>
              <w:jc w:val="left"/>
              <w:rPr>
                <w:rFonts w:ascii="Times New Roman" w:hAnsi="Times New Roman"/>
              </w:rPr>
            </w:pPr>
            <w:r w:rsidRPr="0059453D">
              <w:rPr>
                <w:rFonts w:ascii="Arial Narrow" w:hAnsi="Arial Narrow" w:cs="Arial"/>
                <w:color w:val="222222"/>
                <w:sz w:val="20"/>
                <w:szCs w:val="20"/>
              </w:rPr>
              <w:t> </w:t>
            </w:r>
          </w:p>
        </w:tc>
        <w:tc>
          <w:tcPr>
            <w:tcW w:w="146" w:type="dxa"/>
            <w:tcBorders>
              <w:top w:val="nil"/>
              <w:left w:val="nil"/>
              <w:bottom w:val="nil"/>
              <w:right w:val="nil"/>
            </w:tcBorders>
            <w:textDirection w:val="lrTb"/>
            <w:vAlign w:val="center"/>
          </w:tcPr>
          <w:p w:rsidR="005E22B7" w:rsidRPr="0084290D" w:rsidP="000B0AB8">
            <w:pPr>
              <w:bidi w:val="0"/>
              <w:rPr>
                <w:rFonts w:ascii="Times New Roman" w:hAnsi="Times New Roman"/>
              </w:rPr>
            </w:pPr>
          </w:p>
        </w:tc>
        <w:tc>
          <w:tcPr>
            <w:tcW w:w="146" w:type="dxa"/>
            <w:tcBorders>
              <w:top w:val="nil"/>
              <w:left w:val="nil"/>
              <w:bottom w:val="nil"/>
              <w:right w:val="nil"/>
            </w:tcBorders>
            <w:textDirection w:val="lrTb"/>
            <w:vAlign w:val="center"/>
          </w:tcPr>
          <w:p w:rsidR="005E22B7" w:rsidRPr="0084290D" w:rsidP="000B0AB8">
            <w:pPr>
              <w:bidi w:val="0"/>
              <w:rPr>
                <w:rFonts w:ascii="Times New Roman" w:hAnsi="Times New Roman"/>
              </w:rPr>
            </w:pPr>
          </w:p>
        </w:tc>
        <w:tc>
          <w:tcPr>
            <w:tcW w:w="151" w:type="dxa"/>
            <w:tcBorders>
              <w:top w:val="nil"/>
              <w:left w:val="nil"/>
              <w:bottom w:val="nil"/>
              <w:right w:val="nil"/>
            </w:tcBorders>
            <w:textDirection w:val="lrTb"/>
            <w:vAlign w:val="center"/>
          </w:tcPr>
          <w:p w:rsidR="005E22B7" w:rsidRPr="0084290D" w:rsidP="000B0AB8">
            <w:pPr>
              <w:bidi w:val="0"/>
              <w:rPr>
                <w:rFonts w:ascii="Times New Roman" w:hAnsi="Times New Roman"/>
              </w:rPr>
            </w:pPr>
          </w:p>
        </w:tc>
        <w:tc>
          <w:tcPr>
            <w:tcW w:w="146" w:type="dxa"/>
            <w:tcBorders>
              <w:top w:val="nil"/>
              <w:left w:val="nil"/>
              <w:bottom w:val="nil"/>
              <w:right w:val="nil"/>
            </w:tcBorders>
            <w:textDirection w:val="lrTb"/>
            <w:vAlign w:val="center"/>
          </w:tcPr>
          <w:p w:rsidR="005E22B7" w:rsidRPr="0084290D" w:rsidP="000B0AB8">
            <w:pPr>
              <w:bidi w:val="0"/>
              <w:rPr>
                <w:rFonts w:ascii="Times New Roman" w:hAnsi="Times New Roman"/>
              </w:rPr>
            </w:pPr>
          </w:p>
        </w:tc>
      </w:tr>
    </w:tbl>
    <w:p w:rsidR="005E22B7" w:rsidRPr="0084290D" w:rsidP="000B0AB8">
      <w:pPr>
        <w:bidi w:val="0"/>
        <w:rPr>
          <w:rFonts w:ascii="Times New Roman" w:hAnsi="Times New Roman"/>
        </w:rPr>
      </w:pPr>
      <w:r w:rsidRPr="0084290D">
        <w:rPr>
          <w:rFonts w:ascii="Times New Roman" w:hAnsi="Times New Roman"/>
        </w:rPr>
        <w:t xml:space="preserve"> Prepočet medziročného rastu vychádza z priemernej mesačnej mzdy v hospodárstve SR </w:t>
      </w:r>
      <w:r w:rsidRPr="0084290D" w:rsidR="00A30F77">
        <w:rPr>
          <w:rFonts w:ascii="Times New Roman" w:hAnsi="Times New Roman"/>
        </w:rPr>
        <w:t>podľa prognózy IFP MF SR z 31. 1. 2013</w:t>
      </w:r>
      <w:r w:rsidRPr="0084290D">
        <w:rPr>
          <w:rFonts w:ascii="Times New Roman" w:hAnsi="Times New Roman"/>
        </w:rPr>
        <w:t xml:space="preserve">. </w:t>
      </w:r>
    </w:p>
    <w:p w:rsidR="005E22B7" w:rsidRPr="0084290D" w:rsidP="000B0AB8">
      <w:pPr>
        <w:bidi w:val="0"/>
        <w:rPr>
          <w:rFonts w:ascii="Times New Roman" w:hAnsi="Times New Roman"/>
        </w:rPr>
      </w:pPr>
    </w:p>
    <w:p w:rsidR="005E22B7" w:rsidRPr="0084290D" w:rsidP="000B0AB8">
      <w:pPr>
        <w:bidi w:val="0"/>
        <w:outlineLvl w:val="0"/>
        <w:rPr>
          <w:rFonts w:ascii="Times New Roman" w:hAnsi="Times New Roman"/>
        </w:rPr>
      </w:pPr>
      <w:r w:rsidRPr="0084290D">
        <w:rPr>
          <w:rFonts w:ascii="Times New Roman" w:hAnsi="Times New Roman"/>
          <w:b/>
          <w:bCs/>
        </w:rPr>
        <w:t>2.2. Financovanie návrhu</w:t>
      </w:r>
    </w:p>
    <w:p w:rsidR="005E22B7" w:rsidRPr="0084290D" w:rsidP="000B0AB8">
      <w:pPr>
        <w:bidi w:val="0"/>
        <w:jc w:val="right"/>
        <w:rPr>
          <w:rFonts w:ascii="Times New Roman" w:hAnsi="Times New Roman"/>
        </w:rPr>
      </w:pPr>
      <w:r w:rsidRPr="0084290D">
        <w:rPr>
          <w:rFonts w:ascii="Times New Roman" w:hAnsi="Times New Roman"/>
        </w:rPr>
        <w:t>Tabuľka č. 2</w:t>
      </w:r>
    </w:p>
    <w:tbl>
      <w:tblPr>
        <w:tblStyle w:val="TableNormal"/>
        <w:tblW w:w="10774" w:type="dxa"/>
        <w:tblInd w:w="-781" w:type="dxa"/>
        <w:tblCellMar>
          <w:left w:w="0" w:type="dxa"/>
          <w:right w:w="0" w:type="dxa"/>
        </w:tblCellMar>
      </w:tblPr>
      <w:tblGrid>
        <w:gridCol w:w="4820"/>
        <w:gridCol w:w="1418"/>
        <w:gridCol w:w="1417"/>
        <w:gridCol w:w="1560"/>
        <w:gridCol w:w="1559"/>
      </w:tblGrid>
      <w:tr>
        <w:tblPrEx>
          <w:tblW w:w="10774" w:type="dxa"/>
          <w:tblInd w:w="-781" w:type="dxa"/>
          <w:tblCellMar>
            <w:left w:w="0" w:type="dxa"/>
            <w:right w:w="0" w:type="dxa"/>
          </w:tblCellMar>
        </w:tblPrEx>
        <w:trPr>
          <w:trHeight w:val="7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E22B7" w:rsidRPr="0084290D" w:rsidP="000B0AB8">
            <w:pPr>
              <w:bidi w:val="0"/>
              <w:jc w:val="center"/>
              <w:rPr>
                <w:rFonts w:ascii="Times New Roman" w:hAnsi="Times New Roman"/>
              </w:rPr>
            </w:pPr>
            <w:r w:rsidRPr="0084290D">
              <w:rPr>
                <w:rFonts w:ascii="Times New Roman" w:hAnsi="Times New Roman"/>
                <w:b/>
                <w:bCs/>
              </w:rPr>
              <w:t>Financovanie</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E22B7" w:rsidRPr="00183D7B" w:rsidP="00183D7B">
            <w:pPr>
              <w:bidi w:val="0"/>
              <w:jc w:val="center"/>
              <w:rPr>
                <w:rFonts w:ascii="Times New Roman" w:hAnsi="Times New Roman"/>
                <w:sz w:val="22"/>
                <w:szCs w:val="22"/>
              </w:rPr>
            </w:pPr>
            <w:r w:rsidRPr="00183D7B">
              <w:rPr>
                <w:rFonts w:ascii="Times New Roman" w:hAnsi="Times New Roman"/>
                <w:b/>
                <w:bCs/>
                <w:sz w:val="22"/>
                <w:szCs w:val="22"/>
              </w:rPr>
              <w:t>Vplyv na rozpočet verejnej správy</w:t>
            </w:r>
            <w:r w:rsidRPr="00183D7B" w:rsidR="00183D7B">
              <w:rPr>
                <w:rFonts w:ascii="Times New Roman" w:hAnsi="Times New Roman"/>
                <w:b/>
                <w:bCs/>
                <w:sz w:val="22"/>
                <w:szCs w:val="22"/>
              </w:rPr>
              <w:t xml:space="preserve"> (</w:t>
            </w:r>
            <w:r w:rsidRPr="00183D7B" w:rsidR="00183D7B">
              <w:rPr>
                <w:rFonts w:ascii="Arial Narrow" w:hAnsi="Arial Narrow" w:cs="Arial"/>
                <w:b/>
                <w:bCs/>
                <w:color w:val="FFFFFF"/>
                <w:sz w:val="22"/>
                <w:szCs w:val="22"/>
              </w:rPr>
              <w:t>cash=ESA95)</w:t>
            </w:r>
            <w:r w:rsidRPr="00183D7B" w:rsidR="00183D7B">
              <w:rPr>
                <w:rFonts w:ascii="Times New Roman" w:hAnsi="Times New Roman"/>
                <w:b/>
                <w:bCs/>
                <w:sz w:val="22"/>
                <w:szCs w:val="22"/>
              </w:rPr>
              <w:t xml:space="preserve"> </w:t>
            </w:r>
            <w:r w:rsidRPr="00183D7B">
              <w:rPr>
                <w:rFonts w:ascii="Times New Roman" w:hAnsi="Times New Roman"/>
                <w:b/>
                <w:bCs/>
                <w:sz w:val="22"/>
                <w:szCs w:val="22"/>
              </w:rPr>
              <w:t>(v eurách)</w:t>
            </w:r>
          </w:p>
        </w:tc>
      </w:tr>
      <w:tr>
        <w:tblPrEx>
          <w:tblW w:w="10774" w:type="dxa"/>
          <w:tblInd w:w="-781" w:type="dxa"/>
          <w:tblCellMar>
            <w:left w:w="0" w:type="dxa"/>
            <w:right w:w="0" w:type="dxa"/>
          </w:tblCellMar>
        </w:tblPrEx>
        <w:trPr>
          <w:trHeight w:val="70"/>
        </w:trPr>
        <w:tc>
          <w:tcPr>
            <w:tcW w:w="4820" w:type="dxa"/>
            <w:vMerge/>
            <w:tcBorders>
              <w:top w:val="single" w:sz="4" w:space="0" w:color="000000"/>
              <w:left w:val="single" w:sz="4" w:space="0" w:color="000000"/>
              <w:bottom w:val="single" w:sz="4" w:space="0" w:color="000000"/>
              <w:right w:val="single" w:sz="4" w:space="0" w:color="000000"/>
            </w:tcBorders>
            <w:textDirection w:val="lrTb"/>
            <w:vAlign w:val="center"/>
          </w:tcPr>
          <w:p w:rsidR="005E22B7" w:rsidRPr="0084290D" w:rsidP="000B0AB8">
            <w:pPr>
              <w:bidi w:val="0"/>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E22B7" w:rsidRPr="0084290D" w:rsidP="000B0AB8">
            <w:pPr>
              <w:bidi w:val="0"/>
              <w:jc w:val="center"/>
              <w:rPr>
                <w:rFonts w:ascii="Times New Roman" w:hAnsi="Times New Roman"/>
              </w:rPr>
            </w:pPr>
            <w:r w:rsidRPr="0084290D" w:rsidR="00A30F77">
              <w:rPr>
                <w:rFonts w:ascii="Times New Roman" w:hAnsi="Times New Roman"/>
              </w:rPr>
              <w:t>r</w:t>
            </w:r>
            <w:r w:rsidRPr="0084290D">
              <w:rPr>
                <w:rFonts w:ascii="Times New Roman" w:hAnsi="Times New Roman"/>
              </w:rPr>
              <w:t xml:space="preserve"> 201</w:t>
            </w:r>
            <w:r w:rsidRPr="0084290D" w:rsidR="006D2BA9">
              <w:rPr>
                <w:rFonts w:ascii="Times New Roman" w:hAnsi="Times New Roman"/>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E22B7" w:rsidRPr="0084290D" w:rsidP="000B0AB8">
            <w:pPr>
              <w:bidi w:val="0"/>
              <w:jc w:val="center"/>
              <w:rPr>
                <w:rFonts w:ascii="Times New Roman" w:hAnsi="Times New Roman"/>
              </w:rPr>
            </w:pPr>
            <w:r w:rsidRPr="0084290D">
              <w:rPr>
                <w:rFonts w:ascii="Times New Roman" w:hAnsi="Times New Roman"/>
              </w:rPr>
              <w:t>r 201</w:t>
            </w:r>
            <w:r w:rsidRPr="0084290D" w:rsidR="006D2BA9">
              <w:rPr>
                <w:rFonts w:ascii="Times New Roman" w:hAnsi="Times New Roma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E22B7" w:rsidRPr="0084290D" w:rsidP="000B0AB8">
            <w:pPr>
              <w:bidi w:val="0"/>
              <w:jc w:val="center"/>
              <w:rPr>
                <w:rFonts w:ascii="Times New Roman" w:hAnsi="Times New Roman"/>
              </w:rPr>
            </w:pPr>
            <w:r w:rsidRPr="0084290D">
              <w:rPr>
                <w:rFonts w:ascii="Times New Roman" w:hAnsi="Times New Roman"/>
              </w:rPr>
              <w:t>r 201</w:t>
            </w:r>
            <w:r w:rsidRPr="0084290D" w:rsidR="006D2BA9">
              <w:rPr>
                <w:rFonts w:ascii="Times New Roman" w:hAnsi="Times New Roman"/>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E22B7" w:rsidRPr="0084290D" w:rsidP="000B0AB8">
            <w:pPr>
              <w:bidi w:val="0"/>
              <w:jc w:val="center"/>
              <w:rPr>
                <w:rFonts w:ascii="Times New Roman" w:hAnsi="Times New Roman"/>
              </w:rPr>
            </w:pPr>
            <w:r w:rsidRPr="0084290D">
              <w:rPr>
                <w:rFonts w:ascii="Times New Roman" w:hAnsi="Times New Roman"/>
              </w:rPr>
              <w:t>r 201</w:t>
            </w:r>
            <w:r w:rsidRPr="0084290D" w:rsidR="006D2BA9">
              <w:rPr>
                <w:rFonts w:ascii="Times New Roman" w:hAnsi="Times New Roman"/>
              </w:rPr>
              <w:t>6</w:t>
            </w:r>
          </w:p>
        </w:tc>
      </w:tr>
      <w:tr>
        <w:tblPrEx>
          <w:tblW w:w="10774" w:type="dxa"/>
          <w:tblInd w:w="-781" w:type="dxa"/>
          <w:tblCellMar>
            <w:left w:w="0" w:type="dxa"/>
            <w:right w:w="0" w:type="dxa"/>
          </w:tblCellMar>
        </w:tblPrEx>
        <w:trPr>
          <w:trHeight w:val="70"/>
        </w:trPr>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F24518" w:rsidRPr="0084290D" w:rsidP="000B0AB8">
            <w:pPr>
              <w:bidi w:val="0"/>
              <w:rPr>
                <w:rFonts w:ascii="Times New Roman" w:hAnsi="Times New Roman"/>
                <w:b/>
                <w:bCs/>
              </w:rPr>
            </w:pPr>
            <w:r w:rsidRPr="0084290D">
              <w:rPr>
                <w:rFonts w:ascii="Times New Roman" w:hAnsi="Times New Roman"/>
                <w:b/>
                <w:bCs/>
              </w:rPr>
              <w:t xml:space="preserve">Celkový vplyv na rozpočet verejnej správy  </w:t>
            </w:r>
          </w:p>
          <w:p w:rsidR="00F24518" w:rsidRPr="0084290D" w:rsidP="000B0AB8">
            <w:pPr>
              <w:bidi w:val="0"/>
              <w:rPr>
                <w:rFonts w:ascii="Times New Roman" w:hAnsi="Times New Roman"/>
              </w:rPr>
            </w:pPr>
            <w:r w:rsidRPr="0084290D">
              <w:rPr>
                <w:rFonts w:ascii="Times New Roman" w:hAnsi="Times New Roman"/>
                <w:b/>
                <w:bCs/>
              </w:rPr>
              <w:t>( - príjmy, + výdavky)</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F24518" w:rsidRPr="0084290D" w:rsidP="00C83C38">
            <w:pPr>
              <w:bidi w:val="0"/>
              <w:jc w:val="right"/>
              <w:rPr>
                <w:rFonts w:ascii="Times New Roman" w:hAnsi="Times New Roman"/>
              </w:rPr>
            </w:pPr>
            <w:r w:rsidRPr="0084290D">
              <w:rPr>
                <w:rFonts w:ascii="Times New Roman" w:hAnsi="Times New Roman"/>
                <w:b/>
                <w:bCs/>
              </w:rPr>
              <w:t>+ 9 705 000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F24518" w:rsidRPr="0084290D" w:rsidP="00FB018E">
            <w:pPr>
              <w:bidi w:val="0"/>
              <w:jc w:val="right"/>
              <w:rPr>
                <w:rFonts w:ascii="Times New Roman" w:hAnsi="Times New Roman"/>
                <w:b/>
                <w:bCs/>
              </w:rPr>
            </w:pPr>
            <w:r w:rsidRPr="0084290D">
              <w:rPr>
                <w:rFonts w:ascii="Times New Roman" w:hAnsi="Times New Roman"/>
                <w:b/>
                <w:bCs/>
              </w:rPr>
              <w:t xml:space="preserve">+78 </w:t>
            </w:r>
            <w:r>
              <w:rPr>
                <w:rFonts w:ascii="Times New Roman" w:hAnsi="Times New Roman"/>
                <w:b/>
                <w:bCs/>
              </w:rPr>
              <w:t>9</w:t>
            </w:r>
            <w:r w:rsidRPr="0084290D">
              <w:rPr>
                <w:rFonts w:ascii="Times New Roman" w:hAnsi="Times New Roman"/>
                <w:b/>
                <w:bCs/>
              </w:rPr>
              <w:t>87 000</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F24518" w:rsidRPr="0084290D" w:rsidP="00FB018E">
            <w:pPr>
              <w:bidi w:val="0"/>
              <w:jc w:val="right"/>
              <w:rPr>
                <w:rFonts w:ascii="Times New Roman" w:hAnsi="Times New Roman"/>
                <w:b/>
                <w:bCs/>
              </w:rPr>
            </w:pPr>
            <w:r w:rsidRPr="0084290D">
              <w:rPr>
                <w:rFonts w:ascii="Times New Roman" w:hAnsi="Times New Roman"/>
                <w:b/>
                <w:bCs/>
              </w:rPr>
              <w:t xml:space="preserve">+99 </w:t>
            </w:r>
            <w:r>
              <w:rPr>
                <w:rFonts w:ascii="Times New Roman" w:hAnsi="Times New Roman"/>
                <w:b/>
                <w:bCs/>
              </w:rPr>
              <w:t>309</w:t>
            </w:r>
            <w:r w:rsidRPr="0084290D">
              <w:rPr>
                <w:rFonts w:ascii="Times New Roman" w:hAnsi="Times New Roman"/>
                <w:b/>
                <w:bCs/>
              </w:rPr>
              <w:t xml:space="preserve"> 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F24518" w:rsidRPr="0084290D" w:rsidP="00FB018E">
            <w:pPr>
              <w:bidi w:val="0"/>
              <w:jc w:val="right"/>
              <w:rPr>
                <w:rFonts w:ascii="Times New Roman" w:hAnsi="Times New Roman"/>
                <w:b/>
                <w:bCs/>
              </w:rPr>
            </w:pPr>
            <w:r w:rsidRPr="0084290D">
              <w:rPr>
                <w:rFonts w:ascii="Times New Roman" w:hAnsi="Times New Roman"/>
                <w:b/>
                <w:bCs/>
              </w:rPr>
              <w:t xml:space="preserve">+103 </w:t>
            </w:r>
            <w:r>
              <w:rPr>
                <w:rFonts w:ascii="Times New Roman" w:hAnsi="Times New Roman"/>
                <w:b/>
                <w:bCs/>
              </w:rPr>
              <w:t>53</w:t>
            </w:r>
            <w:r w:rsidRPr="0084290D">
              <w:rPr>
                <w:rFonts w:ascii="Times New Roman" w:hAnsi="Times New Roman"/>
                <w:b/>
                <w:bCs/>
              </w:rPr>
              <w:t>8 000</w:t>
            </w:r>
          </w:p>
        </w:tc>
      </w:tr>
      <w:tr>
        <w:tblPrEx>
          <w:tblW w:w="10774" w:type="dxa"/>
          <w:tblInd w:w="-781" w:type="dxa"/>
          <w:tblCellMar>
            <w:left w:w="0" w:type="dxa"/>
            <w:right w:w="0" w:type="dxa"/>
          </w:tblCellMar>
        </w:tblPrEx>
        <w:trPr>
          <w:trHeight w:val="70"/>
        </w:trPr>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40F13" w:rsidRPr="0084290D" w:rsidP="000B0AB8">
            <w:pPr>
              <w:bidi w:val="0"/>
              <w:rPr>
                <w:rFonts w:ascii="Times New Roman" w:hAnsi="Times New Roman"/>
              </w:rPr>
            </w:pPr>
            <w:r w:rsidRPr="0084290D">
              <w:rPr>
                <w:rFonts w:ascii="Times New Roman" w:hAnsi="Times New Roman"/>
              </w:rPr>
              <w:t>  z toho vplyv na ŠR</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40F13" w:rsidRPr="0084290D" w:rsidP="000B0AB8">
            <w:pPr>
              <w:bidi w:val="0"/>
              <w:jc w:val="right"/>
              <w:rPr>
                <w:rFonts w:ascii="Times New Roman" w:hAnsi="Times New Roman"/>
              </w:rPr>
            </w:pPr>
            <w:r w:rsidRPr="0084290D">
              <w:rPr>
                <w:rFonts w:ascii="Times New Roman" w:hAnsi="Times New Roman"/>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40F13" w:rsidRPr="0084290D" w:rsidP="000B0AB8">
            <w:pPr>
              <w:bidi w:val="0"/>
              <w:jc w:val="right"/>
              <w:rPr>
                <w:rFonts w:ascii="Times New Roman" w:hAnsi="Times New Roman"/>
              </w:rPr>
            </w:pPr>
            <w:r w:rsidRPr="0084290D">
              <w:rPr>
                <w:rFonts w:ascii="Times New Roman" w:hAnsi="Times New Roman"/>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40F13" w:rsidRPr="0084290D" w:rsidP="000B0AB8">
            <w:pPr>
              <w:bidi w:val="0"/>
              <w:jc w:val="right"/>
              <w:rPr>
                <w:rFonts w:ascii="Times New Roman" w:hAnsi="Times New Roman"/>
              </w:rPr>
            </w:pPr>
            <w:r w:rsidRPr="0084290D">
              <w:rPr>
                <w:rFonts w:ascii="Times New Roman" w:hAnsi="Times New Roman"/>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40F13" w:rsidRPr="0084290D" w:rsidP="000B0AB8">
            <w:pPr>
              <w:bidi w:val="0"/>
              <w:jc w:val="right"/>
              <w:rPr>
                <w:rFonts w:ascii="Times New Roman" w:hAnsi="Times New Roman"/>
              </w:rPr>
            </w:pPr>
            <w:r w:rsidRPr="0084290D">
              <w:rPr>
                <w:rFonts w:ascii="Times New Roman" w:hAnsi="Times New Roman"/>
              </w:rPr>
              <w:t>0</w:t>
            </w:r>
          </w:p>
        </w:tc>
      </w:tr>
      <w:tr>
        <w:tblPrEx>
          <w:tblW w:w="10774" w:type="dxa"/>
          <w:tblInd w:w="-781" w:type="dxa"/>
          <w:tblCellMar>
            <w:left w:w="0" w:type="dxa"/>
            <w:right w:w="0" w:type="dxa"/>
          </w:tblCellMar>
        </w:tblPrEx>
        <w:trPr>
          <w:trHeight w:val="151"/>
        </w:trPr>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4A22" w:rsidRPr="0084290D" w:rsidP="000B0AB8">
            <w:pPr>
              <w:bidi w:val="0"/>
              <w:rPr>
                <w:rFonts w:ascii="Times New Roman" w:hAnsi="Times New Roman"/>
              </w:rPr>
            </w:pPr>
            <w:r>
              <w:rPr>
                <w:rFonts w:ascii="Times New Roman" w:hAnsi="Times New Roman"/>
              </w:rPr>
              <w:t> </w:t>
            </w:r>
            <w:r w:rsidRPr="0084290D">
              <w:rPr>
                <w:rFonts w:ascii="Times New Roman" w:hAnsi="Times New Roman"/>
              </w:rPr>
              <w:t>financovanie zabezpečené v</w:t>
            </w:r>
            <w:r>
              <w:rPr>
                <w:rFonts w:ascii="Times New Roman" w:hAnsi="Times New Roman"/>
              </w:rPr>
              <w:t> </w:t>
            </w:r>
            <w:r w:rsidRPr="0084290D">
              <w:rPr>
                <w:rFonts w:ascii="Times New Roman" w:hAnsi="Times New Roman"/>
              </w:rPr>
              <w:t>rozpočte</w:t>
            </w:r>
            <w:r>
              <w:rPr>
                <w:rFonts w:ascii="Times New Roman" w:hAnsi="Times New Roman"/>
              </w:rPr>
              <w:t xml:space="preserve"> verejného zdravotného poistenia </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4A22" w:rsidRPr="0084290D" w:rsidP="00C83C38">
            <w:pPr>
              <w:bidi w:val="0"/>
              <w:jc w:val="right"/>
              <w:rPr>
                <w:rFonts w:ascii="Times New Roman" w:hAnsi="Times New Roman"/>
                <w:b/>
                <w:bCs/>
                <w:iCs/>
              </w:rPr>
            </w:pPr>
            <w:r w:rsidRPr="0084290D">
              <w:rPr>
                <w:rFonts w:ascii="Times New Roman" w:hAnsi="Times New Roman"/>
                <w:b/>
                <w:bCs/>
              </w:rPr>
              <w:t>+9 705 000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4A22" w:rsidRPr="0084290D" w:rsidP="00FB018E">
            <w:pPr>
              <w:bidi w:val="0"/>
              <w:jc w:val="right"/>
              <w:rPr>
                <w:rFonts w:ascii="Times New Roman" w:hAnsi="Times New Roman"/>
                <w:b/>
                <w:bCs/>
              </w:rPr>
            </w:pPr>
            <w:r w:rsidRPr="0084290D">
              <w:rPr>
                <w:rFonts w:ascii="Times New Roman" w:hAnsi="Times New Roman"/>
                <w:b/>
                <w:bCs/>
              </w:rPr>
              <w:t xml:space="preserve">+78 </w:t>
            </w:r>
            <w:r>
              <w:rPr>
                <w:rFonts w:ascii="Times New Roman" w:hAnsi="Times New Roman"/>
                <w:b/>
                <w:bCs/>
              </w:rPr>
              <w:t>9</w:t>
            </w:r>
            <w:r w:rsidRPr="0084290D">
              <w:rPr>
                <w:rFonts w:ascii="Times New Roman" w:hAnsi="Times New Roman"/>
                <w:b/>
                <w:bCs/>
              </w:rPr>
              <w:t>87 000</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4A22" w:rsidRPr="0084290D" w:rsidP="00FB018E">
            <w:pPr>
              <w:bidi w:val="0"/>
              <w:jc w:val="right"/>
              <w:rPr>
                <w:rFonts w:ascii="Times New Roman" w:hAnsi="Times New Roman"/>
                <w:b/>
                <w:bCs/>
              </w:rPr>
            </w:pPr>
            <w:r w:rsidRPr="0084290D">
              <w:rPr>
                <w:rFonts w:ascii="Times New Roman" w:hAnsi="Times New Roman"/>
                <w:b/>
                <w:bCs/>
              </w:rPr>
              <w:t xml:space="preserve">+99 </w:t>
            </w:r>
            <w:r>
              <w:rPr>
                <w:rFonts w:ascii="Times New Roman" w:hAnsi="Times New Roman"/>
                <w:b/>
                <w:bCs/>
              </w:rPr>
              <w:t>309</w:t>
            </w:r>
            <w:r w:rsidRPr="0084290D">
              <w:rPr>
                <w:rFonts w:ascii="Times New Roman" w:hAnsi="Times New Roman"/>
                <w:b/>
                <w:bCs/>
              </w:rPr>
              <w:t xml:space="preserve"> 000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C14A22" w:rsidRPr="0084290D" w:rsidP="00FB018E">
            <w:pPr>
              <w:bidi w:val="0"/>
              <w:jc w:val="right"/>
              <w:rPr>
                <w:rFonts w:ascii="Times New Roman" w:hAnsi="Times New Roman"/>
                <w:b/>
                <w:bCs/>
              </w:rPr>
            </w:pPr>
            <w:r w:rsidRPr="0084290D">
              <w:rPr>
                <w:rFonts w:ascii="Times New Roman" w:hAnsi="Times New Roman"/>
                <w:b/>
                <w:bCs/>
              </w:rPr>
              <w:t xml:space="preserve">+103 </w:t>
            </w:r>
            <w:r>
              <w:rPr>
                <w:rFonts w:ascii="Times New Roman" w:hAnsi="Times New Roman"/>
                <w:b/>
                <w:bCs/>
              </w:rPr>
              <w:t>53</w:t>
            </w:r>
            <w:r w:rsidRPr="0084290D">
              <w:rPr>
                <w:rFonts w:ascii="Times New Roman" w:hAnsi="Times New Roman"/>
                <w:b/>
                <w:bCs/>
              </w:rPr>
              <w:t>8 000</w:t>
            </w:r>
          </w:p>
        </w:tc>
      </w:tr>
      <w:tr>
        <w:tblPrEx>
          <w:tblW w:w="10774" w:type="dxa"/>
          <w:tblInd w:w="-781" w:type="dxa"/>
          <w:tblCellMar>
            <w:left w:w="0" w:type="dxa"/>
            <w:right w:w="0" w:type="dxa"/>
          </w:tblCellMar>
        </w:tblPrEx>
        <w:trPr>
          <w:trHeight w:val="70"/>
        </w:trPr>
        <w:tc>
          <w:tcPr>
            <w:tcW w:w="48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40F13" w:rsidRPr="0084290D" w:rsidP="000B0AB8">
            <w:pPr>
              <w:bidi w:val="0"/>
              <w:rPr>
                <w:rFonts w:ascii="Times New Roman" w:hAnsi="Times New Roman"/>
              </w:rPr>
            </w:pPr>
            <w:r w:rsidRPr="0084290D">
              <w:rPr>
                <w:rFonts w:ascii="Times New Roman" w:hAnsi="Times New Roman"/>
                <w:b/>
                <w:bCs/>
              </w:rPr>
              <w:t>Rozpočtovo nekrytý vplyv / úspora</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E40F13" w:rsidRPr="0084290D" w:rsidP="000B0AB8">
            <w:pPr>
              <w:bidi w:val="0"/>
              <w:jc w:val="right"/>
              <w:rPr>
                <w:rFonts w:ascii="Times New Roman" w:hAnsi="Times New Roman"/>
                <w:b/>
                <w:bCs/>
              </w:rPr>
            </w:pPr>
            <w:r w:rsidRPr="0084290D">
              <w:rPr>
                <w:rFonts w:ascii="Times New Roman" w:hAnsi="Times New Roman"/>
                <w:b/>
                <w:bCs/>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E40F13" w:rsidRPr="0084290D" w:rsidP="000B0AB8">
            <w:pPr>
              <w:bidi w:val="0"/>
              <w:jc w:val="right"/>
              <w:rPr>
                <w:rFonts w:ascii="Times New Roman" w:hAnsi="Times New Roman"/>
                <w:b/>
                <w:bCs/>
              </w:rPr>
            </w:pPr>
            <w:r w:rsidRPr="0084290D">
              <w:rPr>
                <w:rFonts w:ascii="Times New Roman" w:hAnsi="Times New Roman"/>
                <w:b/>
                <w:bCs/>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E40F13" w:rsidRPr="0084290D" w:rsidP="000B0AB8">
            <w:pPr>
              <w:bidi w:val="0"/>
              <w:jc w:val="right"/>
              <w:rPr>
                <w:rFonts w:ascii="Times New Roman" w:hAnsi="Times New Roman"/>
                <w:b/>
                <w:bCs/>
              </w:rPr>
            </w:pPr>
            <w:r w:rsidRPr="0084290D">
              <w:rPr>
                <w:rFonts w:ascii="Times New Roman" w:hAnsi="Times New Roman"/>
                <w:b/>
                <w:bCs/>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bottom"/>
          </w:tcPr>
          <w:p w:rsidR="00E40F13" w:rsidRPr="0084290D" w:rsidP="000B0AB8">
            <w:pPr>
              <w:bidi w:val="0"/>
              <w:jc w:val="right"/>
              <w:rPr>
                <w:rFonts w:ascii="Times New Roman" w:hAnsi="Times New Roman"/>
                <w:b/>
                <w:bCs/>
              </w:rPr>
            </w:pPr>
            <w:r w:rsidRPr="0084290D">
              <w:rPr>
                <w:rFonts w:ascii="Times New Roman" w:hAnsi="Times New Roman"/>
                <w:b/>
                <w:bCs/>
              </w:rPr>
              <w:t>0</w:t>
            </w:r>
          </w:p>
        </w:tc>
      </w:tr>
      <w:tr>
        <w:tblPrEx>
          <w:tblW w:w="10774" w:type="dxa"/>
          <w:tblInd w:w="-781" w:type="dxa"/>
          <w:tblCellMar>
            <w:left w:w="0" w:type="dxa"/>
            <w:right w:w="0" w:type="dxa"/>
          </w:tblCellMar>
        </w:tblPrEx>
        <w:tc>
          <w:tcPr>
            <w:tcW w:w="4820" w:type="dxa"/>
            <w:tcBorders>
              <w:top w:val="nil"/>
              <w:left w:val="nil"/>
              <w:bottom w:val="nil"/>
              <w:right w:val="nil"/>
            </w:tcBorders>
            <w:textDirection w:val="lrTb"/>
            <w:vAlign w:val="center"/>
          </w:tcPr>
          <w:p w:rsidR="00E40F13" w:rsidP="000B0AB8">
            <w:pPr>
              <w:bidi w:val="0"/>
              <w:rPr>
                <w:rFonts w:ascii="Times New Roman" w:hAnsi="Times New Roman"/>
              </w:rPr>
            </w:pPr>
          </w:p>
          <w:p w:rsidR="00C14A22" w:rsidRPr="0084290D" w:rsidP="000B0AB8">
            <w:pPr>
              <w:bidi w:val="0"/>
              <w:rPr>
                <w:rFonts w:ascii="Times New Roman" w:hAnsi="Times New Roman"/>
              </w:rPr>
            </w:pPr>
          </w:p>
        </w:tc>
        <w:tc>
          <w:tcPr>
            <w:tcW w:w="1418" w:type="dxa"/>
            <w:tcBorders>
              <w:top w:val="nil"/>
              <w:left w:val="nil"/>
              <w:bottom w:val="nil"/>
              <w:right w:val="nil"/>
            </w:tcBorders>
            <w:textDirection w:val="lrTb"/>
            <w:vAlign w:val="center"/>
          </w:tcPr>
          <w:p w:rsidR="00E40F13" w:rsidRPr="0084290D" w:rsidP="000B0AB8">
            <w:pPr>
              <w:bidi w:val="0"/>
              <w:rPr>
                <w:rFonts w:ascii="Times New Roman" w:hAnsi="Times New Roman"/>
              </w:rPr>
            </w:pPr>
          </w:p>
        </w:tc>
        <w:tc>
          <w:tcPr>
            <w:tcW w:w="1417" w:type="dxa"/>
            <w:tcBorders>
              <w:top w:val="nil"/>
              <w:left w:val="nil"/>
              <w:bottom w:val="nil"/>
              <w:right w:val="nil"/>
            </w:tcBorders>
            <w:textDirection w:val="lrTb"/>
            <w:vAlign w:val="center"/>
          </w:tcPr>
          <w:p w:rsidR="00E40F13" w:rsidRPr="0084290D" w:rsidP="000B0AB8">
            <w:pPr>
              <w:bidi w:val="0"/>
              <w:rPr>
                <w:rFonts w:ascii="Times New Roman" w:hAnsi="Times New Roman"/>
              </w:rPr>
            </w:pPr>
          </w:p>
        </w:tc>
        <w:tc>
          <w:tcPr>
            <w:tcW w:w="1560" w:type="dxa"/>
            <w:tcBorders>
              <w:top w:val="nil"/>
              <w:left w:val="nil"/>
              <w:bottom w:val="nil"/>
              <w:right w:val="nil"/>
            </w:tcBorders>
            <w:textDirection w:val="lrTb"/>
            <w:vAlign w:val="center"/>
          </w:tcPr>
          <w:p w:rsidR="00E40F13" w:rsidRPr="0084290D" w:rsidP="000B0AB8">
            <w:pPr>
              <w:bidi w:val="0"/>
              <w:rPr>
                <w:rFonts w:ascii="Times New Roman" w:hAnsi="Times New Roman"/>
              </w:rPr>
            </w:pPr>
          </w:p>
        </w:tc>
        <w:tc>
          <w:tcPr>
            <w:tcW w:w="1559" w:type="dxa"/>
            <w:tcBorders>
              <w:top w:val="nil"/>
              <w:left w:val="nil"/>
              <w:bottom w:val="nil"/>
              <w:right w:val="nil"/>
            </w:tcBorders>
            <w:textDirection w:val="lrTb"/>
            <w:vAlign w:val="center"/>
          </w:tcPr>
          <w:p w:rsidR="00E40F13" w:rsidRPr="0084290D" w:rsidP="000B0AB8">
            <w:pPr>
              <w:bidi w:val="0"/>
              <w:rPr>
                <w:rFonts w:ascii="Times New Roman" w:hAnsi="Times New Roman"/>
              </w:rPr>
            </w:pPr>
          </w:p>
        </w:tc>
      </w:tr>
    </w:tbl>
    <w:p w:rsidR="005E22B7" w:rsidRPr="0084290D" w:rsidP="000B0AB8">
      <w:pPr>
        <w:bidi w:val="0"/>
        <w:rPr>
          <w:rFonts w:ascii="Times New Roman" w:hAnsi="Times New Roman"/>
          <w:b/>
          <w:bCs/>
        </w:rPr>
      </w:pPr>
      <w:r w:rsidRPr="0084290D">
        <w:rPr>
          <w:rFonts w:ascii="Times New Roman" w:hAnsi="Times New Roman"/>
        </w:rPr>
        <w:t> </w:t>
      </w:r>
      <w:r w:rsidRPr="0084290D">
        <w:rPr>
          <w:rFonts w:ascii="Times New Roman" w:hAnsi="Times New Roman"/>
          <w:b/>
          <w:bCs/>
        </w:rPr>
        <w:t>Návrh na riešenie úbytku príjmov alebo zvýšených výdavkov podľa § 33 ods. 1 zákona č. 523/2004 Z. z. o rozpočtových pravidlách verejnej správy:</w:t>
      </w:r>
    </w:p>
    <w:p w:rsidR="00087D75" w:rsidRPr="0084290D" w:rsidP="000B0AB8">
      <w:pPr>
        <w:bidi w:val="0"/>
        <w:rPr>
          <w:rFonts w:ascii="Times New Roman" w:hAnsi="Times New Roman"/>
        </w:rPr>
      </w:pPr>
    </w:p>
    <w:p w:rsidR="005E22B7" w:rsidRPr="0084290D" w:rsidP="000B0AB8">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84290D" w:rsidR="00A179E3">
        <w:rPr>
          <w:rFonts w:ascii="Times New Roman" w:hAnsi="Times New Roman"/>
        </w:rPr>
        <w:t xml:space="preserve">Zvýšené nároky na rozpočet </w:t>
      </w:r>
      <w:r w:rsidR="00C14A22">
        <w:rPr>
          <w:rFonts w:ascii="Times New Roman" w:hAnsi="Times New Roman"/>
        </w:rPr>
        <w:t xml:space="preserve">verejného zdravotného poistenia </w:t>
      </w:r>
      <w:r w:rsidRPr="0084290D" w:rsidR="00A179E3">
        <w:rPr>
          <w:rFonts w:ascii="Times New Roman" w:hAnsi="Times New Roman"/>
        </w:rPr>
        <w:t>budú rieš</w:t>
      </w:r>
      <w:r w:rsidR="00C14A22">
        <w:rPr>
          <w:rFonts w:ascii="Times New Roman" w:hAnsi="Times New Roman"/>
        </w:rPr>
        <w:t>ené</w:t>
      </w:r>
      <w:r w:rsidRPr="0084290D" w:rsidR="00A179E3">
        <w:rPr>
          <w:rFonts w:ascii="Times New Roman" w:hAnsi="Times New Roman"/>
        </w:rPr>
        <w:t xml:space="preserve"> z vlastných existujúcich zdrojov financovania</w:t>
      </w:r>
      <w:r w:rsidR="00C14A22">
        <w:rPr>
          <w:rFonts w:ascii="Times New Roman" w:hAnsi="Times New Roman"/>
        </w:rPr>
        <w:t xml:space="preserve"> </w:t>
      </w:r>
      <w:r w:rsidRPr="0084290D" w:rsidR="00C14A22">
        <w:rPr>
          <w:rFonts w:ascii="Times New Roman" w:hAnsi="Times New Roman"/>
        </w:rPr>
        <w:t>zdravotných pois</w:t>
      </w:r>
      <w:r w:rsidR="00C14A22">
        <w:rPr>
          <w:rFonts w:ascii="Times New Roman" w:hAnsi="Times New Roman"/>
        </w:rPr>
        <w:t>ťovní.</w:t>
      </w:r>
    </w:p>
    <w:p w:rsidR="00481846" w:rsidRPr="0084290D" w:rsidP="000B0AB8">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84290D">
        <w:rPr>
          <w:rFonts w:ascii="Times New Roman" w:hAnsi="Times New Roman"/>
        </w:rPr>
        <w:t xml:space="preserve">Zdravotné poisťovne majú zákonnú povinnosť uhrádzať poistencom verejného zdravotného poistenia poskytovanú zdravotnú starostlivosť. </w:t>
      </w:r>
    </w:p>
    <w:p w:rsidR="00017142" w:rsidRPr="0084290D" w:rsidP="000B0AB8">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84290D">
        <w:rPr>
          <w:rFonts w:ascii="Times New Roman" w:hAnsi="Times New Roman"/>
        </w:rPr>
        <w:t>Nedopĺňajú sa nové kompetencie pre samosprávne kraje ani komory, iba sa konkretizujú údaje, ktoré majú zasielať a zrušuje sa povinnosť komôr zasielať kópie vydaných licencií.</w:t>
      </w:r>
    </w:p>
    <w:p w:rsidR="00481846" w:rsidRPr="0084290D" w:rsidP="000B0AB8">
      <w:pPr>
        <w:pBdr>
          <w:top w:val="single" w:sz="4" w:space="1" w:color="000000"/>
          <w:left w:val="single" w:sz="4" w:space="4" w:color="000000"/>
          <w:bottom w:val="single" w:sz="4" w:space="1" w:color="000000"/>
          <w:right w:val="single" w:sz="4" w:space="4" w:color="000000"/>
        </w:pBdr>
        <w:bidi w:val="0"/>
        <w:rPr>
          <w:rFonts w:ascii="Times New Roman" w:hAnsi="Times New Roman"/>
        </w:rPr>
      </w:pPr>
    </w:p>
    <w:p w:rsidR="005249AB" w:rsidRPr="0084290D" w:rsidP="000B0AB8">
      <w:pPr>
        <w:bidi w:val="0"/>
        <w:adjustRightInd w:val="0"/>
        <w:ind w:left="360"/>
        <w:rPr>
          <w:rFonts w:ascii="Times New Roman" w:hAnsi="Times New Roman"/>
          <w:i/>
          <w:iCs/>
          <w:u w:val="single"/>
        </w:rPr>
      </w:pPr>
    </w:p>
    <w:p w:rsidR="005E22B7" w:rsidRPr="0084290D" w:rsidP="0084290D">
      <w:pPr>
        <w:bidi w:val="0"/>
        <w:adjustRightInd w:val="0"/>
        <w:rPr>
          <w:rFonts w:ascii="Times New Roman" w:hAnsi="Times New Roman"/>
          <w:i/>
          <w:iCs/>
          <w:u w:val="single"/>
        </w:rPr>
      </w:pPr>
      <w:r w:rsidRPr="0084290D" w:rsidR="00A179E3">
        <w:rPr>
          <w:rFonts w:ascii="Times New Roman" w:hAnsi="Times New Roman"/>
          <w:i/>
          <w:iCs/>
          <w:u w:val="single"/>
        </w:rPr>
        <w:t>Cezhraničná zdravotná starostlivosť</w:t>
      </w:r>
    </w:p>
    <w:p w:rsidR="00A179E3" w:rsidRPr="0084290D" w:rsidP="000B0AB8">
      <w:pPr>
        <w:bidi w:val="0"/>
        <w:rPr>
          <w:rFonts w:ascii="Times New Roman" w:hAnsi="Times New Roman"/>
        </w:rPr>
      </w:pPr>
      <w:r w:rsidRPr="0084290D">
        <w:rPr>
          <w:rFonts w:ascii="Times New Roman" w:hAnsi="Times New Roman"/>
        </w:rPr>
        <w:t>Podľa údajov Úradu pre dohľad nad zdravotnou starostlivosťou v r. 2011 využilo cezhraničnú zdravotnú starostlivosť (pri súčasne platnej podmienke predchádzajúceho schválenia príslušnou zdravotnou poisťovňou) 801 osôb, pričom celková uhradená suma za poskytnutú zdravotnú starostlivosť bola vo výške 3 837 227 eur.</w:t>
      </w:r>
    </w:p>
    <w:p w:rsidR="00A179E3" w:rsidRPr="0084290D" w:rsidP="000B0AB8">
      <w:pPr>
        <w:bidi w:val="0"/>
        <w:rPr>
          <w:rFonts w:ascii="Times New Roman" w:hAnsi="Times New Roman"/>
        </w:rPr>
      </w:pPr>
      <w:r w:rsidRPr="0084290D">
        <w:rPr>
          <w:rFonts w:ascii="Times New Roman" w:hAnsi="Times New Roman"/>
        </w:rPr>
        <w:t>Pri porovnaní s celkovým objemom výdavkov na zdravotnú starostlivosť v r. 2011 – 3 362,3 mil. eur predstavuje táto suma 0,11%.</w:t>
      </w:r>
    </w:p>
    <w:p w:rsidR="00A179E3" w:rsidRPr="0084290D" w:rsidP="000B0AB8">
      <w:pPr>
        <w:bidi w:val="0"/>
        <w:rPr>
          <w:rFonts w:ascii="Times New Roman" w:hAnsi="Times New Roman"/>
        </w:rPr>
      </w:pPr>
      <w:r w:rsidRPr="0084290D">
        <w:rPr>
          <w:rFonts w:ascii="Times New Roman" w:hAnsi="Times New Roman"/>
        </w:rPr>
        <w:t>Pri porovnaní s mobilitou pacientov v rámci EÚ (cca 1%) je možné skonštatovať, že tento objem je nízky.</w:t>
      </w:r>
    </w:p>
    <w:p w:rsidR="00A179E3" w:rsidRPr="0084290D" w:rsidP="000B0AB8">
      <w:pPr>
        <w:bidi w:val="0"/>
        <w:rPr>
          <w:rFonts w:ascii="Times New Roman" w:hAnsi="Times New Roman"/>
        </w:rPr>
      </w:pPr>
    </w:p>
    <w:p w:rsidR="00A179E3" w:rsidRPr="0084290D" w:rsidP="000B0AB8">
      <w:pPr>
        <w:bidi w:val="0"/>
        <w:rPr>
          <w:rFonts w:ascii="Times New Roman" w:hAnsi="Times New Roman"/>
        </w:rPr>
      </w:pPr>
      <w:r w:rsidRPr="0084290D">
        <w:rPr>
          <w:rFonts w:ascii="Times New Roman" w:hAnsi="Times New Roman"/>
        </w:rPr>
        <w:t>Je predpoklad, že po prijatí tohto návrhu a odstránení administratívnych bariér v podobe predchádzajúceho súhlasu sa tento počet bude postupne zvyšovať a priblíži sa celoeurópskemu priemeru, ktorý sa bude tiež mierne zvyšovať; pri odhade vplyvov sa uvažovalo v r. 2013 s nárastom na 1% (v alikvotnej časti 3 mesiacov) a v r. 2014 s ďalším nárastom o </w:t>
      </w:r>
      <w:r w:rsidRPr="0084290D">
        <w:rPr>
          <w:rFonts w:ascii="Times New Roman" w:hAnsi="Times New Roman"/>
        </w:rPr>
        <w:t>½ percentuálneho bodu na 1,5%.</w:t>
      </w:r>
    </w:p>
    <w:p w:rsidR="00A179E3" w:rsidRPr="0084290D" w:rsidP="000B0AB8">
      <w:pPr>
        <w:bidi w:val="0"/>
        <w:rPr>
          <w:rFonts w:ascii="Times New Roman" w:hAnsi="Times New Roman"/>
        </w:rPr>
      </w:pPr>
    </w:p>
    <w:p w:rsidR="00A179E3" w:rsidRPr="00C14A22" w:rsidP="00C14A22">
      <w:pPr>
        <w:bidi w:val="0"/>
        <w:rPr>
          <w:rFonts w:ascii="Times New Roman" w:hAnsi="Times New Roman"/>
        </w:rPr>
      </w:pPr>
      <w:r w:rsidRPr="0084290D">
        <w:rPr>
          <w:rFonts w:ascii="Times New Roman" w:hAnsi="Times New Roman"/>
        </w:rPr>
        <w:t xml:space="preserve">Dopad na rozpočet </w:t>
      </w:r>
      <w:r w:rsidR="00C14A22">
        <w:rPr>
          <w:rFonts w:ascii="Times New Roman" w:hAnsi="Times New Roman"/>
        </w:rPr>
        <w:t xml:space="preserve">verejného zdravotného poistenia </w:t>
      </w:r>
      <w:r w:rsidRPr="0084290D">
        <w:rPr>
          <w:rFonts w:ascii="Times New Roman" w:hAnsi="Times New Roman"/>
        </w:rPr>
        <w:t>bude negatívny, nakoľko je reálny predpoklad, že cezhraničnú zdravotnú starostlivosť budú využívať predovšetkým osoby, ktoré by na poskytnutie zdravotnej starostlivosti v SR museli čakať z kapacitných dôvodov. Úhrady zazmluvnenej kapacity budú musieť byť zo strany zdravotných poisťovní navýšené o úhradu poskytnutej zdravotnej starostlivosti</w:t>
      </w:r>
      <w:r w:rsidRPr="0084290D" w:rsidR="00ED73B7">
        <w:rPr>
          <w:rFonts w:ascii="Times New Roman" w:hAnsi="Times New Roman"/>
        </w:rPr>
        <w:t xml:space="preserve"> v zahraničí</w:t>
      </w:r>
      <w:r w:rsidRPr="0084290D">
        <w:rPr>
          <w:rFonts w:ascii="Times New Roman" w:hAnsi="Times New Roman"/>
        </w:rPr>
        <w:t>.</w:t>
      </w:r>
      <w:r w:rsidR="00C14A22">
        <w:rPr>
          <w:rFonts w:ascii="Times New Roman" w:hAnsi="Times New Roman"/>
        </w:rPr>
        <w:t xml:space="preserve"> </w:t>
      </w:r>
      <w:r w:rsidRPr="0084290D">
        <w:rPr>
          <w:rFonts w:ascii="Times New Roman" w:hAnsi="Times New Roman"/>
          <w:iCs/>
        </w:rPr>
        <w:t>Vplyv návrhu je kry</w:t>
      </w:r>
      <w:r w:rsidR="00C14A22">
        <w:rPr>
          <w:rFonts w:ascii="Times New Roman" w:hAnsi="Times New Roman"/>
          <w:iCs/>
        </w:rPr>
        <w:t>tý v rámci schváleného rozpočtu verejného zdravotného poistenia</w:t>
      </w:r>
      <w:r w:rsidRPr="0084290D">
        <w:rPr>
          <w:rFonts w:ascii="Times New Roman" w:hAnsi="Times New Roman"/>
          <w:iCs/>
        </w:rPr>
        <w:t>.</w:t>
      </w:r>
    </w:p>
    <w:p w:rsidR="00087D75" w:rsidRPr="0084290D" w:rsidP="000B0AB8">
      <w:pPr>
        <w:bidi w:val="0"/>
        <w:adjustRightInd w:val="0"/>
        <w:rPr>
          <w:rFonts w:ascii="Times New Roman" w:hAnsi="Times New Roman"/>
          <w:iCs/>
        </w:rPr>
      </w:pPr>
    </w:p>
    <w:p w:rsidR="00087D75" w:rsidRPr="0084290D" w:rsidP="0084290D">
      <w:pPr>
        <w:bidi w:val="0"/>
        <w:rPr>
          <w:rFonts w:ascii="Times New Roman" w:hAnsi="Times New Roman"/>
          <w:i/>
          <w:u w:val="single"/>
        </w:rPr>
      </w:pPr>
      <w:r w:rsidRPr="0084290D">
        <w:rPr>
          <w:rFonts w:ascii="Times New Roman" w:hAnsi="Times New Roman"/>
          <w:i/>
          <w:u w:val="single"/>
        </w:rPr>
        <w:t>Úrad pre dohľad nad zdravotnou starostlivosťou</w:t>
      </w:r>
    </w:p>
    <w:p w:rsidR="00087D75" w:rsidP="000B0AB8">
      <w:pPr>
        <w:bidi w:val="0"/>
        <w:adjustRightInd w:val="0"/>
        <w:rPr>
          <w:rFonts w:ascii="Times New Roman" w:hAnsi="Times New Roman"/>
          <w:iCs/>
        </w:rPr>
      </w:pPr>
      <w:r w:rsidRPr="0084290D">
        <w:rPr>
          <w:rFonts w:ascii="Times New Roman" w:hAnsi="Times New Roman"/>
          <w:iCs/>
        </w:rPr>
        <w:t>Dopĺňajú sa nové kompetencie – vy</w:t>
      </w:r>
      <w:r w:rsidR="00F24518">
        <w:rPr>
          <w:rFonts w:ascii="Times New Roman" w:hAnsi="Times New Roman"/>
          <w:iCs/>
        </w:rPr>
        <w:t xml:space="preserve">konávať činnosti </w:t>
      </w:r>
      <w:r w:rsidRPr="0084290D">
        <w:rPr>
          <w:rFonts w:ascii="Times New Roman" w:hAnsi="Times New Roman"/>
          <w:iCs/>
        </w:rPr>
        <w:t>Národné</w:t>
      </w:r>
      <w:r w:rsidR="00F24518">
        <w:rPr>
          <w:rFonts w:ascii="Times New Roman" w:hAnsi="Times New Roman"/>
          <w:iCs/>
        </w:rPr>
        <w:t>ho</w:t>
      </w:r>
      <w:r w:rsidRPr="0084290D">
        <w:rPr>
          <w:rFonts w:ascii="Times New Roman" w:hAnsi="Times New Roman"/>
          <w:iCs/>
        </w:rPr>
        <w:t xml:space="preserve"> kontaktné</w:t>
      </w:r>
      <w:r w:rsidR="00F24518">
        <w:rPr>
          <w:rFonts w:ascii="Times New Roman" w:hAnsi="Times New Roman"/>
          <w:iCs/>
        </w:rPr>
        <w:t>ho</w:t>
      </w:r>
      <w:r w:rsidRPr="0084290D">
        <w:rPr>
          <w:rFonts w:ascii="Times New Roman" w:hAnsi="Times New Roman"/>
          <w:iCs/>
        </w:rPr>
        <w:t xml:space="preserve"> miest</w:t>
      </w:r>
      <w:r w:rsidR="00F24518">
        <w:rPr>
          <w:rFonts w:ascii="Times New Roman" w:hAnsi="Times New Roman"/>
          <w:iCs/>
        </w:rPr>
        <w:t>a</w:t>
      </w:r>
      <w:r w:rsidRPr="0084290D">
        <w:rPr>
          <w:rFonts w:ascii="Times New Roman" w:hAnsi="Times New Roman"/>
          <w:iCs/>
        </w:rPr>
        <w:t xml:space="preserve"> – zvýšené kompetencie bude zabezpečovať Úrad pre dohľad nad zdravotnou starostlivosťou z vlastných zdrojov.</w:t>
      </w:r>
    </w:p>
    <w:p w:rsidR="008B53F6" w:rsidP="008B53F6">
      <w:pPr>
        <w:bidi w:val="0"/>
        <w:rPr>
          <w:rFonts w:ascii="Times New Roman" w:hAnsi="Times New Roman"/>
        </w:rPr>
      </w:pPr>
      <w:r>
        <w:rPr>
          <w:rFonts w:ascii="Times New Roman" w:hAnsi="Times New Roman"/>
        </w:rPr>
        <w:t xml:space="preserve">Finančné prostriedky potrebné na prípravu a zahájenie činnosti </w:t>
      </w:r>
      <w:r w:rsidR="00F24518">
        <w:rPr>
          <w:rFonts w:ascii="Times New Roman" w:hAnsi="Times New Roman"/>
        </w:rPr>
        <w:t>Národného kontaktného miesta</w:t>
      </w:r>
      <w:r>
        <w:rPr>
          <w:rFonts w:ascii="Times New Roman" w:hAnsi="Times New Roman"/>
        </w:rPr>
        <w:t xml:space="preserve"> bude potrebné zabezpečiť v tejto štruktúre:</w:t>
      </w:r>
    </w:p>
    <w:p w:rsidR="008B53F6" w:rsidP="008B53F6">
      <w:pPr>
        <w:pStyle w:val="ListParagraph"/>
        <w:numPr>
          <w:numId w:val="5"/>
        </w:numPr>
        <w:bidi w:val="0"/>
        <w:contextualSpacing/>
        <w:rPr>
          <w:rFonts w:ascii="Times New Roman" w:hAnsi="Times New Roman"/>
        </w:rPr>
      </w:pPr>
      <w:r>
        <w:rPr>
          <w:rFonts w:ascii="Times New Roman" w:hAnsi="Times New Roman"/>
        </w:rPr>
        <w:t>Náklady na prípravu,</w:t>
      </w:r>
    </w:p>
    <w:p w:rsidR="008B53F6" w:rsidP="008B53F6">
      <w:pPr>
        <w:pStyle w:val="ListParagraph"/>
        <w:numPr>
          <w:numId w:val="5"/>
        </w:numPr>
        <w:bidi w:val="0"/>
        <w:contextualSpacing/>
        <w:rPr>
          <w:rFonts w:ascii="Times New Roman" w:hAnsi="Times New Roman"/>
        </w:rPr>
      </w:pPr>
      <w:r>
        <w:rPr>
          <w:rFonts w:ascii="Times New Roman" w:hAnsi="Times New Roman"/>
        </w:rPr>
        <w:t>Náklady na nákup potrebnej technickej infraštruktúry pre činnosť,</w:t>
      </w:r>
    </w:p>
    <w:p w:rsidR="008B53F6" w:rsidP="008B53F6">
      <w:pPr>
        <w:pStyle w:val="ListParagraph"/>
        <w:numPr>
          <w:numId w:val="5"/>
        </w:numPr>
        <w:bidi w:val="0"/>
        <w:contextualSpacing/>
        <w:rPr>
          <w:rFonts w:ascii="Times New Roman" w:hAnsi="Times New Roman"/>
        </w:rPr>
      </w:pPr>
      <w:r>
        <w:rPr>
          <w:rFonts w:ascii="Times New Roman" w:hAnsi="Times New Roman"/>
        </w:rPr>
        <w:t xml:space="preserve">Náklady na </w:t>
      </w:r>
      <w:r w:rsidR="00F24518">
        <w:rPr>
          <w:rFonts w:ascii="Times New Roman" w:hAnsi="Times New Roman"/>
        </w:rPr>
        <w:t>o</w:t>
      </w:r>
      <w:r>
        <w:rPr>
          <w:rFonts w:ascii="Times New Roman" w:hAnsi="Times New Roman"/>
        </w:rPr>
        <w:t>bstaranie produkčného portálu,</w:t>
      </w:r>
    </w:p>
    <w:p w:rsidR="008B53F6" w:rsidP="008B53F6">
      <w:pPr>
        <w:pStyle w:val="ListParagraph"/>
        <w:numPr>
          <w:numId w:val="5"/>
        </w:numPr>
        <w:bidi w:val="0"/>
        <w:contextualSpacing/>
        <w:rPr>
          <w:rFonts w:ascii="Times New Roman" w:hAnsi="Times New Roman"/>
        </w:rPr>
      </w:pPr>
      <w:r>
        <w:rPr>
          <w:rFonts w:ascii="Times New Roman" w:hAnsi="Times New Roman"/>
        </w:rPr>
        <w:t>Náklady na nákup produkčného portálu,</w:t>
      </w:r>
    </w:p>
    <w:p w:rsidR="008B53F6" w:rsidP="008B53F6">
      <w:pPr>
        <w:pStyle w:val="ListParagraph"/>
        <w:numPr>
          <w:numId w:val="5"/>
        </w:numPr>
        <w:bidi w:val="0"/>
        <w:contextualSpacing/>
        <w:rPr>
          <w:rFonts w:ascii="Times New Roman" w:hAnsi="Times New Roman"/>
        </w:rPr>
      </w:pPr>
      <w:r w:rsidR="00F24518">
        <w:rPr>
          <w:rFonts w:ascii="Times New Roman" w:hAnsi="Times New Roman"/>
        </w:rPr>
        <w:t>Náklady na prevádzku</w:t>
      </w:r>
      <w:r>
        <w:rPr>
          <w:rFonts w:ascii="Times New Roman" w:hAnsi="Times New Roman"/>
        </w:rPr>
        <w:t>,</w:t>
      </w:r>
    </w:p>
    <w:p w:rsidR="008B53F6" w:rsidP="008B53F6">
      <w:pPr>
        <w:pStyle w:val="ListParagraph"/>
        <w:numPr>
          <w:numId w:val="5"/>
        </w:numPr>
        <w:bidi w:val="0"/>
        <w:contextualSpacing/>
        <w:rPr>
          <w:rFonts w:ascii="Times New Roman" w:hAnsi="Times New Roman"/>
        </w:rPr>
      </w:pPr>
      <w:r>
        <w:rPr>
          <w:rFonts w:ascii="Times New Roman" w:hAnsi="Times New Roman"/>
        </w:rPr>
        <w:t>náklady na prevádzku produkčného portálu.</w:t>
      </w:r>
    </w:p>
    <w:p w:rsidR="008B53F6" w:rsidRPr="0084290D" w:rsidP="000B0AB8">
      <w:pPr>
        <w:bidi w:val="0"/>
        <w:adjustRightInd w:val="0"/>
        <w:rPr>
          <w:rFonts w:ascii="Times New Roman" w:hAnsi="Times New Roman"/>
          <w:iCs/>
        </w:rPr>
      </w:pPr>
      <w:r w:rsidR="00F24518">
        <w:rPr>
          <w:rFonts w:ascii="Times New Roman" w:hAnsi="Times New Roman"/>
          <w:iCs/>
        </w:rPr>
        <w:t xml:space="preserve">Výška nákladov v roku 2014 sa odhaduje na 200 000 eur, v ďalších  rokoch sa odhaduje na 150 000 eur. Úrad pre dohľad nad zdravotnou starostlivosťou si krytie týchto výdavkov zabezpečí v rámci </w:t>
      </w:r>
      <w:r w:rsidRPr="00B11A92" w:rsidR="00F24518">
        <w:rPr>
          <w:rFonts w:ascii="Times New Roman" w:hAnsi="Times New Roman"/>
          <w:iCs/>
        </w:rPr>
        <w:t>v rámci svojich rozpočtovaných výdavkov.</w:t>
      </w:r>
    </w:p>
    <w:p w:rsidR="00A179E3" w:rsidRPr="0084290D" w:rsidP="000B0AB8">
      <w:pPr>
        <w:bidi w:val="0"/>
        <w:adjustRightInd w:val="0"/>
        <w:ind w:left="360"/>
        <w:rPr>
          <w:rFonts w:ascii="Times New Roman" w:hAnsi="Times New Roman"/>
          <w:i/>
          <w:iCs/>
        </w:rPr>
      </w:pPr>
    </w:p>
    <w:p w:rsidR="00A179E3" w:rsidRPr="0084290D" w:rsidP="0084290D">
      <w:pPr>
        <w:bidi w:val="0"/>
        <w:adjustRightInd w:val="0"/>
        <w:rPr>
          <w:rFonts w:ascii="Times New Roman" w:hAnsi="Times New Roman"/>
          <w:i/>
          <w:iCs/>
          <w:u w:val="single"/>
        </w:rPr>
      </w:pPr>
      <w:r w:rsidRPr="0084290D">
        <w:rPr>
          <w:rFonts w:ascii="Times New Roman" w:hAnsi="Times New Roman"/>
          <w:i/>
          <w:iCs/>
          <w:u w:val="single"/>
        </w:rPr>
        <w:t>Zmena v minimálnom mzdovom nároku</w:t>
      </w:r>
    </w:p>
    <w:p w:rsidR="005E22B7" w:rsidRPr="0084290D" w:rsidP="000B0AB8">
      <w:pPr>
        <w:bidi w:val="0"/>
        <w:adjustRightInd w:val="0"/>
        <w:rPr>
          <w:rFonts w:ascii="Times New Roman" w:hAnsi="Times New Roman"/>
        </w:rPr>
      </w:pPr>
      <w:r w:rsidRPr="0084290D">
        <w:rPr>
          <w:rFonts w:ascii="Times New Roman" w:hAnsi="Times New Roman"/>
          <w:iCs/>
        </w:rPr>
        <w:t xml:space="preserve">Zdravotnícke zariadenia ústavnej zdravotnej starostlivosti financované zo zdrojov </w:t>
      </w:r>
      <w:r w:rsidR="00C14A22">
        <w:rPr>
          <w:rFonts w:ascii="Times New Roman" w:hAnsi="Times New Roman"/>
          <w:iCs/>
        </w:rPr>
        <w:t xml:space="preserve">verejného </w:t>
      </w:r>
      <w:r w:rsidRPr="0084290D">
        <w:rPr>
          <w:rFonts w:ascii="Times New Roman" w:hAnsi="Times New Roman"/>
          <w:iCs/>
        </w:rPr>
        <w:t xml:space="preserve">zdravotného poistenia - </w:t>
      </w:r>
      <w:r w:rsidRPr="0084290D">
        <w:rPr>
          <w:rFonts w:ascii="Times New Roman" w:hAnsi="Times New Roman"/>
        </w:rPr>
        <w:t xml:space="preserve">finančné prostriedky súvisiace so zmenami premietnutými do návrhu zákona </w:t>
      </w:r>
      <w:r w:rsidRPr="0084290D">
        <w:rPr>
          <w:rFonts w:ascii="Times New Roman" w:hAnsi="Times New Roman"/>
          <w:b/>
        </w:rPr>
        <w:t>nie sú kryté v rámci schváleného rozpočtu kapitoly Ministerstva zdravotníctva SR na roky 2013 – 2015</w:t>
      </w:r>
      <w:r w:rsidRPr="0084290D">
        <w:rPr>
          <w:rFonts w:ascii="Times New Roman" w:hAnsi="Times New Roman"/>
        </w:rPr>
        <w:t xml:space="preserve">. Výdavky predstavujú </w:t>
      </w:r>
      <w:r w:rsidRPr="0084290D" w:rsidR="005249AB">
        <w:rPr>
          <w:rFonts w:ascii="Times New Roman" w:hAnsi="Times New Roman"/>
        </w:rPr>
        <w:t xml:space="preserve">negatívny </w:t>
      </w:r>
      <w:r w:rsidRPr="0084290D">
        <w:rPr>
          <w:rFonts w:ascii="Times New Roman" w:hAnsi="Times New Roman"/>
        </w:rPr>
        <w:t>dopad na výdavkovú časť rozpočtu verejnej správy</w:t>
      </w:r>
      <w:r w:rsidRPr="0084290D" w:rsidR="00481846">
        <w:rPr>
          <w:rFonts w:ascii="Times New Roman" w:hAnsi="Times New Roman"/>
        </w:rPr>
        <w:t xml:space="preserve"> a budú kryté v rámci ex</w:t>
      </w:r>
      <w:r w:rsidR="00B97FF3">
        <w:rPr>
          <w:rFonts w:ascii="Times New Roman" w:hAnsi="Times New Roman"/>
        </w:rPr>
        <w:t>istujúcich zdrojov v rozpočt</w:t>
      </w:r>
      <w:r w:rsidR="00C14A22">
        <w:rPr>
          <w:rFonts w:ascii="Times New Roman" w:hAnsi="Times New Roman"/>
        </w:rPr>
        <w:t>e</w:t>
      </w:r>
      <w:r w:rsidR="00B97FF3">
        <w:rPr>
          <w:rFonts w:ascii="Times New Roman" w:hAnsi="Times New Roman"/>
        </w:rPr>
        <w:t xml:space="preserve"> </w:t>
      </w:r>
      <w:r w:rsidRPr="00B11A92" w:rsidR="00B97FF3">
        <w:rPr>
          <w:rFonts w:ascii="Times New Roman" w:hAnsi="Times New Roman"/>
        </w:rPr>
        <w:t>verejného zdravotného poistenia</w:t>
      </w:r>
      <w:r w:rsidRPr="00B11A92">
        <w:rPr>
          <w:rFonts w:ascii="Times New Roman" w:hAnsi="Times New Roman"/>
        </w:rPr>
        <w:t>.</w:t>
      </w:r>
      <w:r w:rsidRPr="0084290D">
        <w:rPr>
          <w:rFonts w:ascii="Times New Roman" w:hAnsi="Times New Roman"/>
        </w:rPr>
        <w:t xml:space="preserve"> </w:t>
      </w:r>
    </w:p>
    <w:p w:rsidR="005E22B7" w:rsidRPr="0084290D" w:rsidP="000B0AB8">
      <w:pPr>
        <w:bidi w:val="0"/>
        <w:adjustRightInd w:val="0"/>
        <w:ind w:left="360"/>
        <w:rPr>
          <w:rFonts w:ascii="Times New Roman" w:hAnsi="Times New Roman"/>
          <w:iCs/>
        </w:rPr>
      </w:pPr>
    </w:p>
    <w:p w:rsidR="005E22B7" w:rsidRPr="0084290D" w:rsidP="000B0AB8">
      <w:pPr>
        <w:bidi w:val="0"/>
        <w:outlineLvl w:val="0"/>
        <w:rPr>
          <w:rFonts w:ascii="Times New Roman" w:hAnsi="Times New Roman"/>
        </w:rPr>
      </w:pPr>
      <w:r w:rsidRPr="0084290D">
        <w:rPr>
          <w:rFonts w:ascii="Times New Roman" w:hAnsi="Times New Roman"/>
          <w:b/>
          <w:bCs/>
        </w:rPr>
        <w:t>2.3. Popis a charakteristika návrhu</w:t>
      </w:r>
    </w:p>
    <w:p w:rsidR="005E22B7" w:rsidRPr="0084290D" w:rsidP="000B0AB8">
      <w:pPr>
        <w:bidi w:val="0"/>
        <w:rPr>
          <w:rFonts w:ascii="Times New Roman" w:hAnsi="Times New Roman"/>
        </w:rPr>
      </w:pPr>
      <w:r w:rsidRPr="0084290D">
        <w:rPr>
          <w:rFonts w:ascii="Times New Roman" w:hAnsi="Times New Roman"/>
        </w:rPr>
        <w:t> </w:t>
      </w:r>
    </w:p>
    <w:p w:rsidR="005E22B7" w:rsidRPr="0084290D" w:rsidP="000B0AB8">
      <w:pPr>
        <w:bidi w:val="0"/>
        <w:outlineLvl w:val="0"/>
        <w:rPr>
          <w:rFonts w:ascii="Times New Roman" w:hAnsi="Times New Roman"/>
        </w:rPr>
      </w:pPr>
      <w:r w:rsidRPr="0084290D">
        <w:rPr>
          <w:rFonts w:ascii="Times New Roman" w:hAnsi="Times New Roman"/>
          <w:b/>
          <w:bCs/>
        </w:rPr>
        <w:t>2.3.1. Popis návrhu:</w:t>
      </w:r>
    </w:p>
    <w:p w:rsidR="005E22B7" w:rsidRPr="0084290D" w:rsidP="000B0AB8">
      <w:pPr>
        <w:bidi w:val="0"/>
        <w:rPr>
          <w:rFonts w:ascii="Times New Roman" w:hAnsi="Times New Roman"/>
        </w:rPr>
      </w:pPr>
      <w:r w:rsidRPr="0084290D">
        <w:rPr>
          <w:rFonts w:ascii="Times New Roman" w:hAnsi="Times New Roman"/>
          <w:b/>
          <w:bCs/>
        </w:rPr>
        <w:t> </w:t>
      </w:r>
    </w:p>
    <w:p w:rsidR="009F6F3E" w:rsidRPr="0084290D" w:rsidP="000B0AB8">
      <w:pPr>
        <w:pStyle w:val="NormalWeb"/>
        <w:bidi w:val="0"/>
        <w:spacing w:before="0" w:beforeAutospacing="0" w:after="0" w:afterAutospacing="0"/>
        <w:ind w:right="-108" w:firstLine="708"/>
        <w:jc w:val="both"/>
        <w:rPr>
          <w:rStyle w:val="Textzstupnhosymbolu2"/>
          <w:color w:val="auto"/>
        </w:rPr>
      </w:pPr>
      <w:r w:rsidRPr="0084290D">
        <w:rPr>
          <w:rFonts w:ascii="Times New Roman" w:hAnsi="Times New Roman"/>
        </w:rPr>
        <w:t>Návrhom zákona sa transponuje smernica Európskeho parlamentu a Rady 2011/24/EÚ z 9. marca 2011 o uplatňovaní práv pacientov pri cezhraničnej zdravotnej starostlivosti (ďalej len „smernica“) s lehotou na prebratie smernice do 25. októbra 2013</w:t>
      </w:r>
      <w:r w:rsidRPr="0084290D">
        <w:rPr>
          <w:rStyle w:val="Textzstupnhosymbolu2"/>
          <w:color w:val="auto"/>
        </w:rPr>
        <w:t>.</w:t>
      </w:r>
    </w:p>
    <w:p w:rsidR="009F6F3E" w:rsidRPr="0084290D" w:rsidP="000B0AB8">
      <w:pPr>
        <w:bidi w:val="0"/>
        <w:ind w:firstLine="708"/>
        <w:rPr>
          <w:rFonts w:ascii="Times New Roman" w:hAnsi="Times New Roman"/>
        </w:rPr>
      </w:pPr>
      <w:r w:rsidRPr="0084290D">
        <w:rPr>
          <w:rFonts w:ascii="Times New Roman" w:hAnsi="Times New Roman"/>
        </w:rPr>
        <w:t xml:space="preserve">Smernica je spolu s nariadeniami 883/2004 a 987/2009 právnym nástrojom upravujúcim práva a povinnosti migrujúcich osôb zúčastnených na poskytovaní zdravotnej starostlivosti. Smernica obsahuje zosumarizované rozsudky Európskeho súdneho dvora. Prehľad rozsudkov je uvedený v doložke zlučiteľnosti. Podľa smernice majú pacienti právo na bezpečné a kvalitné ošetrenie v rámci EÚ i na zodpovedajúcu úhradu nákladov. S pacientmi, ktorí cestujú do iného členského štátu EÚ, aby im tam bola poskytnutá lekárska starostlivosť, sa bude zaobchádzať rovnako ako s občanmi krajiny, v ktorej sú ošetrovaní. </w:t>
      </w:r>
    </w:p>
    <w:p w:rsidR="009F6F3E" w:rsidRPr="0084290D" w:rsidP="000B0AB8">
      <w:pPr>
        <w:bidi w:val="0"/>
        <w:ind w:firstLine="708"/>
        <w:rPr>
          <w:rFonts w:ascii="Times New Roman" w:hAnsi="Times New Roman"/>
        </w:rPr>
      </w:pPr>
      <w:r w:rsidRPr="0084290D">
        <w:rPr>
          <w:rFonts w:ascii="Times New Roman" w:hAnsi="Times New Roman"/>
        </w:rPr>
        <w:t>Platí duálne uplatňovanie nariadenia a smernice - vždy sa skúma, či sú pri pacientovi splnené podmienky pre uplatnenie nariadenia. Ak sa zistí, že sú splnené, uplatní sa nariadenie so svojimi postupmi, okrem prípadov, ak pacient vyslovene trvá na poskytnutí zdravotnej starostlivosti podľa ustanovení smernice. Ambulantná zdravotná starostlivosť (bez ohľadu na charakter poskytovateľa zdravotnej starostlivosti – verejný, súkromný, zmluvný, nezmluvný) sa poskytuje pacientovi bez predchádzajúceho súhlasu príslušnej inštitúcie pacienta v príslušnom štáte a následne po úhrade nákladov za jej poskytnutie pacientom, si možno žiadať ich refundáciu v príslušnom štáte. Cena poskytnutej zdravotnej starostlivosti musí byť nediskriminačná vo vzťahu k zahraničným pacientom a členský štát EÚ musí vytvoriť transparentný mechanizmus na výpočet nákladov za poskytnutú cezhraničnú zdravotnú starostlivosť. Pacientom bude uhradená rovnaká suma, ktorá by bola uhradená za rovnaký druh zdravotnej starostlivosti v</w:t>
      </w:r>
      <w:r w:rsidRPr="0084290D" w:rsidR="00534500">
        <w:rPr>
          <w:rFonts w:ascii="Times New Roman" w:hAnsi="Times New Roman"/>
        </w:rPr>
        <w:t> Slovenskej republike</w:t>
      </w:r>
      <w:r w:rsidRPr="0084290D">
        <w:rPr>
          <w:rFonts w:ascii="Times New Roman" w:hAnsi="Times New Roman"/>
        </w:rPr>
        <w:t xml:space="preserve"> (čl. 7 smernice). Slovenská republika sa rozhodla zaviesť systém tzv. predchádzajúceho povolenia (súhlas s poskytovaním zdravotnej starostlivosti) podľa čl. 8 smernice. Súhlas s poskytovaním zdravotnej starostlivosti možno obmedziť alebo neudeliť, ak by pre pacienta alebo obyvateľstvo znamenala riziko, prípadne by poskytovateľ zdravotnej starostlivosti vyvolával obavy pokiaľ ide o dodržiavanie noriem pre kvalitu starostlivosti a bezpečnosť pacienta, príp. je možné túto starostlivosť poskytnúť na území príslušného štátu v lehote, ktorá je lekársky opodstatnená, zohľadňujúc jeho zdravotný stav a vývoj ochorenia (čl. 8 smernice). </w:t>
      </w:r>
      <w:r w:rsidRPr="0084290D" w:rsidR="00534500">
        <w:rPr>
          <w:rFonts w:ascii="Times New Roman" w:hAnsi="Times New Roman"/>
        </w:rPr>
        <w:t>Zdravotná poisťovňa</w:t>
      </w:r>
      <w:r w:rsidRPr="0084290D">
        <w:rPr>
          <w:rFonts w:ascii="Times New Roman" w:hAnsi="Times New Roman"/>
        </w:rPr>
        <w:t xml:space="preserve"> nemôže odmietnuť udelenie súhlasu s poskytovaním zdravotnej starostlivosti, ak jej poskytnutie nie je možné na území príslušného štátu. Musí však ísť o zdravotnú starostlivosť, ktorá je zahrnutá do rozsahu zdravotnej starostlivosti poskytovanej a uhrádzanej z verejného zdravotného poistenia príslušného štátu (čl. 8 smernice). V prípade zamietnutia súhlasu s poskytovaním zdravotnej starostlivosti môže pacient požiadať o preskúmanie individuálneho rozhodnutia týkajúceho sa jeho práv a povinností </w:t>
      </w:r>
      <w:r w:rsidRPr="0084290D" w:rsidR="00534500">
        <w:rPr>
          <w:rFonts w:ascii="Times New Roman" w:hAnsi="Times New Roman"/>
        </w:rPr>
        <w:t xml:space="preserve">súdom </w:t>
      </w:r>
      <w:r w:rsidRPr="0084290D">
        <w:rPr>
          <w:rFonts w:ascii="Times New Roman" w:hAnsi="Times New Roman"/>
        </w:rPr>
        <w:t xml:space="preserve">(čl. 9 smernice). </w:t>
      </w:r>
    </w:p>
    <w:p w:rsidR="009F6F3E" w:rsidRPr="0084290D" w:rsidP="000B0AB8">
      <w:pPr>
        <w:bidi w:val="0"/>
        <w:ind w:firstLine="708"/>
        <w:rPr>
          <w:rFonts w:ascii="Times New Roman" w:hAnsi="Times New Roman"/>
        </w:rPr>
      </w:pPr>
      <w:r w:rsidRPr="0084290D">
        <w:rPr>
          <w:rFonts w:ascii="Times New Roman" w:hAnsi="Times New Roman"/>
        </w:rPr>
        <w:t>Vo financovaní a úhrade zdravotnej starostlivosti smernica pripúšťa nielen náhradu pacientom vynaložených nákladov, ale aj priamu úhradu nákladov príslušným štátom</w:t>
      </w:r>
      <w:r w:rsidRPr="0084290D" w:rsidR="00534500">
        <w:rPr>
          <w:rFonts w:ascii="Times New Roman" w:hAnsi="Times New Roman"/>
        </w:rPr>
        <w:t>, avšak toto Slovenská republika nevyužíva</w:t>
      </w:r>
      <w:r w:rsidRPr="0084290D">
        <w:rPr>
          <w:rFonts w:ascii="Times New Roman" w:hAnsi="Times New Roman"/>
        </w:rPr>
        <w:t xml:space="preserve">. </w:t>
      </w:r>
      <w:r w:rsidRPr="0084290D" w:rsidR="00534500">
        <w:rPr>
          <w:rFonts w:ascii="Times New Roman" w:hAnsi="Times New Roman"/>
        </w:rPr>
        <w:t>S</w:t>
      </w:r>
      <w:r w:rsidRPr="0084290D">
        <w:rPr>
          <w:rFonts w:ascii="Times New Roman" w:hAnsi="Times New Roman"/>
        </w:rPr>
        <w:t>tanov</w:t>
      </w:r>
      <w:r w:rsidRPr="0084290D" w:rsidR="00534500">
        <w:rPr>
          <w:rFonts w:ascii="Times New Roman" w:hAnsi="Times New Roman"/>
        </w:rPr>
        <w:t>ujú sa</w:t>
      </w:r>
      <w:r w:rsidRPr="0084290D">
        <w:rPr>
          <w:rFonts w:ascii="Times New Roman" w:hAnsi="Times New Roman"/>
        </w:rPr>
        <w:t xml:space="preserve"> nediskriminačné postupy za akých podmienok </w:t>
      </w:r>
      <w:r w:rsidRPr="0084290D" w:rsidR="00534500">
        <w:rPr>
          <w:rFonts w:ascii="Times New Roman" w:hAnsi="Times New Roman"/>
        </w:rPr>
        <w:t xml:space="preserve">sa </w:t>
      </w:r>
      <w:r w:rsidRPr="0084290D">
        <w:rPr>
          <w:rFonts w:ascii="Times New Roman" w:hAnsi="Times New Roman"/>
        </w:rPr>
        <w:t>uhrad</w:t>
      </w:r>
      <w:r w:rsidRPr="0084290D" w:rsidR="00534500">
        <w:rPr>
          <w:rFonts w:ascii="Times New Roman" w:hAnsi="Times New Roman"/>
        </w:rPr>
        <w:t>í</w:t>
      </w:r>
      <w:r w:rsidRPr="0084290D">
        <w:rPr>
          <w:rFonts w:ascii="Times New Roman" w:hAnsi="Times New Roman"/>
        </w:rPr>
        <w:t xml:space="preserve"> poskytnut</w:t>
      </w:r>
      <w:r w:rsidRPr="0084290D" w:rsidR="00534500">
        <w:rPr>
          <w:rFonts w:ascii="Times New Roman" w:hAnsi="Times New Roman"/>
        </w:rPr>
        <w:t>á</w:t>
      </w:r>
      <w:r w:rsidRPr="0084290D">
        <w:rPr>
          <w:rFonts w:ascii="Times New Roman" w:hAnsi="Times New Roman"/>
        </w:rPr>
        <w:t xml:space="preserve"> zdravotnú starostlivosť v inom členskom štáte EÚ (čl. 7 smernice). Smernica ustanovuje zodpovednosť krajiny poskytnutia zdravotnej starostlivosti aj príslušného štátu za sťažnosti a odškodňovanie nárokov súvisiacich s poskytovaním zdravotnej starostlivosti. Pacientom budú poskytovať všetky potrebné informácie v tejto oblasti vnútroštátne kontaktné miesta (čl. 4, 6 smernice). </w:t>
      </w:r>
    </w:p>
    <w:p w:rsidR="009F6F3E" w:rsidRPr="0084290D" w:rsidP="000B0AB8">
      <w:pPr>
        <w:bidi w:val="0"/>
        <w:ind w:firstLine="708"/>
        <w:rPr>
          <w:rFonts w:ascii="Times New Roman" w:hAnsi="Times New Roman"/>
        </w:rPr>
      </w:pPr>
      <w:r w:rsidRPr="0084290D">
        <w:rPr>
          <w:rFonts w:ascii="Times New Roman" w:hAnsi="Times New Roman"/>
        </w:rPr>
        <w:t xml:space="preserve">Na zabezpečenie kontinuity poskytovania zdravotnej starostlivosti </w:t>
      </w:r>
      <w:r w:rsidRPr="0084290D" w:rsidR="00534500">
        <w:rPr>
          <w:rFonts w:ascii="Times New Roman" w:hAnsi="Times New Roman"/>
        </w:rPr>
        <w:t>sa zabezpečuje</w:t>
      </w:r>
      <w:r w:rsidRPr="0084290D">
        <w:rPr>
          <w:rFonts w:ascii="Times New Roman" w:hAnsi="Times New Roman"/>
        </w:rPr>
        <w:t xml:space="preserve">, aby mali pacienti prístup k svojim písomným alebo elektronickým lekárskym záznamom o ošetrení, ktoré im bolo poskytnuté. </w:t>
      </w:r>
      <w:r w:rsidRPr="0084290D" w:rsidR="00534500">
        <w:rPr>
          <w:rFonts w:ascii="Times New Roman" w:hAnsi="Times New Roman"/>
        </w:rPr>
        <w:t>Z</w:t>
      </w:r>
      <w:r w:rsidRPr="0084290D">
        <w:rPr>
          <w:rFonts w:ascii="Times New Roman" w:hAnsi="Times New Roman"/>
        </w:rPr>
        <w:t>ais</w:t>
      </w:r>
      <w:r w:rsidRPr="0084290D" w:rsidR="00534500">
        <w:rPr>
          <w:rFonts w:ascii="Times New Roman" w:hAnsi="Times New Roman"/>
        </w:rPr>
        <w:t>ťuje sa</w:t>
      </w:r>
      <w:r w:rsidRPr="0084290D">
        <w:rPr>
          <w:rFonts w:ascii="Times New Roman" w:hAnsi="Times New Roman"/>
        </w:rPr>
        <w:t xml:space="preserve">, aby následná lekárska starostlivosť bola rovnako kvalitná, bez ohľadu na to, v ktorom členskom štáte EÚ k ošetreniu došlo. </w:t>
      </w:r>
      <w:r w:rsidRPr="0084290D" w:rsidR="00534500">
        <w:rPr>
          <w:rFonts w:ascii="Times New Roman" w:hAnsi="Times New Roman"/>
        </w:rPr>
        <w:t xml:space="preserve">Zavádza sa </w:t>
      </w:r>
      <w:r w:rsidRPr="0084290D">
        <w:rPr>
          <w:rFonts w:ascii="Times New Roman" w:hAnsi="Times New Roman"/>
        </w:rPr>
        <w:t xml:space="preserve">povinnosť zabezpečovať následnú zdravotnú starostlivosť (kontrolné prehliadky), ako keby bola poskytnutá na jeho území (čl. 5 smernice). </w:t>
      </w:r>
    </w:p>
    <w:p w:rsidR="009F6F3E" w:rsidRPr="0084290D" w:rsidP="000B0AB8">
      <w:pPr>
        <w:bidi w:val="0"/>
        <w:ind w:firstLine="708"/>
        <w:rPr>
          <w:rFonts w:ascii="Times New Roman" w:hAnsi="Times New Roman"/>
        </w:rPr>
      </w:pPr>
      <w:r w:rsidRPr="0084290D">
        <w:rPr>
          <w:rFonts w:ascii="Times New Roman" w:hAnsi="Times New Roman"/>
        </w:rPr>
        <w:t xml:space="preserve">Smernica ukladá novú povinnosť budovať národné kontaktné miesta poskytujúce informačný servis o právach pacientov vo všetkých členských štátoch EÚ. </w:t>
      </w:r>
      <w:r w:rsidRPr="0084290D" w:rsidR="00534500">
        <w:rPr>
          <w:rFonts w:ascii="Times New Roman" w:hAnsi="Times New Roman"/>
        </w:rPr>
        <w:t xml:space="preserve">Národným kontaktným miestom bude Úrad pre dohľad nad zdravotnou starostlivosťou. </w:t>
      </w:r>
      <w:r w:rsidRPr="0084290D">
        <w:rPr>
          <w:rFonts w:ascii="Times New Roman" w:hAnsi="Times New Roman"/>
        </w:rPr>
        <w:t xml:space="preserve">Tieto strediská si budú vymieňať informácie a budú môcť pacientom poskytovať praktické informácie o podmienkach a výškach uhrádzania, o možných ošetreniach, poskytovateľoch, postupoch pri odškodňovaní atď. Pacienti potom budú mať jasnejšiu predstavu o kvalite a bezpečnosti zdravotnej starostlivosti poskytovanej v zahraničí, čo povedie k informovanejším rozhodnutiam o cezhraničnej zdravotnej starostlivosti. Smernica posilňuje spoluprácu členských štátov EÚ v oblasti e-Health, najmä v oblasti dostupnosti písomných alebo elektronických lekárskych záznamov pacienta pre poskytovateľa zdravotnej starostlivosti v členskom štáte ošetrenia (čl. 14 smernice). </w:t>
      </w:r>
    </w:p>
    <w:p w:rsidR="009F6F3E" w:rsidRPr="0084290D" w:rsidP="000B0AB8">
      <w:pPr>
        <w:bidi w:val="0"/>
        <w:ind w:firstLine="708"/>
        <w:rPr>
          <w:rFonts w:ascii="Times New Roman" w:hAnsi="Times New Roman"/>
        </w:rPr>
      </w:pPr>
      <w:r w:rsidRPr="0084290D">
        <w:rPr>
          <w:rFonts w:ascii="Times New Roman" w:hAnsi="Times New Roman"/>
        </w:rPr>
        <w:t xml:space="preserve">Lekársky predpis z iného členského štátu EÚ bude uznaný v štáte poistenia pacienta tak, aby sa zabezpečila kontinuita poskytovania zdravotnej starostlivosti po návrate pacienta do štátu poistenia. Pacient má nárok na predpísaný liek vtedy, ak je v krajine, kde ho chce vybrať dostupný a povolený na predaj (čl. 11 smernice). </w:t>
      </w:r>
    </w:p>
    <w:p w:rsidR="00534500" w:rsidRPr="0084290D" w:rsidP="000B0AB8">
      <w:pPr>
        <w:bidi w:val="0"/>
        <w:ind w:firstLine="708"/>
        <w:rPr>
          <w:rFonts w:ascii="Times New Roman" w:hAnsi="Times New Roman"/>
        </w:rPr>
      </w:pPr>
      <w:r w:rsidRPr="0084290D">
        <w:rPr>
          <w:rFonts w:ascii="Times New Roman" w:hAnsi="Times New Roman"/>
        </w:rPr>
        <w:t>Návrh budú implementovať Úrad pre dohľad nad zdravotnou starostlivosťou, zdravotné poisťovne a poskytovatelia zdravotnej starostlivosti.</w:t>
      </w:r>
    </w:p>
    <w:p w:rsidR="009F6F3E" w:rsidP="000B0AB8">
      <w:pPr>
        <w:bidi w:val="0"/>
        <w:rPr>
          <w:rFonts w:ascii="Times New Roman" w:hAnsi="Times New Roman"/>
        </w:rPr>
      </w:pPr>
    </w:p>
    <w:p w:rsidR="0084290D" w:rsidRPr="0084290D" w:rsidP="000B0AB8">
      <w:pPr>
        <w:bidi w:val="0"/>
        <w:rPr>
          <w:rFonts w:ascii="Times New Roman" w:hAnsi="Times New Roman"/>
          <w:i/>
          <w:u w:val="single"/>
        </w:rPr>
      </w:pPr>
      <w:r w:rsidRPr="0084290D">
        <w:rPr>
          <w:rFonts w:ascii="Times New Roman" w:hAnsi="Times New Roman"/>
          <w:i/>
          <w:u w:val="single"/>
        </w:rPr>
        <w:t>Zvýšenie platov</w:t>
      </w:r>
    </w:p>
    <w:p w:rsidR="005E22B7" w:rsidRPr="0084290D" w:rsidP="000B0AB8">
      <w:pPr>
        <w:bidi w:val="0"/>
        <w:ind w:firstLine="708"/>
        <w:rPr>
          <w:rFonts w:ascii="Times New Roman" w:hAnsi="Times New Roman"/>
        </w:rPr>
      </w:pPr>
      <w:r w:rsidRPr="0084290D">
        <w:rPr>
          <w:rFonts w:ascii="Times New Roman" w:hAnsi="Times New Roman"/>
        </w:rPr>
        <w:t xml:space="preserve">Návrh zákona upravuje minimálnu výšku základnej zložky mzdy (podľa § 119 ods. 3 Zákonníka práce) lekárov v zariadení ústavnej zdravotnej starostlivosti odmeňovaných mzdou v pracovnom pomere. Rieši problematiku zvýšenia mzdového ohodnotenia lekárov a ich stabilizácie. </w:t>
      </w:r>
    </w:p>
    <w:p w:rsidR="005E22B7" w:rsidRPr="0084290D" w:rsidP="000B0AB8">
      <w:pPr>
        <w:bidi w:val="0"/>
        <w:ind w:firstLine="708"/>
        <w:rPr>
          <w:rFonts w:ascii="Times New Roman" w:hAnsi="Times New Roman"/>
        </w:rPr>
      </w:pPr>
      <w:r w:rsidRPr="0084290D">
        <w:rPr>
          <w:rFonts w:ascii="Times New Roman" w:hAnsi="Times New Roman"/>
        </w:rPr>
        <w:t xml:space="preserve">Návrh budú implementovať zamestnávatelia a poskytovatelia ústavnej zdravotnej starostlivosti, u ktorých lekári vykonávajú svoje povolanie v pracovnom pomere. </w:t>
      </w:r>
    </w:p>
    <w:p w:rsidR="005E22B7" w:rsidRPr="0084290D" w:rsidP="000B0AB8">
      <w:pPr>
        <w:bidi w:val="0"/>
        <w:rPr>
          <w:rFonts w:ascii="Times New Roman" w:hAnsi="Times New Roman"/>
          <w:highlight w:val="yellow"/>
        </w:rPr>
      </w:pPr>
    </w:p>
    <w:p w:rsidR="005E22B7" w:rsidRPr="0084290D" w:rsidP="000B0AB8">
      <w:pPr>
        <w:bidi w:val="0"/>
        <w:outlineLvl w:val="0"/>
        <w:rPr>
          <w:rFonts w:ascii="Times New Roman" w:hAnsi="Times New Roman"/>
        </w:rPr>
      </w:pPr>
      <w:r w:rsidRPr="0084290D">
        <w:rPr>
          <w:rFonts w:ascii="Times New Roman" w:hAnsi="Times New Roman"/>
          <w:b/>
          <w:bCs/>
        </w:rPr>
        <w:t>2.3.2. Charakteristika návrhu podľa bodu  2.3.2. Metodiky :</w:t>
      </w:r>
    </w:p>
    <w:p w:rsidR="005E22B7" w:rsidRPr="0084290D" w:rsidP="000B0AB8">
      <w:pPr>
        <w:bidi w:val="0"/>
        <w:rPr>
          <w:rFonts w:ascii="Times New Roman" w:hAnsi="Times New Roman"/>
        </w:rPr>
      </w:pPr>
      <w:r w:rsidRPr="0084290D">
        <w:rPr>
          <w:rFonts w:ascii="Times New Roman" w:hAnsi="Times New Roman"/>
        </w:rPr>
        <w:t> </w:t>
      </w:r>
    </w:p>
    <w:p w:rsidR="005E22B7" w:rsidRPr="0084290D" w:rsidP="000B0AB8">
      <w:pPr>
        <w:bidi w:val="0"/>
        <w:rPr>
          <w:rFonts w:ascii="Times New Roman" w:hAnsi="Times New Roman"/>
        </w:rPr>
      </w:pPr>
      <w:r w:rsidRPr="0084290D">
        <w:rPr>
          <w:rFonts w:ascii="Times New Roman" w:hAnsi="Times New Roman"/>
          <w:b/>
          <w:bCs/>
          <w:bdr w:val="single" w:sz="4" w:space="0" w:color="000000" w:frame="1"/>
        </w:rPr>
        <w:t xml:space="preserve">     </w:t>
      </w:r>
      <w:r w:rsidRPr="0084290D">
        <w:rPr>
          <w:rFonts w:ascii="Times New Roman" w:hAnsi="Times New Roman"/>
          <w:b/>
          <w:bCs/>
        </w:rPr>
        <w:t xml:space="preserve">  </w:t>
      </w:r>
      <w:r w:rsidRPr="0084290D">
        <w:rPr>
          <w:rFonts w:ascii="Times New Roman" w:hAnsi="Times New Roman"/>
        </w:rPr>
        <w:t>zmena sadzby</w:t>
      </w:r>
    </w:p>
    <w:p w:rsidR="005E22B7" w:rsidRPr="0084290D" w:rsidP="000B0AB8">
      <w:pPr>
        <w:bidi w:val="0"/>
        <w:rPr>
          <w:rFonts w:ascii="Times New Roman" w:hAnsi="Times New Roman"/>
        </w:rPr>
      </w:pPr>
      <w:r w:rsidRPr="0084290D">
        <w:rPr>
          <w:rFonts w:ascii="Times New Roman" w:hAnsi="Times New Roman"/>
          <w:bdr w:val="single" w:sz="4" w:space="0" w:color="000000" w:frame="1"/>
        </w:rPr>
        <w:t xml:space="preserve">  x </w:t>
      </w:r>
      <w:r w:rsidRPr="0084290D">
        <w:rPr>
          <w:rFonts w:ascii="Times New Roman" w:hAnsi="Times New Roman"/>
        </w:rPr>
        <w:t>  zmena v nároku</w:t>
      </w:r>
    </w:p>
    <w:p w:rsidR="005E22B7" w:rsidRPr="0084290D" w:rsidP="000B0AB8">
      <w:pPr>
        <w:bidi w:val="0"/>
        <w:rPr>
          <w:rFonts w:ascii="Times New Roman" w:hAnsi="Times New Roman"/>
        </w:rPr>
      </w:pPr>
      <w:r w:rsidRPr="0084290D">
        <w:rPr>
          <w:rFonts w:ascii="Times New Roman" w:hAnsi="Times New Roman"/>
          <w:bdr w:val="single" w:sz="4" w:space="0" w:color="000000" w:frame="1"/>
        </w:rPr>
        <w:t xml:space="preserve">     </w:t>
      </w:r>
      <w:r w:rsidRPr="0084290D">
        <w:rPr>
          <w:rFonts w:ascii="Times New Roman" w:hAnsi="Times New Roman"/>
        </w:rPr>
        <w:t>  nová služba alebo nariadenie (alebo ich zrušenie)</w:t>
      </w:r>
    </w:p>
    <w:p w:rsidR="005E22B7" w:rsidRPr="0084290D" w:rsidP="000B0AB8">
      <w:pPr>
        <w:bidi w:val="0"/>
        <w:rPr>
          <w:rFonts w:ascii="Times New Roman" w:hAnsi="Times New Roman"/>
        </w:rPr>
      </w:pPr>
      <w:r w:rsidRPr="0084290D">
        <w:rPr>
          <w:rFonts w:ascii="Times New Roman" w:hAnsi="Times New Roman"/>
          <w:bdr w:val="single" w:sz="4" w:space="0" w:color="000000" w:frame="1"/>
        </w:rPr>
        <w:t xml:space="preserve">     </w:t>
      </w:r>
      <w:r w:rsidRPr="0084290D">
        <w:rPr>
          <w:rFonts w:ascii="Times New Roman" w:hAnsi="Times New Roman"/>
        </w:rPr>
        <w:t>  kombinovaný návrh</w:t>
      </w:r>
    </w:p>
    <w:p w:rsidR="005E22B7" w:rsidRPr="0084290D" w:rsidP="000B0AB8">
      <w:pPr>
        <w:bidi w:val="0"/>
        <w:rPr>
          <w:rFonts w:ascii="Times New Roman" w:hAnsi="Times New Roman"/>
        </w:rPr>
      </w:pPr>
      <w:r w:rsidRPr="0084290D">
        <w:rPr>
          <w:rFonts w:ascii="Times New Roman" w:hAnsi="Times New Roman"/>
          <w:bdr w:val="single" w:sz="4" w:space="0" w:color="000000" w:frame="1"/>
        </w:rPr>
        <w:t xml:space="preserve">     </w:t>
      </w:r>
      <w:r w:rsidRPr="0084290D">
        <w:rPr>
          <w:rFonts w:ascii="Times New Roman" w:hAnsi="Times New Roman"/>
        </w:rPr>
        <w:t xml:space="preserve">  iné </w:t>
      </w:r>
    </w:p>
    <w:p w:rsidR="00B32213" w:rsidRPr="0084290D" w:rsidP="000B0AB8">
      <w:pPr>
        <w:bidi w:val="0"/>
        <w:outlineLvl w:val="0"/>
        <w:rPr>
          <w:rFonts w:ascii="Times New Roman" w:hAnsi="Times New Roman"/>
          <w:b/>
          <w:bCs/>
        </w:rPr>
      </w:pPr>
    </w:p>
    <w:p w:rsidR="005E22B7" w:rsidRPr="0084290D" w:rsidP="000B0AB8">
      <w:pPr>
        <w:bidi w:val="0"/>
        <w:outlineLvl w:val="0"/>
        <w:rPr>
          <w:rFonts w:ascii="Times New Roman" w:hAnsi="Times New Roman"/>
        </w:rPr>
      </w:pPr>
      <w:r w:rsidRPr="0084290D">
        <w:rPr>
          <w:rFonts w:ascii="Times New Roman" w:hAnsi="Times New Roman"/>
          <w:b/>
          <w:bCs/>
        </w:rPr>
        <w:t>2.3.3. Predpoklady vývoja objemu aktivít:</w:t>
      </w:r>
    </w:p>
    <w:p w:rsidR="00A179E3" w:rsidRPr="0084290D" w:rsidP="000B0AB8">
      <w:pPr>
        <w:bidi w:val="0"/>
        <w:rPr>
          <w:rFonts w:ascii="Times New Roman" w:hAnsi="Times New Roman"/>
        </w:rPr>
      </w:pPr>
      <w:r w:rsidRPr="0084290D">
        <w:rPr>
          <w:rFonts w:ascii="Times New Roman" w:hAnsi="Times New Roman"/>
        </w:rPr>
        <w:t>Je predpoklad, že po prijatí tohto návrhu a odstránení administratívnych bariér v podobe predchádzajúceho súhlasu sa tento počet bude postupne zvyšovať a priblíži sa celoeurópskemu priemeru, ktorý sa bude tiež mierne zvyšovať; pri odhade vplyvov sa uvažovalo v r. 2013 s nárastom na 1% (v alikvotnej časti 3 mesiacov) a v r. 2014 s ďalším nárastom o </w:t>
      </w:r>
      <w:r w:rsidRPr="0084290D">
        <w:rPr>
          <w:rFonts w:ascii="Times New Roman" w:hAnsi="Times New Roman"/>
        </w:rPr>
        <w:t>½ percentuálneho bodu na 1,5%.</w:t>
      </w:r>
    </w:p>
    <w:p w:rsidR="00A179E3" w:rsidRPr="0084290D" w:rsidP="000B0AB8">
      <w:pPr>
        <w:bidi w:val="0"/>
        <w:rPr>
          <w:rFonts w:ascii="Times New Roman" w:hAnsi="Times New Roman"/>
        </w:rPr>
      </w:pPr>
    </w:p>
    <w:p w:rsidR="00A179E3" w:rsidRPr="0084290D" w:rsidP="000B0AB8">
      <w:pPr>
        <w:bidi w:val="0"/>
        <w:rPr>
          <w:rFonts w:ascii="Times New Roman" w:hAnsi="Times New Roman"/>
        </w:rPr>
      </w:pPr>
      <w:r w:rsidRPr="0084290D">
        <w:rPr>
          <w:rFonts w:ascii="Times New Roman" w:hAnsi="Times New Roman"/>
        </w:rPr>
        <w:t>Predpokladané percentuálne navýšenie výdavkov na r. 2013, 2014, 2015 a 2016 je v nasledovnej tabuľke:</w:t>
      </w:r>
    </w:p>
    <w:p w:rsidR="00A179E3" w:rsidRPr="0084290D" w:rsidP="000B0AB8">
      <w:pPr>
        <w:bidi w:val="0"/>
        <w:jc w:val="right"/>
        <w:rPr>
          <w:rFonts w:ascii="Times New Roman" w:hAnsi="Times New Roman"/>
        </w:rPr>
      </w:pPr>
      <w:r w:rsidRPr="0084290D" w:rsidR="005249AB">
        <w:rPr>
          <w:rFonts w:ascii="Times New Roman" w:hAnsi="Times New Roman"/>
        </w:rPr>
        <w:t>Tabuľka č. 3</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6"/>
        <w:gridCol w:w="1276"/>
        <w:gridCol w:w="992"/>
        <w:gridCol w:w="1134"/>
        <w:gridCol w:w="1100"/>
      </w:tblGrid>
      <w:tr>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c>
          <w:tcPr>
            <w:tcW w:w="4786" w:type="dxa"/>
            <w:tcBorders>
              <w:top w:val="single" w:sz="6" w:space="0" w:color="000000"/>
              <w:left w:val="single" w:sz="6" w:space="0" w:color="000000"/>
              <w:bottom w:val="single" w:sz="6" w:space="0" w:color="000000"/>
              <w:right w:val="single" w:sz="6" w:space="0" w:color="000000"/>
            </w:tcBorders>
            <w:shd w:val="solid" w:color="000000" w:fill="FFFFFF"/>
            <w:textDirection w:val="lrTb"/>
            <w:vAlign w:val="top"/>
          </w:tcPr>
          <w:p w:rsidR="00A179E3" w:rsidRPr="0084290D" w:rsidP="000B0AB8">
            <w:pPr>
              <w:bidi w:val="0"/>
              <w:rPr>
                <w:rFonts w:ascii="Times New Roman" w:hAnsi="Times New Roman"/>
                <w:b/>
                <w:bCs/>
              </w:rPr>
            </w:pPr>
            <w:r w:rsidRPr="0084290D">
              <w:rPr>
                <w:rFonts w:ascii="Times New Roman" w:hAnsi="Times New Roman"/>
                <w:b/>
                <w:bCs/>
              </w:rPr>
              <w:t>rok</w:t>
            </w:r>
          </w:p>
        </w:tc>
        <w:tc>
          <w:tcPr>
            <w:tcW w:w="1276" w:type="dxa"/>
            <w:tcBorders>
              <w:top w:val="single" w:sz="6" w:space="0" w:color="000000"/>
              <w:left w:val="single" w:sz="6" w:space="0" w:color="000000"/>
              <w:bottom w:val="single" w:sz="6" w:space="0" w:color="000000"/>
              <w:right w:val="single" w:sz="6" w:space="0" w:color="000000"/>
            </w:tcBorders>
            <w:shd w:val="solid" w:color="000000" w:fill="FFFFFF"/>
            <w:textDirection w:val="lrTb"/>
            <w:vAlign w:val="top"/>
          </w:tcPr>
          <w:p w:rsidR="00A179E3" w:rsidRPr="0084290D" w:rsidP="000B0AB8">
            <w:pPr>
              <w:bidi w:val="0"/>
              <w:jc w:val="center"/>
              <w:rPr>
                <w:rFonts w:ascii="Times New Roman" w:hAnsi="Times New Roman"/>
                <w:b/>
                <w:bCs/>
              </w:rPr>
            </w:pPr>
            <w:r w:rsidRPr="0084290D">
              <w:rPr>
                <w:rFonts w:ascii="Times New Roman" w:hAnsi="Times New Roman"/>
                <w:b/>
                <w:bCs/>
              </w:rPr>
              <w:t>2013*</w:t>
            </w:r>
          </w:p>
        </w:tc>
        <w:tc>
          <w:tcPr>
            <w:tcW w:w="992" w:type="dxa"/>
            <w:tcBorders>
              <w:top w:val="single" w:sz="6" w:space="0" w:color="000000"/>
              <w:left w:val="single" w:sz="6" w:space="0" w:color="000000"/>
              <w:bottom w:val="single" w:sz="6" w:space="0" w:color="000000"/>
              <w:right w:val="single" w:sz="6" w:space="0" w:color="000000"/>
            </w:tcBorders>
            <w:shd w:val="solid" w:color="000000" w:fill="FFFFFF"/>
            <w:textDirection w:val="lrTb"/>
            <w:vAlign w:val="top"/>
          </w:tcPr>
          <w:p w:rsidR="00A179E3" w:rsidRPr="0084290D" w:rsidP="000B0AB8">
            <w:pPr>
              <w:bidi w:val="0"/>
              <w:jc w:val="center"/>
              <w:rPr>
                <w:rFonts w:ascii="Times New Roman" w:hAnsi="Times New Roman"/>
                <w:b/>
                <w:bCs/>
              </w:rPr>
            </w:pPr>
            <w:r w:rsidRPr="0084290D">
              <w:rPr>
                <w:rFonts w:ascii="Times New Roman" w:hAnsi="Times New Roman"/>
                <w:b/>
                <w:bCs/>
              </w:rPr>
              <w:t>2014</w:t>
            </w:r>
          </w:p>
        </w:tc>
        <w:tc>
          <w:tcPr>
            <w:tcW w:w="1134" w:type="dxa"/>
            <w:tcBorders>
              <w:top w:val="single" w:sz="6" w:space="0" w:color="000000"/>
              <w:left w:val="single" w:sz="6" w:space="0" w:color="000000"/>
              <w:bottom w:val="single" w:sz="6" w:space="0" w:color="000000"/>
              <w:right w:val="single" w:sz="6" w:space="0" w:color="000000"/>
            </w:tcBorders>
            <w:shd w:val="solid" w:color="000000" w:fill="FFFFFF"/>
            <w:textDirection w:val="lrTb"/>
            <w:vAlign w:val="top"/>
          </w:tcPr>
          <w:p w:rsidR="00A179E3" w:rsidRPr="0084290D" w:rsidP="000B0AB8">
            <w:pPr>
              <w:bidi w:val="0"/>
              <w:jc w:val="center"/>
              <w:rPr>
                <w:rFonts w:ascii="Times New Roman" w:hAnsi="Times New Roman"/>
                <w:b/>
                <w:bCs/>
              </w:rPr>
            </w:pPr>
            <w:r w:rsidRPr="0084290D">
              <w:rPr>
                <w:rFonts w:ascii="Times New Roman" w:hAnsi="Times New Roman"/>
                <w:b/>
                <w:bCs/>
              </w:rPr>
              <w:t>2015</w:t>
            </w:r>
          </w:p>
        </w:tc>
        <w:tc>
          <w:tcPr>
            <w:tcW w:w="1100" w:type="dxa"/>
            <w:tcBorders>
              <w:top w:val="single" w:sz="6" w:space="0" w:color="000000"/>
              <w:left w:val="single" w:sz="6" w:space="0" w:color="000000"/>
              <w:bottom w:val="single" w:sz="6" w:space="0" w:color="000000"/>
              <w:right w:val="single" w:sz="6" w:space="0" w:color="000000"/>
            </w:tcBorders>
            <w:shd w:val="solid" w:color="000000" w:fill="FFFFFF"/>
            <w:textDirection w:val="lrTb"/>
            <w:vAlign w:val="top"/>
          </w:tcPr>
          <w:p w:rsidR="00A179E3" w:rsidRPr="0084290D" w:rsidP="000B0AB8">
            <w:pPr>
              <w:bidi w:val="0"/>
              <w:jc w:val="center"/>
              <w:rPr>
                <w:rFonts w:ascii="Times New Roman" w:hAnsi="Times New Roman"/>
                <w:b/>
                <w:bCs/>
              </w:rPr>
            </w:pPr>
            <w:r w:rsidRPr="0084290D">
              <w:rPr>
                <w:rFonts w:ascii="Times New Roman" w:hAnsi="Times New Roman"/>
                <w:b/>
                <w:bCs/>
              </w:rPr>
              <w:t>2016</w:t>
            </w:r>
          </w:p>
        </w:tc>
      </w:tr>
      <w:tr>
        <w:tblPrEx>
          <w:tblW w:w="0" w:type="auto"/>
          <w:tblLook w:val="04A0"/>
        </w:tblPrEx>
        <w:tc>
          <w:tcPr>
            <w:tcW w:w="4786" w:type="dxa"/>
            <w:tcBorders>
              <w:top w:val="single" w:sz="6" w:space="0" w:color="000000"/>
              <w:left w:val="single" w:sz="6" w:space="0" w:color="000000"/>
              <w:bottom w:val="single" w:sz="6" w:space="0" w:color="000000"/>
              <w:right w:val="single" w:sz="6" w:space="0" w:color="000000"/>
            </w:tcBorders>
            <w:textDirection w:val="lrTb"/>
            <w:vAlign w:val="top"/>
          </w:tcPr>
          <w:p w:rsidR="00A179E3" w:rsidRPr="0084290D" w:rsidP="000B0AB8">
            <w:pPr>
              <w:bidi w:val="0"/>
              <w:rPr>
                <w:rFonts w:ascii="Times New Roman" w:hAnsi="Times New Roman"/>
              </w:rPr>
            </w:pPr>
            <w:r w:rsidRPr="0084290D">
              <w:rPr>
                <w:rFonts w:ascii="Times New Roman" w:hAnsi="Times New Roman"/>
              </w:rPr>
              <w:t>percento výdavkov na cezhraničnú zdravotnú starostlivosť</w:t>
            </w:r>
          </w:p>
        </w:tc>
        <w:tc>
          <w:tcPr>
            <w:tcW w:w="1276" w:type="dxa"/>
            <w:tcBorders>
              <w:top w:val="single" w:sz="6" w:space="0" w:color="000000"/>
              <w:left w:val="single" w:sz="6" w:space="0" w:color="000000"/>
              <w:bottom w:val="single" w:sz="6" w:space="0" w:color="000000"/>
              <w:right w:val="single" w:sz="6" w:space="0" w:color="000000"/>
            </w:tcBorders>
            <w:textDirection w:val="lrTb"/>
            <w:vAlign w:val="top"/>
          </w:tcPr>
          <w:p w:rsidR="00A179E3" w:rsidRPr="0084290D" w:rsidP="000B0AB8">
            <w:pPr>
              <w:bidi w:val="0"/>
              <w:jc w:val="center"/>
              <w:rPr>
                <w:rFonts w:ascii="Times New Roman" w:hAnsi="Times New Roman"/>
              </w:rPr>
            </w:pPr>
            <w:r w:rsidRPr="0084290D">
              <w:rPr>
                <w:rFonts w:ascii="Times New Roman" w:hAnsi="Times New Roman"/>
              </w:rPr>
              <w:t>1%</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A179E3" w:rsidRPr="0084290D" w:rsidP="000B0AB8">
            <w:pPr>
              <w:bidi w:val="0"/>
              <w:jc w:val="center"/>
              <w:rPr>
                <w:rFonts w:ascii="Times New Roman" w:hAnsi="Times New Roman"/>
              </w:rPr>
            </w:pPr>
            <w:r w:rsidRPr="0084290D">
              <w:rPr>
                <w:rFonts w:ascii="Times New Roman" w:hAnsi="Times New Roman"/>
              </w:rPr>
              <w:t>1,5%</w:t>
            </w:r>
          </w:p>
        </w:tc>
        <w:tc>
          <w:tcPr>
            <w:tcW w:w="1134" w:type="dxa"/>
            <w:tcBorders>
              <w:top w:val="single" w:sz="6" w:space="0" w:color="000000"/>
              <w:left w:val="single" w:sz="6" w:space="0" w:color="000000"/>
              <w:bottom w:val="single" w:sz="6" w:space="0" w:color="000000"/>
              <w:right w:val="single" w:sz="6" w:space="0" w:color="000000"/>
            </w:tcBorders>
            <w:textDirection w:val="lrTb"/>
            <w:vAlign w:val="top"/>
          </w:tcPr>
          <w:p w:rsidR="00A179E3" w:rsidRPr="0084290D" w:rsidP="000B0AB8">
            <w:pPr>
              <w:bidi w:val="0"/>
              <w:jc w:val="center"/>
              <w:rPr>
                <w:rFonts w:ascii="Times New Roman" w:hAnsi="Times New Roman"/>
              </w:rPr>
            </w:pPr>
            <w:r w:rsidRPr="0084290D">
              <w:rPr>
                <w:rFonts w:ascii="Times New Roman" w:hAnsi="Times New Roman"/>
              </w:rPr>
              <w:t>1,5%</w:t>
            </w:r>
          </w:p>
        </w:tc>
        <w:tc>
          <w:tcPr>
            <w:tcW w:w="1100" w:type="dxa"/>
            <w:tcBorders>
              <w:top w:val="single" w:sz="6" w:space="0" w:color="000000"/>
              <w:left w:val="single" w:sz="6" w:space="0" w:color="000000"/>
              <w:bottom w:val="single" w:sz="6" w:space="0" w:color="000000"/>
              <w:right w:val="single" w:sz="6" w:space="0" w:color="000000"/>
            </w:tcBorders>
            <w:textDirection w:val="lrTb"/>
            <w:vAlign w:val="top"/>
          </w:tcPr>
          <w:p w:rsidR="00A179E3" w:rsidRPr="0084290D" w:rsidP="000B0AB8">
            <w:pPr>
              <w:bidi w:val="0"/>
              <w:jc w:val="center"/>
              <w:rPr>
                <w:rFonts w:ascii="Times New Roman" w:hAnsi="Times New Roman"/>
              </w:rPr>
            </w:pPr>
            <w:r w:rsidRPr="0084290D">
              <w:rPr>
                <w:rFonts w:ascii="Times New Roman" w:hAnsi="Times New Roman"/>
              </w:rPr>
              <w:t>1,5%</w:t>
            </w:r>
          </w:p>
        </w:tc>
      </w:tr>
    </w:tbl>
    <w:p w:rsidR="00A179E3" w:rsidRPr="0084290D" w:rsidP="000B0AB8">
      <w:pPr>
        <w:bidi w:val="0"/>
        <w:rPr>
          <w:rFonts w:ascii="Times New Roman" w:hAnsi="Times New Roman"/>
        </w:rPr>
      </w:pPr>
    </w:p>
    <w:p w:rsidR="00A179E3" w:rsidRPr="0084290D" w:rsidP="000B0AB8">
      <w:pPr>
        <w:bidi w:val="0"/>
        <w:rPr>
          <w:rFonts w:ascii="Times New Roman" w:hAnsi="Times New Roman"/>
        </w:rPr>
      </w:pPr>
      <w:r w:rsidRPr="0084290D">
        <w:rPr>
          <w:rFonts w:ascii="Times New Roman" w:hAnsi="Times New Roman"/>
        </w:rPr>
        <w:t xml:space="preserve">* v r. 2013 sa uvažuje s alikvotnou časťou </w:t>
      </w:r>
      <w:r w:rsidRPr="0084290D">
        <w:rPr>
          <w:rFonts w:ascii="Times New Roman" w:hAnsi="Times New Roman"/>
        </w:rPr>
        <w:t>vo výške ¼ z celkovej rozpo</w:t>
      </w:r>
      <w:r w:rsidRPr="0084290D">
        <w:rPr>
          <w:rFonts w:ascii="Times New Roman" w:hAnsi="Times New Roman"/>
        </w:rPr>
        <w:t>čtovanej sumy (3 mesiace; október – december)</w:t>
      </w:r>
    </w:p>
    <w:p w:rsidR="00A0728D" w:rsidRPr="0084290D" w:rsidP="000B0AB8">
      <w:pPr>
        <w:bidi w:val="0"/>
        <w:outlineLvl w:val="0"/>
        <w:rPr>
          <w:rFonts w:ascii="Times New Roman" w:hAnsi="Times New Roman"/>
          <w:b/>
          <w:bCs/>
        </w:rPr>
      </w:pPr>
    </w:p>
    <w:p w:rsidR="005E22B7" w:rsidRPr="0084290D" w:rsidP="000B0AB8">
      <w:pPr>
        <w:bidi w:val="0"/>
        <w:outlineLvl w:val="0"/>
        <w:rPr>
          <w:rFonts w:ascii="Times New Roman" w:hAnsi="Times New Roman"/>
        </w:rPr>
      </w:pPr>
      <w:r w:rsidRPr="0084290D">
        <w:rPr>
          <w:rFonts w:ascii="Times New Roman" w:hAnsi="Times New Roman"/>
          <w:b/>
          <w:bCs/>
        </w:rPr>
        <w:t>2.3.4. Výpočty vplyvov na verejné financie</w:t>
      </w:r>
    </w:p>
    <w:p w:rsidR="005E22B7" w:rsidRPr="0084290D" w:rsidP="000B0AB8">
      <w:pPr>
        <w:bidi w:val="0"/>
        <w:rPr>
          <w:rFonts w:ascii="Times New Roman" w:hAnsi="Times New Roman"/>
        </w:rPr>
      </w:pPr>
      <w:r w:rsidRPr="0084290D">
        <w:rPr>
          <w:rFonts w:ascii="Times New Roman" w:hAnsi="Times New Roman"/>
        </w:rPr>
        <w:t> </w:t>
      </w:r>
    </w:p>
    <w:p w:rsidR="005249AB" w:rsidRPr="0084290D" w:rsidP="000B0AB8">
      <w:pPr>
        <w:bidi w:val="0"/>
        <w:rPr>
          <w:rFonts w:ascii="Times New Roman" w:hAnsi="Times New Roman"/>
          <w:b/>
          <w:u w:val="single"/>
        </w:rPr>
      </w:pPr>
      <w:r w:rsidRPr="0084290D">
        <w:rPr>
          <w:rFonts w:ascii="Times New Roman" w:hAnsi="Times New Roman"/>
          <w:b/>
          <w:u w:val="single"/>
        </w:rPr>
        <w:t>Cezhraničná zdravotná starostlivosť</w:t>
      </w:r>
    </w:p>
    <w:p w:rsidR="005249AB" w:rsidRPr="0084290D" w:rsidP="000B0AB8">
      <w:pPr>
        <w:bidi w:val="0"/>
        <w:rPr>
          <w:rFonts w:ascii="Times New Roman" w:hAnsi="Times New Roman"/>
          <w:b/>
          <w:u w:val="single"/>
        </w:rPr>
      </w:pPr>
    </w:p>
    <w:p w:rsidR="005249AB" w:rsidRPr="0084290D" w:rsidP="000B0AB8">
      <w:pPr>
        <w:bidi w:val="0"/>
        <w:rPr>
          <w:rFonts w:ascii="Times New Roman" w:hAnsi="Times New Roman"/>
        </w:rPr>
      </w:pPr>
      <w:r w:rsidRPr="0084290D">
        <w:rPr>
          <w:rFonts w:ascii="Times New Roman" w:hAnsi="Times New Roman"/>
        </w:rPr>
        <w:t xml:space="preserve">Dopad na rozpočet </w:t>
      </w:r>
      <w:r w:rsidR="00C14A22">
        <w:rPr>
          <w:rFonts w:ascii="Times New Roman" w:hAnsi="Times New Roman"/>
        </w:rPr>
        <w:t>verejného zdravotného poistenia</w:t>
      </w:r>
      <w:r w:rsidRPr="0084290D">
        <w:rPr>
          <w:rFonts w:ascii="Times New Roman" w:hAnsi="Times New Roman"/>
        </w:rPr>
        <w:t xml:space="preserve"> bude negatívny, nakoľko je reálny predpoklad, že cezhraničnú zdravotnú starostlivosť budú využívať predovšetkým osoby, ktoré by na poskytnutie zdravotnej starostlivosti v SR museli čakať z kapacitných dôvodov. Úhrady zazmluvnenej kapacity budú musieť byť zo strany zdravotných poisťovní navýšené o úhradu poskytnutej zdravotnej starostlivosti. Toto navýšenie výdavkov budú zdravotné poisťovne zabezpečovať z vlastných zdrojov.</w:t>
      </w:r>
    </w:p>
    <w:p w:rsidR="005249AB" w:rsidRPr="0084290D" w:rsidP="000B0AB8">
      <w:pPr>
        <w:bidi w:val="0"/>
        <w:rPr>
          <w:rFonts w:ascii="Times New Roman" w:hAnsi="Times New Roman"/>
        </w:rPr>
      </w:pPr>
    </w:p>
    <w:p w:rsidR="005249AB" w:rsidRPr="0084290D" w:rsidP="000B0AB8">
      <w:pPr>
        <w:bidi w:val="0"/>
        <w:rPr>
          <w:rFonts w:ascii="Times New Roman" w:hAnsi="Times New Roman"/>
        </w:rPr>
      </w:pPr>
      <w:r w:rsidRPr="0084290D">
        <w:rPr>
          <w:rFonts w:ascii="Times New Roman" w:hAnsi="Times New Roman"/>
        </w:rPr>
        <w:t>Predpokladané navýšenie na r. 2013, 2014, 2015 a 2016 je v nasledovnej tabuľke:</w:t>
      </w:r>
    </w:p>
    <w:p w:rsidR="005249AB" w:rsidRPr="0084290D" w:rsidP="000B0AB8">
      <w:pPr>
        <w:bidi w:val="0"/>
        <w:jc w:val="right"/>
        <w:outlineLvl w:val="0"/>
        <w:rPr>
          <w:rFonts w:ascii="Times New Roman" w:hAnsi="Times New Roman"/>
        </w:rPr>
      </w:pPr>
      <w:r w:rsidRPr="0084290D">
        <w:rPr>
          <w:rFonts w:ascii="Times New Roman" w:hAnsi="Times New Roman"/>
        </w:rPr>
        <w:t xml:space="preserve">Tabuľka č. 5 </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660"/>
        <w:gridCol w:w="1294"/>
        <w:gridCol w:w="1821"/>
        <w:gridCol w:w="1821"/>
        <w:gridCol w:w="1692"/>
      </w:tblGrid>
      <w:tr>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c>
          <w:tcPr>
            <w:tcW w:w="2660" w:type="dxa"/>
            <w:tcBorders>
              <w:top w:val="single" w:sz="6" w:space="0" w:color="000000"/>
              <w:left w:val="single" w:sz="6" w:space="0" w:color="000000"/>
              <w:bottom w:val="single" w:sz="6" w:space="0" w:color="000000"/>
              <w:right w:val="single" w:sz="6" w:space="0" w:color="000000"/>
            </w:tcBorders>
            <w:shd w:val="solid" w:color="000000" w:fill="FFFFFF"/>
            <w:textDirection w:val="lrTb"/>
            <w:vAlign w:val="top"/>
          </w:tcPr>
          <w:p w:rsidR="005249AB" w:rsidRPr="0084290D" w:rsidP="000B0AB8">
            <w:pPr>
              <w:bidi w:val="0"/>
              <w:rPr>
                <w:rFonts w:ascii="Times New Roman" w:hAnsi="Times New Roman"/>
                <w:b/>
                <w:bCs/>
              </w:rPr>
            </w:pPr>
            <w:r w:rsidRPr="0084290D">
              <w:rPr>
                <w:rFonts w:ascii="Times New Roman" w:hAnsi="Times New Roman"/>
                <w:b/>
                <w:bCs/>
              </w:rPr>
              <w:t>rok</w:t>
            </w:r>
          </w:p>
        </w:tc>
        <w:tc>
          <w:tcPr>
            <w:tcW w:w="1294" w:type="dxa"/>
            <w:tcBorders>
              <w:top w:val="single" w:sz="6" w:space="0" w:color="000000"/>
              <w:left w:val="single" w:sz="6" w:space="0" w:color="000000"/>
              <w:bottom w:val="single" w:sz="6" w:space="0" w:color="000000"/>
              <w:right w:val="single" w:sz="6" w:space="0" w:color="000000"/>
            </w:tcBorders>
            <w:shd w:val="solid" w:color="000000" w:fill="FFFFFF"/>
            <w:textDirection w:val="lrTb"/>
            <w:vAlign w:val="top"/>
          </w:tcPr>
          <w:p w:rsidR="005249AB" w:rsidRPr="0084290D" w:rsidP="000B0AB8">
            <w:pPr>
              <w:bidi w:val="0"/>
              <w:jc w:val="center"/>
              <w:rPr>
                <w:rFonts w:ascii="Times New Roman" w:hAnsi="Times New Roman"/>
                <w:b/>
                <w:bCs/>
              </w:rPr>
            </w:pPr>
            <w:r w:rsidRPr="0084290D">
              <w:rPr>
                <w:rFonts w:ascii="Times New Roman" w:hAnsi="Times New Roman"/>
                <w:b/>
                <w:bCs/>
              </w:rPr>
              <w:t>2013*</w:t>
            </w:r>
          </w:p>
        </w:tc>
        <w:tc>
          <w:tcPr>
            <w:tcW w:w="1821" w:type="dxa"/>
            <w:tcBorders>
              <w:top w:val="single" w:sz="6" w:space="0" w:color="000000"/>
              <w:left w:val="single" w:sz="6" w:space="0" w:color="000000"/>
              <w:bottom w:val="single" w:sz="6" w:space="0" w:color="000000"/>
              <w:right w:val="single" w:sz="6" w:space="0" w:color="000000"/>
            </w:tcBorders>
            <w:shd w:val="solid" w:color="000000" w:fill="FFFFFF"/>
            <w:textDirection w:val="lrTb"/>
            <w:vAlign w:val="top"/>
          </w:tcPr>
          <w:p w:rsidR="005249AB" w:rsidRPr="0084290D" w:rsidP="000B0AB8">
            <w:pPr>
              <w:bidi w:val="0"/>
              <w:jc w:val="center"/>
              <w:rPr>
                <w:rFonts w:ascii="Times New Roman" w:hAnsi="Times New Roman"/>
                <w:b/>
                <w:bCs/>
              </w:rPr>
            </w:pPr>
            <w:r w:rsidRPr="0084290D">
              <w:rPr>
                <w:rFonts w:ascii="Times New Roman" w:hAnsi="Times New Roman"/>
                <w:b/>
                <w:bCs/>
              </w:rPr>
              <w:t>2014</w:t>
            </w:r>
          </w:p>
        </w:tc>
        <w:tc>
          <w:tcPr>
            <w:tcW w:w="1821" w:type="dxa"/>
            <w:tcBorders>
              <w:top w:val="single" w:sz="6" w:space="0" w:color="000000"/>
              <w:left w:val="single" w:sz="6" w:space="0" w:color="000000"/>
              <w:bottom w:val="single" w:sz="6" w:space="0" w:color="000000"/>
              <w:right w:val="single" w:sz="6" w:space="0" w:color="000000"/>
            </w:tcBorders>
            <w:shd w:val="solid" w:color="000000" w:fill="FFFFFF"/>
            <w:textDirection w:val="lrTb"/>
            <w:vAlign w:val="top"/>
          </w:tcPr>
          <w:p w:rsidR="005249AB" w:rsidRPr="0084290D" w:rsidP="000B0AB8">
            <w:pPr>
              <w:bidi w:val="0"/>
              <w:jc w:val="center"/>
              <w:rPr>
                <w:rFonts w:ascii="Times New Roman" w:hAnsi="Times New Roman"/>
                <w:b/>
                <w:bCs/>
              </w:rPr>
            </w:pPr>
            <w:r w:rsidRPr="0084290D">
              <w:rPr>
                <w:rFonts w:ascii="Times New Roman" w:hAnsi="Times New Roman"/>
                <w:b/>
                <w:bCs/>
              </w:rPr>
              <w:t>2015</w:t>
            </w:r>
          </w:p>
        </w:tc>
        <w:tc>
          <w:tcPr>
            <w:tcW w:w="1692" w:type="dxa"/>
            <w:tcBorders>
              <w:top w:val="single" w:sz="6" w:space="0" w:color="000000"/>
              <w:left w:val="single" w:sz="6" w:space="0" w:color="000000"/>
              <w:bottom w:val="single" w:sz="6" w:space="0" w:color="000000"/>
              <w:right w:val="single" w:sz="6" w:space="0" w:color="000000"/>
            </w:tcBorders>
            <w:shd w:val="solid" w:color="000000" w:fill="FFFFFF"/>
            <w:textDirection w:val="lrTb"/>
            <w:vAlign w:val="top"/>
          </w:tcPr>
          <w:p w:rsidR="005249AB" w:rsidRPr="0084290D" w:rsidP="000B0AB8">
            <w:pPr>
              <w:bidi w:val="0"/>
              <w:jc w:val="center"/>
              <w:rPr>
                <w:rFonts w:ascii="Times New Roman" w:hAnsi="Times New Roman"/>
                <w:b/>
                <w:bCs/>
              </w:rPr>
            </w:pPr>
            <w:r w:rsidRPr="0084290D">
              <w:rPr>
                <w:rFonts w:ascii="Times New Roman" w:hAnsi="Times New Roman"/>
                <w:b/>
                <w:bCs/>
              </w:rPr>
              <w:t>2016</w:t>
            </w:r>
          </w:p>
        </w:tc>
      </w:tr>
      <w:tr>
        <w:tblPrEx>
          <w:tblW w:w="0" w:type="auto"/>
          <w:tblLook w:val="04A0"/>
        </w:tblPrEx>
        <w:tc>
          <w:tcPr>
            <w:tcW w:w="2660"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rPr>
                <w:rFonts w:ascii="Times New Roman" w:hAnsi="Times New Roman"/>
              </w:rPr>
            </w:pPr>
            <w:r w:rsidRPr="0084290D">
              <w:rPr>
                <w:rFonts w:ascii="Times New Roman" w:hAnsi="Times New Roman"/>
              </w:rPr>
              <w:t>celkové rozpočtované výdavky na zdravotnú starostlivosť (</w:t>
            </w:r>
            <w:r w:rsidRPr="0084290D" w:rsidR="00395DF9">
              <w:rPr>
                <w:rFonts w:ascii="Times New Roman" w:hAnsi="Times New Roman"/>
              </w:rPr>
              <w:t>tis</w:t>
            </w:r>
            <w:r w:rsidRPr="0084290D">
              <w:rPr>
                <w:rFonts w:ascii="Times New Roman" w:hAnsi="Times New Roman"/>
              </w:rPr>
              <w:t>. eur)**</w:t>
            </w:r>
          </w:p>
        </w:tc>
        <w:tc>
          <w:tcPr>
            <w:tcW w:w="1294"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jc w:val="center"/>
              <w:rPr>
                <w:rFonts w:ascii="Times New Roman" w:hAnsi="Times New Roman"/>
              </w:rPr>
            </w:pPr>
            <w:r w:rsidRPr="0084290D">
              <w:rPr>
                <w:rFonts w:ascii="Times New Roman" w:hAnsi="Times New Roman"/>
              </w:rPr>
              <w:t>945 309</w:t>
            </w:r>
          </w:p>
        </w:tc>
        <w:tc>
          <w:tcPr>
            <w:tcW w:w="1821"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jc w:val="center"/>
              <w:rPr>
                <w:rFonts w:ascii="Times New Roman" w:hAnsi="Times New Roman"/>
              </w:rPr>
            </w:pPr>
            <w:r w:rsidRPr="0084290D">
              <w:rPr>
                <w:rFonts w:ascii="Times New Roman" w:hAnsi="Times New Roman"/>
              </w:rPr>
              <w:t>3 950 482</w:t>
            </w:r>
          </w:p>
        </w:tc>
        <w:tc>
          <w:tcPr>
            <w:tcW w:w="1821"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jc w:val="center"/>
              <w:rPr>
                <w:rFonts w:ascii="Times New Roman" w:hAnsi="Times New Roman"/>
              </w:rPr>
            </w:pPr>
            <w:r w:rsidRPr="0084290D">
              <w:rPr>
                <w:rFonts w:ascii="Times New Roman" w:hAnsi="Times New Roman"/>
              </w:rPr>
              <w:t>4 150 646</w:t>
            </w:r>
          </w:p>
        </w:tc>
        <w:tc>
          <w:tcPr>
            <w:tcW w:w="1692"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jc w:val="center"/>
              <w:rPr>
                <w:rFonts w:ascii="Times New Roman" w:hAnsi="Times New Roman"/>
              </w:rPr>
            </w:pPr>
            <w:r w:rsidRPr="0084290D" w:rsidR="00395DF9">
              <w:rPr>
                <w:rFonts w:ascii="Times New Roman" w:hAnsi="Times New Roman"/>
              </w:rPr>
              <w:t>4 346 491</w:t>
            </w:r>
          </w:p>
        </w:tc>
      </w:tr>
      <w:tr>
        <w:tblPrEx>
          <w:tblW w:w="0" w:type="auto"/>
          <w:tblLook w:val="04A0"/>
        </w:tblPrEx>
        <w:tc>
          <w:tcPr>
            <w:tcW w:w="2660"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rPr>
                <w:rFonts w:ascii="Times New Roman" w:hAnsi="Times New Roman"/>
              </w:rPr>
            </w:pPr>
            <w:r w:rsidRPr="0084290D">
              <w:rPr>
                <w:rFonts w:ascii="Times New Roman" w:hAnsi="Times New Roman"/>
              </w:rPr>
              <w:t>percento výdavkov na cezhraničnú zdravotnú starostlivosť</w:t>
            </w:r>
          </w:p>
        </w:tc>
        <w:tc>
          <w:tcPr>
            <w:tcW w:w="1294"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jc w:val="center"/>
              <w:rPr>
                <w:rFonts w:ascii="Times New Roman" w:hAnsi="Times New Roman"/>
              </w:rPr>
            </w:pPr>
            <w:r w:rsidRPr="0084290D">
              <w:rPr>
                <w:rFonts w:ascii="Times New Roman" w:hAnsi="Times New Roman"/>
              </w:rPr>
              <w:t>1%</w:t>
            </w:r>
          </w:p>
        </w:tc>
        <w:tc>
          <w:tcPr>
            <w:tcW w:w="1821"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jc w:val="center"/>
              <w:rPr>
                <w:rFonts w:ascii="Times New Roman" w:hAnsi="Times New Roman"/>
              </w:rPr>
            </w:pPr>
            <w:r w:rsidRPr="0084290D">
              <w:rPr>
                <w:rFonts w:ascii="Times New Roman" w:hAnsi="Times New Roman"/>
              </w:rPr>
              <w:t>1,5%</w:t>
            </w:r>
          </w:p>
        </w:tc>
        <w:tc>
          <w:tcPr>
            <w:tcW w:w="1821"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jc w:val="center"/>
              <w:rPr>
                <w:rFonts w:ascii="Times New Roman" w:hAnsi="Times New Roman"/>
              </w:rPr>
            </w:pPr>
            <w:r w:rsidRPr="0084290D">
              <w:rPr>
                <w:rFonts w:ascii="Times New Roman" w:hAnsi="Times New Roman"/>
              </w:rPr>
              <w:t>1,5%</w:t>
            </w:r>
          </w:p>
        </w:tc>
        <w:tc>
          <w:tcPr>
            <w:tcW w:w="1692"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jc w:val="center"/>
              <w:rPr>
                <w:rFonts w:ascii="Times New Roman" w:hAnsi="Times New Roman"/>
              </w:rPr>
            </w:pPr>
            <w:r w:rsidRPr="0084290D">
              <w:rPr>
                <w:rFonts w:ascii="Times New Roman" w:hAnsi="Times New Roman"/>
              </w:rPr>
              <w:t>1,5%</w:t>
            </w:r>
          </w:p>
        </w:tc>
      </w:tr>
      <w:tr>
        <w:tblPrEx>
          <w:tblW w:w="0" w:type="auto"/>
          <w:tblLook w:val="04A0"/>
        </w:tblPrEx>
        <w:tc>
          <w:tcPr>
            <w:tcW w:w="2660"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rPr>
                <w:rFonts w:ascii="Times New Roman" w:hAnsi="Times New Roman"/>
              </w:rPr>
            </w:pPr>
            <w:r w:rsidRPr="0084290D">
              <w:rPr>
                <w:rFonts w:ascii="Times New Roman" w:hAnsi="Times New Roman"/>
              </w:rPr>
              <w:t>predpokladané navýšenie výdavkov (</w:t>
            </w:r>
            <w:r w:rsidRPr="0084290D" w:rsidR="00395DF9">
              <w:rPr>
                <w:rFonts w:ascii="Times New Roman" w:hAnsi="Times New Roman"/>
              </w:rPr>
              <w:t>tis</w:t>
            </w:r>
            <w:r w:rsidRPr="0084290D">
              <w:rPr>
                <w:rFonts w:ascii="Times New Roman" w:hAnsi="Times New Roman"/>
              </w:rPr>
              <w:t>. eur)</w:t>
            </w:r>
          </w:p>
        </w:tc>
        <w:tc>
          <w:tcPr>
            <w:tcW w:w="1294"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jc w:val="center"/>
              <w:rPr>
                <w:rFonts w:ascii="Times New Roman" w:hAnsi="Times New Roman"/>
              </w:rPr>
            </w:pPr>
            <w:r w:rsidRPr="0084290D">
              <w:rPr>
                <w:rFonts w:ascii="Times New Roman" w:hAnsi="Times New Roman"/>
              </w:rPr>
              <w:t>9 453</w:t>
            </w:r>
          </w:p>
        </w:tc>
        <w:tc>
          <w:tcPr>
            <w:tcW w:w="1821"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jc w:val="center"/>
              <w:rPr>
                <w:rFonts w:ascii="Times New Roman" w:hAnsi="Times New Roman"/>
              </w:rPr>
            </w:pPr>
            <w:r w:rsidRPr="0084290D">
              <w:rPr>
                <w:rFonts w:ascii="Times New Roman" w:hAnsi="Times New Roman"/>
              </w:rPr>
              <w:t>59 257</w:t>
            </w:r>
          </w:p>
        </w:tc>
        <w:tc>
          <w:tcPr>
            <w:tcW w:w="1821"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jc w:val="center"/>
              <w:rPr>
                <w:rFonts w:ascii="Times New Roman" w:hAnsi="Times New Roman"/>
              </w:rPr>
            </w:pPr>
            <w:r w:rsidRPr="0084290D">
              <w:rPr>
                <w:rFonts w:ascii="Times New Roman" w:hAnsi="Times New Roman"/>
              </w:rPr>
              <w:t>62 260</w:t>
            </w:r>
          </w:p>
        </w:tc>
        <w:tc>
          <w:tcPr>
            <w:tcW w:w="1692" w:type="dxa"/>
            <w:tcBorders>
              <w:top w:val="single" w:sz="6" w:space="0" w:color="000000"/>
              <w:left w:val="single" w:sz="6" w:space="0" w:color="000000"/>
              <w:bottom w:val="single" w:sz="6" w:space="0" w:color="000000"/>
              <w:right w:val="single" w:sz="6" w:space="0" w:color="000000"/>
            </w:tcBorders>
            <w:textDirection w:val="lrTb"/>
            <w:vAlign w:val="top"/>
          </w:tcPr>
          <w:p w:rsidR="005249AB" w:rsidRPr="0084290D" w:rsidP="000B0AB8">
            <w:pPr>
              <w:bidi w:val="0"/>
              <w:jc w:val="center"/>
              <w:rPr>
                <w:rFonts w:ascii="Times New Roman" w:hAnsi="Times New Roman"/>
              </w:rPr>
            </w:pPr>
            <w:r w:rsidRPr="0084290D" w:rsidR="00395DF9">
              <w:rPr>
                <w:rFonts w:ascii="Times New Roman" w:hAnsi="Times New Roman"/>
              </w:rPr>
              <w:t>65 197</w:t>
            </w:r>
          </w:p>
        </w:tc>
      </w:tr>
    </w:tbl>
    <w:p w:rsidR="005249AB" w:rsidRPr="0084290D" w:rsidP="000B0AB8">
      <w:pPr>
        <w:bidi w:val="0"/>
        <w:rPr>
          <w:rFonts w:ascii="Times New Roman" w:hAnsi="Times New Roman"/>
        </w:rPr>
      </w:pPr>
    </w:p>
    <w:p w:rsidR="005249AB" w:rsidRPr="0084290D" w:rsidP="000B0AB8">
      <w:pPr>
        <w:bidi w:val="0"/>
        <w:rPr>
          <w:rFonts w:ascii="Times New Roman" w:hAnsi="Times New Roman"/>
        </w:rPr>
      </w:pPr>
      <w:r w:rsidRPr="0084290D">
        <w:rPr>
          <w:rFonts w:ascii="Times New Roman" w:hAnsi="Times New Roman"/>
        </w:rPr>
        <w:t xml:space="preserve">* v r. 2013 sa uvažuje s alikvotnou časťou vo výške </w:t>
      </w:r>
      <w:r w:rsidRPr="0084290D">
        <w:rPr>
          <w:rFonts w:ascii="Times New Roman" w:hAnsi="Times New Roman"/>
        </w:rPr>
        <w:t>¼ z celkovej rozpočtovanej sumy (3 mesiace; október – december)</w:t>
      </w:r>
    </w:p>
    <w:p w:rsidR="005249AB" w:rsidRPr="0084290D" w:rsidP="000B0AB8">
      <w:pPr>
        <w:bidi w:val="0"/>
        <w:rPr>
          <w:rFonts w:ascii="Times New Roman" w:hAnsi="Times New Roman"/>
        </w:rPr>
      </w:pPr>
    </w:p>
    <w:p w:rsidR="005249AB" w:rsidRPr="0084290D" w:rsidP="000B0AB8">
      <w:pPr>
        <w:bidi w:val="0"/>
        <w:rPr>
          <w:rFonts w:ascii="Times New Roman" w:hAnsi="Times New Roman"/>
        </w:rPr>
      </w:pPr>
      <w:r w:rsidRPr="0084290D">
        <w:rPr>
          <w:rFonts w:ascii="Times New Roman" w:hAnsi="Times New Roman"/>
        </w:rPr>
        <w:t xml:space="preserve">** zdroj: </w:t>
      </w:r>
      <w:r w:rsidRPr="0084290D" w:rsidR="00395DF9">
        <w:rPr>
          <w:rFonts w:ascii="Times New Roman" w:hAnsi="Times New Roman"/>
        </w:rPr>
        <w:t xml:space="preserve">2013 – 2015: </w:t>
      </w:r>
      <w:r w:rsidRPr="0084290D">
        <w:rPr>
          <w:rFonts w:ascii="Times New Roman" w:hAnsi="Times New Roman"/>
        </w:rPr>
        <w:t>schválený štátny rozpočet na r. 2013; záväzné ukazovatele</w:t>
      </w:r>
    </w:p>
    <w:p w:rsidR="00395DF9" w:rsidRPr="0084290D" w:rsidP="000B0AB8">
      <w:pPr>
        <w:tabs>
          <w:tab w:val="left" w:pos="1560"/>
        </w:tabs>
        <w:bidi w:val="0"/>
        <w:rPr>
          <w:rFonts w:ascii="Times New Roman" w:hAnsi="Times New Roman"/>
        </w:rPr>
      </w:pPr>
      <w:r w:rsidRPr="0084290D">
        <w:rPr>
          <w:rFonts w:ascii="Times New Roman" w:hAnsi="Times New Roman"/>
        </w:rPr>
        <w:tab/>
        <w:t>2016: návrh rozpočtu verejného zdravotného poistenia (výdavky)</w:t>
      </w:r>
    </w:p>
    <w:p w:rsidR="00E40F13" w:rsidRPr="0084290D" w:rsidP="000B0AB8">
      <w:pPr>
        <w:tabs>
          <w:tab w:val="left" w:pos="1560"/>
        </w:tabs>
        <w:bidi w:val="0"/>
        <w:rPr>
          <w:rFonts w:ascii="Times New Roman" w:hAnsi="Times New Roman"/>
          <w:u w:val="single"/>
        </w:rPr>
      </w:pPr>
    </w:p>
    <w:p w:rsidR="0097240C" w:rsidRPr="0084290D" w:rsidP="000B0AB8">
      <w:pPr>
        <w:bidi w:val="0"/>
        <w:rPr>
          <w:rFonts w:ascii="Times New Roman" w:hAnsi="Times New Roman"/>
        </w:rPr>
      </w:pPr>
      <w:r w:rsidRPr="0084290D">
        <w:rPr>
          <w:rFonts w:ascii="Times New Roman" w:hAnsi="Times New Roman"/>
        </w:rPr>
        <w:t>Pre výpočet vplyvov na verejné financie boli použité údaje zo štatistického výkazu „Výkaz o zamestnancoch a o zložení mzdových prostriedkov v zdravotníctve“, ktorý spracováva NCZI.</w:t>
      </w:r>
    </w:p>
    <w:p w:rsidR="0034222B" w:rsidP="000B0AB8">
      <w:pPr>
        <w:bidi w:val="0"/>
        <w:adjustRightInd w:val="0"/>
        <w:rPr>
          <w:rFonts w:ascii="Times New Roman" w:hAnsi="Times New Roman"/>
          <w:b/>
          <w:iCs/>
          <w:u w:val="single"/>
        </w:rPr>
      </w:pPr>
    </w:p>
    <w:p w:rsidR="00B11A92" w:rsidP="000B0AB8">
      <w:pPr>
        <w:bidi w:val="0"/>
        <w:adjustRightInd w:val="0"/>
        <w:rPr>
          <w:rFonts w:ascii="Times New Roman" w:hAnsi="Times New Roman"/>
          <w:b/>
          <w:iCs/>
          <w:u w:val="single"/>
        </w:rPr>
      </w:pPr>
    </w:p>
    <w:p w:rsidR="00B11A92" w:rsidP="000B0AB8">
      <w:pPr>
        <w:bidi w:val="0"/>
        <w:adjustRightInd w:val="0"/>
        <w:rPr>
          <w:rFonts w:ascii="Times New Roman" w:hAnsi="Times New Roman"/>
          <w:b/>
          <w:iCs/>
          <w:u w:val="single"/>
        </w:rPr>
      </w:pPr>
    </w:p>
    <w:p w:rsidR="00B11A92" w:rsidRPr="0084290D" w:rsidP="000B0AB8">
      <w:pPr>
        <w:bidi w:val="0"/>
        <w:adjustRightInd w:val="0"/>
        <w:rPr>
          <w:rFonts w:ascii="Times New Roman" w:hAnsi="Times New Roman"/>
          <w:b/>
          <w:iCs/>
          <w:u w:val="single"/>
        </w:rPr>
      </w:pPr>
    </w:p>
    <w:p w:rsidR="002743BE" w:rsidRPr="0084290D" w:rsidP="002743BE">
      <w:pPr>
        <w:bidi w:val="0"/>
        <w:rPr>
          <w:rFonts w:ascii="Times New Roman" w:hAnsi="Times New Roman"/>
          <w:b/>
          <w:u w:val="single"/>
        </w:rPr>
      </w:pPr>
      <w:r w:rsidRPr="0084290D">
        <w:rPr>
          <w:rFonts w:ascii="Times New Roman" w:hAnsi="Times New Roman"/>
          <w:b/>
          <w:u w:val="single"/>
        </w:rPr>
        <w:t xml:space="preserve">Neuplatnenie minimálneho vymeriavacieho základu pre osoby, ktoré sú poistencami štátu a ich ročné príjmy prekročia 15-násobok životného minima </w:t>
      </w:r>
    </w:p>
    <w:p w:rsidR="002743BE" w:rsidRPr="0084290D" w:rsidP="002743BE">
      <w:pPr>
        <w:bidi w:val="0"/>
        <w:rPr>
          <w:rFonts w:ascii="Times New Roman" w:hAnsi="Times New Roman"/>
        </w:rPr>
      </w:pPr>
      <w:r w:rsidRPr="0084290D">
        <w:rPr>
          <w:rFonts w:ascii="Times New Roman" w:hAnsi="Times New Roman"/>
        </w:rPr>
        <w:t>Za osoby, ktoré by mali byť poistencami štátu, avšak ich príjmy prekročia 15-násobok životného minima</w:t>
      </w:r>
      <w:r w:rsidR="003B27E6">
        <w:rPr>
          <w:rFonts w:ascii="Times New Roman" w:hAnsi="Times New Roman"/>
        </w:rPr>
        <w:t>,</w:t>
      </w:r>
      <w:r w:rsidRPr="0084290D">
        <w:rPr>
          <w:rFonts w:ascii="Times New Roman" w:hAnsi="Times New Roman"/>
        </w:rPr>
        <w:t xml:space="preserve"> nebude uplatňovaný minimálny vymeriavací základ. Tieto osoby odvedú poistné zo svojho reálne dosiahnutého príjmu.</w:t>
      </w:r>
    </w:p>
    <w:p w:rsidR="002743BE" w:rsidRPr="0084290D" w:rsidP="002743BE">
      <w:pPr>
        <w:bidi w:val="0"/>
        <w:rPr>
          <w:rFonts w:ascii="Times New Roman" w:hAnsi="Times New Roman"/>
        </w:rPr>
      </w:pPr>
      <w:r w:rsidRPr="0084290D">
        <w:rPr>
          <w:rFonts w:ascii="Times New Roman" w:hAnsi="Times New Roman"/>
        </w:rPr>
        <w:t xml:space="preserve">Vzhľadom k skutočnosti, že preddavky na poistné tieto osoby platia z reálne dosiahnutých príjmov, prípadný nedoplatok u tejto skupiny (ak by nedošlo k zmene, ktorá sa navrhuje v tomto zákone) je splatný až po vykonaní ročného zúčtovania poistného (na konci roka 2014), teda očakávaný príjem od týchto osôb nebol rozpočtovaný </w:t>
      </w:r>
      <w:r w:rsidR="00D6203E">
        <w:rPr>
          <w:rFonts w:ascii="Times New Roman" w:hAnsi="Times New Roman"/>
        </w:rPr>
        <w:t xml:space="preserve">medzi </w:t>
      </w:r>
      <w:r w:rsidRPr="0084290D">
        <w:rPr>
          <w:rFonts w:ascii="Times New Roman" w:hAnsi="Times New Roman"/>
        </w:rPr>
        <w:t>príjm</w:t>
      </w:r>
      <w:r w:rsidR="00D6203E">
        <w:rPr>
          <w:rFonts w:ascii="Times New Roman" w:hAnsi="Times New Roman"/>
        </w:rPr>
        <w:t xml:space="preserve">ami verejného zdravotného poistenia </w:t>
      </w:r>
      <w:r w:rsidRPr="0084290D">
        <w:rPr>
          <w:rFonts w:ascii="Times New Roman" w:hAnsi="Times New Roman"/>
        </w:rPr>
        <w:t>na rok 2013</w:t>
      </w:r>
      <w:r w:rsidR="00D6203E">
        <w:rPr>
          <w:rFonts w:ascii="Times New Roman" w:hAnsi="Times New Roman"/>
        </w:rPr>
        <w:t>, ani na roky 2014 až 2016</w:t>
      </w:r>
      <w:r w:rsidRPr="0084290D">
        <w:rPr>
          <w:rFonts w:ascii="Times New Roman" w:hAnsi="Times New Roman"/>
        </w:rPr>
        <w:t xml:space="preserve">. </w:t>
      </w:r>
    </w:p>
    <w:p w:rsidR="002743BE" w:rsidRPr="0084290D" w:rsidP="002743BE">
      <w:pPr>
        <w:bidi w:val="0"/>
        <w:rPr>
          <w:rFonts w:ascii="Times New Roman" w:hAnsi="Times New Roman"/>
        </w:rPr>
      </w:pPr>
      <w:r w:rsidRPr="0084290D">
        <w:rPr>
          <w:rFonts w:ascii="Times New Roman" w:hAnsi="Times New Roman"/>
        </w:rPr>
        <w:t>Uvedená zmena sa týka asi 5 tis. osôb a odhadnutá suma rozdielu na osobu sa môže pohybovať od 1 eura po (55,02 eur – 34,05 eur) 20,97 eur.</w:t>
      </w:r>
    </w:p>
    <w:p w:rsidR="002743BE" w:rsidP="002743BE">
      <w:pPr>
        <w:bidi w:val="0"/>
        <w:rPr>
          <w:rFonts w:ascii="Times New Roman" w:hAnsi="Times New Roman"/>
        </w:rPr>
      </w:pPr>
      <w:r w:rsidRPr="003B27E6">
        <w:rPr>
          <w:rFonts w:ascii="Times New Roman" w:hAnsi="Times New Roman"/>
          <w:b/>
        </w:rPr>
        <w:t xml:space="preserve">Vzhľadom k skutočnosti, že uvedený príjem nebol </w:t>
      </w:r>
      <w:r w:rsidRPr="003B27E6" w:rsidR="003B27E6">
        <w:rPr>
          <w:rFonts w:ascii="Times New Roman" w:hAnsi="Times New Roman"/>
          <w:b/>
        </w:rPr>
        <w:t>premietnutý v </w:t>
      </w:r>
      <w:r w:rsidRPr="003B27E6">
        <w:rPr>
          <w:rFonts w:ascii="Times New Roman" w:hAnsi="Times New Roman"/>
          <w:b/>
        </w:rPr>
        <w:t>rozpočt</w:t>
      </w:r>
      <w:r w:rsidRPr="003B27E6" w:rsidR="003B27E6">
        <w:rPr>
          <w:rFonts w:ascii="Times New Roman" w:hAnsi="Times New Roman"/>
          <w:b/>
        </w:rPr>
        <w:t>e verejného zdravotného poistenia</w:t>
      </w:r>
      <w:r w:rsidR="003B27E6">
        <w:rPr>
          <w:rFonts w:ascii="Times New Roman" w:hAnsi="Times New Roman"/>
        </w:rPr>
        <w:t xml:space="preserve"> </w:t>
      </w:r>
      <w:r w:rsidRPr="0084290D">
        <w:rPr>
          <w:rFonts w:ascii="Times New Roman" w:hAnsi="Times New Roman"/>
        </w:rPr>
        <w:t xml:space="preserve">(nárok na tento príjem vznikol až po poslednej novele zákona č. 580/2004 Z. z. na konci roka 2012 ako dôsledok zmeny v charakteristike poistenca štátu, dovtedy bol nárok iba na poistné z reálnych príjmov), </w:t>
      </w:r>
      <w:r w:rsidRPr="003B27E6">
        <w:rPr>
          <w:rFonts w:ascii="Times New Roman" w:hAnsi="Times New Roman"/>
          <w:b/>
        </w:rPr>
        <w:t>nie je zahrnutý vo vyčíslených dopadoch</w:t>
      </w:r>
      <w:r w:rsidRPr="0084290D">
        <w:rPr>
          <w:rFonts w:ascii="Times New Roman" w:hAnsi="Times New Roman"/>
        </w:rPr>
        <w:t xml:space="preserve">. </w:t>
      </w:r>
    </w:p>
    <w:p w:rsidR="00B97FF3" w:rsidP="002743BE">
      <w:pPr>
        <w:bidi w:val="0"/>
        <w:rPr>
          <w:rFonts w:ascii="Times New Roman" w:hAnsi="Times New Roman"/>
        </w:rPr>
      </w:pPr>
    </w:p>
    <w:p w:rsidR="00347644" w:rsidRPr="0084290D" w:rsidP="000B0AB8">
      <w:pPr>
        <w:bidi w:val="0"/>
        <w:adjustRightInd w:val="0"/>
        <w:rPr>
          <w:rFonts w:ascii="Times New Roman" w:hAnsi="Times New Roman"/>
          <w:b/>
          <w:u w:val="single"/>
        </w:rPr>
      </w:pPr>
      <w:r w:rsidRPr="0084290D">
        <w:rPr>
          <w:rFonts w:ascii="Times New Roman" w:hAnsi="Times New Roman"/>
          <w:b/>
          <w:u w:val="single"/>
        </w:rPr>
        <w:t>Zmena v určení vymeriavacieho základu z dividend pre rok 2011 a</w:t>
      </w:r>
      <w:r w:rsidR="003B27E6">
        <w:rPr>
          <w:rFonts w:ascii="Times New Roman" w:hAnsi="Times New Roman"/>
          <w:b/>
          <w:u w:val="single"/>
        </w:rPr>
        <w:t> </w:t>
      </w:r>
      <w:r w:rsidRPr="0084290D">
        <w:rPr>
          <w:rFonts w:ascii="Times New Roman" w:hAnsi="Times New Roman"/>
          <w:b/>
          <w:u w:val="single"/>
        </w:rPr>
        <w:t>2012</w:t>
      </w:r>
      <w:r w:rsidR="003B27E6">
        <w:rPr>
          <w:rFonts w:ascii="Times New Roman" w:hAnsi="Times New Roman"/>
          <w:b/>
          <w:u w:val="single"/>
        </w:rPr>
        <w:t xml:space="preserve"> vyplatený v roku 2013 a neskôr</w:t>
      </w:r>
    </w:p>
    <w:p w:rsidR="00347644" w:rsidRPr="0084290D" w:rsidP="000B0AB8">
      <w:pPr>
        <w:bidi w:val="0"/>
        <w:adjustRightInd w:val="0"/>
        <w:rPr>
          <w:rFonts w:ascii="Times New Roman" w:hAnsi="Times New Roman"/>
        </w:rPr>
      </w:pPr>
      <w:r w:rsidRPr="0084290D">
        <w:rPr>
          <w:rFonts w:ascii="Times New Roman" w:hAnsi="Times New Roman"/>
        </w:rPr>
        <w:t xml:space="preserve">Zákon v čl. I, bod 38 v prechodných ustanoveniach precizuje spôsob určenia vymeriavacieho základu z dividend za roky 2011 a 2012. Uvedený postup podľa názoru MZ SR vyplýva zo zákona, ktorý je v súčasnosti platný, do zákona je doplnený z dôvodu právnej istoty a nie je dôvod, aby akýmkoľvek spôsobom </w:t>
      </w:r>
      <w:r w:rsidRPr="0084290D" w:rsidR="00AB5595">
        <w:rPr>
          <w:rFonts w:ascii="Times New Roman" w:hAnsi="Times New Roman"/>
        </w:rPr>
        <w:t>ovplyvnil</w:t>
      </w:r>
      <w:r w:rsidR="00D6203E">
        <w:rPr>
          <w:rFonts w:ascii="Times New Roman" w:hAnsi="Times New Roman"/>
        </w:rPr>
        <w:t xml:space="preserve"> rozpočtované príjmy a výdavky verejného zdravotného</w:t>
      </w:r>
      <w:r w:rsidRPr="0084290D" w:rsidR="00AB5595">
        <w:rPr>
          <w:rFonts w:ascii="Times New Roman" w:hAnsi="Times New Roman"/>
        </w:rPr>
        <w:t xml:space="preserve"> pois</w:t>
      </w:r>
      <w:r w:rsidR="00D6203E">
        <w:rPr>
          <w:rFonts w:ascii="Times New Roman" w:hAnsi="Times New Roman"/>
        </w:rPr>
        <w:t>tenia</w:t>
      </w:r>
      <w:r w:rsidRPr="0084290D" w:rsidR="00AB5595">
        <w:rPr>
          <w:rFonts w:ascii="Times New Roman" w:hAnsi="Times New Roman"/>
        </w:rPr>
        <w:t>.</w:t>
      </w:r>
    </w:p>
    <w:p w:rsidR="00B32213" w:rsidRPr="0084290D" w:rsidP="000B0AB8">
      <w:pPr>
        <w:bidi w:val="0"/>
        <w:adjustRightInd w:val="0"/>
        <w:rPr>
          <w:rFonts w:ascii="Times New Roman" w:hAnsi="Times New Roman"/>
        </w:rPr>
      </w:pPr>
    </w:p>
    <w:p w:rsidR="00B32213" w:rsidRPr="0084290D" w:rsidP="000B0AB8">
      <w:pPr>
        <w:bidi w:val="0"/>
        <w:adjustRightInd w:val="0"/>
        <w:rPr>
          <w:rFonts w:ascii="Times New Roman" w:hAnsi="Times New Roman"/>
          <w:b/>
          <w:iCs/>
          <w:u w:val="single"/>
        </w:rPr>
      </w:pPr>
      <w:r w:rsidRPr="0084290D">
        <w:rPr>
          <w:rFonts w:ascii="Times New Roman" w:hAnsi="Times New Roman"/>
          <w:b/>
          <w:iCs/>
          <w:u w:val="single"/>
        </w:rPr>
        <w:t>Zmeny v zozname kúpeľnej starostlivosti</w:t>
      </w:r>
    </w:p>
    <w:p w:rsidR="00B32213" w:rsidRPr="0084290D" w:rsidP="00017142">
      <w:pPr>
        <w:bidi w:val="0"/>
        <w:rPr>
          <w:rFonts w:ascii="Times New Roman" w:hAnsi="Times New Roman"/>
        </w:rPr>
      </w:pPr>
      <w:r w:rsidRPr="0084290D">
        <w:rPr>
          <w:rFonts w:ascii="Times New Roman" w:hAnsi="Times New Roman"/>
        </w:rPr>
        <w:t xml:space="preserve">Do zoznamu pre kúpeľnú starostlivosť pre dospelé osoby a pre deti a dorast sa dopĺňa diagnóza G60 „Dedičná a idiopatická neuropatia“, ktorú bude oprávnený indikovať len neurológ a všeobecný lekár pre dospelých na základe odporúčania neurológa. Ustanovuje sa, že kúpeľnú starostlivosť pri tejto indikácii je možné uhrádzať z prostriedkov verejného zdravotného poistenia poistencovi uhrádzať najviac raz ročne. </w:t>
      </w:r>
    </w:p>
    <w:p w:rsidR="00B32213" w:rsidRPr="0084290D" w:rsidP="00017142">
      <w:pPr>
        <w:bidi w:val="0"/>
        <w:rPr>
          <w:rFonts w:ascii="Times New Roman" w:hAnsi="Times New Roman"/>
        </w:rPr>
      </w:pPr>
      <w:r w:rsidRPr="0084290D">
        <w:rPr>
          <w:rFonts w:ascii="Times New Roman" w:hAnsi="Times New Roman"/>
        </w:rPr>
        <w:t>Navrhovanou úpravou sa plnia úlohy v rámci odporúčaní EÚ, ku ktorým sa zaviazala aj Slovenská republika a úlohy Národného plánu (programu) rozvoja starostlivosti o pacientov so zriedkavými chorobami v SR vyplývajúceho z uznesenia vlády SR č. 578/2012, ktorým bola schválená „Národná stratégia rozvoja zdravotnej starostlivosti o pacientov so zriedkavými chorobami na roky 2012-2013“.</w:t>
      </w:r>
    </w:p>
    <w:p w:rsidR="00B32213" w:rsidRPr="0084290D" w:rsidP="00017142">
      <w:pPr>
        <w:bidi w:val="0"/>
        <w:rPr>
          <w:rFonts w:ascii="Times New Roman" w:hAnsi="Times New Roman"/>
        </w:rPr>
      </w:pPr>
      <w:r w:rsidRPr="0084290D">
        <w:rPr>
          <w:rFonts w:ascii="Times New Roman" w:hAnsi="Times New Roman"/>
        </w:rPr>
        <w:t xml:space="preserve">Návrh zákona predpokladá negatívny vplyv na zdroje verejného zdravotného poistenia. Nie je však možné konkrétne vyjadriť charakter a rozsah celkových nákladov, pretože nie je možné konkrétne určiť presný počet prijímateľov kúpeľnej starostlivosti. </w:t>
      </w:r>
    </w:p>
    <w:p w:rsidR="00B32213" w:rsidRPr="0084290D" w:rsidP="00017142">
      <w:pPr>
        <w:bidi w:val="0"/>
        <w:rPr>
          <w:rFonts w:ascii="Times New Roman" w:hAnsi="Times New Roman"/>
        </w:rPr>
      </w:pPr>
      <w:r w:rsidRPr="0084290D">
        <w:rPr>
          <w:rFonts w:ascii="Times New Roman" w:hAnsi="Times New Roman"/>
        </w:rPr>
        <w:t xml:space="preserve">Zdravotná poisťovňa uhrádza jednému poistencovi cca 40 euro na deň, pričom dĺžka kúpeľnej starostlivosti jedného poistenca je 21 dní. Na základe dostupných údajov sa predpokladá maximálne 300 poistencov ročne, takže predpokladaný dopad na zdroje verejného zdravotného poistenia sa odhaduje maximálne na 252 000 euro ročne. </w:t>
      </w:r>
    </w:p>
    <w:p w:rsidR="00B32213" w:rsidRPr="0084290D" w:rsidP="000B0AB8">
      <w:pPr>
        <w:bidi w:val="0"/>
        <w:adjustRightInd w:val="0"/>
        <w:rPr>
          <w:rFonts w:ascii="Times New Roman" w:hAnsi="Times New Roman"/>
          <w:b/>
          <w:iCs/>
          <w:u w:val="single"/>
        </w:rPr>
      </w:pPr>
    </w:p>
    <w:p w:rsidR="005249AB" w:rsidRPr="0084290D" w:rsidP="000B0AB8">
      <w:pPr>
        <w:bidi w:val="0"/>
        <w:adjustRightInd w:val="0"/>
        <w:rPr>
          <w:rFonts w:ascii="Times New Roman" w:hAnsi="Times New Roman"/>
          <w:b/>
          <w:iCs/>
          <w:u w:val="single"/>
        </w:rPr>
      </w:pPr>
      <w:r w:rsidRPr="0084290D">
        <w:rPr>
          <w:rFonts w:ascii="Times New Roman" w:hAnsi="Times New Roman"/>
          <w:b/>
          <w:iCs/>
          <w:u w:val="single"/>
        </w:rPr>
        <w:t>Zmena v minimálnom mzdovom nároku</w:t>
      </w:r>
    </w:p>
    <w:p w:rsidR="005249AB" w:rsidRPr="0084290D" w:rsidP="000B0AB8">
      <w:pPr>
        <w:bidi w:val="0"/>
        <w:rPr>
          <w:rFonts w:ascii="Times New Roman" w:hAnsi="Times New Roman"/>
        </w:rPr>
      </w:pPr>
    </w:p>
    <w:p w:rsidR="0097240C" w:rsidRPr="0084290D" w:rsidP="000B0AB8">
      <w:pPr>
        <w:bidi w:val="0"/>
        <w:rPr>
          <w:rFonts w:ascii="Times New Roman" w:hAnsi="Times New Roman"/>
        </w:rPr>
      </w:pPr>
      <w:r w:rsidRPr="0084290D">
        <w:rPr>
          <w:rFonts w:ascii="Times New Roman" w:hAnsi="Times New Roman"/>
        </w:rPr>
        <w:t>Počet ústavných zariadení podľa zriaďovateľskej pôsobnosti je k 12. 2. 2013 nasledovný:</w:t>
      </w:r>
    </w:p>
    <w:p w:rsidR="005249AB" w:rsidRPr="0084290D" w:rsidP="000B0AB8">
      <w:pPr>
        <w:bidi w:val="0"/>
        <w:jc w:val="right"/>
        <w:outlineLvl w:val="0"/>
        <w:rPr>
          <w:rFonts w:ascii="Times New Roman" w:hAnsi="Times New Roman"/>
        </w:rPr>
      </w:pPr>
      <w:r w:rsidRPr="0084290D">
        <w:rPr>
          <w:rFonts w:ascii="Times New Roman" w:hAnsi="Times New Roman"/>
        </w:rPr>
        <w:t xml:space="preserve">Tabuľka č. 6 </w:t>
      </w:r>
    </w:p>
    <w:tbl>
      <w:tblPr>
        <w:tblStyle w:val="TableNormal"/>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993"/>
        <w:gridCol w:w="1275"/>
        <w:gridCol w:w="993"/>
        <w:gridCol w:w="1984"/>
      </w:tblGrid>
      <w:tr>
        <w:tblPrEx>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077" w:type="dxa"/>
            <w:vMerge w:val="restart"/>
            <w:tcBorders>
              <w:top w:val="single" w:sz="4" w:space="0" w:color="auto"/>
              <w:left w:val="single" w:sz="4" w:space="0" w:color="auto"/>
              <w:bottom w:val="single" w:sz="4" w:space="0" w:color="auto"/>
              <w:right w:val="single" w:sz="4" w:space="0" w:color="auto"/>
            </w:tcBorders>
            <w:textDirection w:val="lrTb"/>
            <w:vAlign w:val="top"/>
          </w:tcPr>
          <w:p w:rsidR="0097240C" w:rsidRPr="0084290D" w:rsidP="000B0AB8">
            <w:pPr>
              <w:bidi w:val="0"/>
              <w:jc w:val="center"/>
              <w:rPr>
                <w:rFonts w:ascii="Times New Roman" w:hAnsi="Times New Roman"/>
              </w:rPr>
            </w:pPr>
            <w:r w:rsidRPr="0084290D">
              <w:rPr>
                <w:rFonts w:ascii="Times New Roman" w:hAnsi="Times New Roman"/>
              </w:rPr>
              <w:t>Počet zariadení ústavnej starostlivosti</w:t>
            </w:r>
          </w:p>
        </w:tc>
        <w:tc>
          <w:tcPr>
            <w:tcW w:w="5245" w:type="dxa"/>
            <w:gridSpan w:val="4"/>
            <w:tcBorders>
              <w:top w:val="single" w:sz="4" w:space="0" w:color="auto"/>
              <w:left w:val="single" w:sz="4" w:space="0" w:color="auto"/>
              <w:bottom w:val="single" w:sz="4" w:space="0" w:color="auto"/>
              <w:right w:val="single" w:sz="4" w:space="0" w:color="auto"/>
            </w:tcBorders>
            <w:textDirection w:val="lrTb"/>
            <w:vAlign w:val="top"/>
          </w:tcPr>
          <w:p w:rsidR="0097240C" w:rsidRPr="0084290D" w:rsidP="000B0AB8">
            <w:pPr>
              <w:bidi w:val="0"/>
              <w:jc w:val="center"/>
              <w:rPr>
                <w:rFonts w:ascii="Times New Roman" w:hAnsi="Times New Roman"/>
              </w:rPr>
            </w:pPr>
            <w:r w:rsidRPr="0084290D">
              <w:rPr>
                <w:rFonts w:ascii="Times New Roman" w:hAnsi="Times New Roman"/>
              </w:rPr>
              <w:t>v tom</w:t>
            </w:r>
          </w:p>
        </w:tc>
      </w:tr>
      <w:tr>
        <w:tblPrEx>
          <w:tblW w:w="9322" w:type="dxa"/>
          <w:tblLook w:val="04A0"/>
        </w:tblPrEx>
        <w:tc>
          <w:tcPr>
            <w:tcW w:w="4077" w:type="dxa"/>
            <w:vMerge/>
            <w:tcBorders>
              <w:top w:val="single" w:sz="4" w:space="0" w:color="auto"/>
              <w:left w:val="single" w:sz="4" w:space="0" w:color="auto"/>
              <w:bottom w:val="single" w:sz="4" w:space="0" w:color="auto"/>
              <w:right w:val="single" w:sz="4" w:space="0" w:color="auto"/>
            </w:tcBorders>
            <w:textDirection w:val="lrTb"/>
            <w:vAlign w:val="top"/>
          </w:tcPr>
          <w:p w:rsidR="0097240C" w:rsidRPr="0084290D" w:rsidP="000B0AB8">
            <w:pPr>
              <w:bidi w:val="0"/>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97240C" w:rsidRPr="0084290D" w:rsidP="000B0AB8">
            <w:pPr>
              <w:bidi w:val="0"/>
              <w:rPr>
                <w:rFonts w:ascii="Times New Roman" w:hAnsi="Times New Roman"/>
              </w:rPr>
            </w:pPr>
            <w:r w:rsidRPr="0084290D">
              <w:rPr>
                <w:rFonts w:ascii="Times New Roman" w:hAnsi="Times New Roman"/>
              </w:rPr>
              <w:t>MZ SR</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97240C" w:rsidRPr="0084290D" w:rsidP="000B0AB8">
            <w:pPr>
              <w:bidi w:val="0"/>
              <w:rPr>
                <w:rFonts w:ascii="Times New Roman" w:hAnsi="Times New Roman"/>
              </w:rPr>
            </w:pPr>
            <w:r w:rsidRPr="0084290D">
              <w:rPr>
                <w:rFonts w:ascii="Times New Roman" w:hAnsi="Times New Roman"/>
              </w:rPr>
              <w:t>iné rezorty</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97240C" w:rsidRPr="0084290D" w:rsidP="000B0AB8">
            <w:pPr>
              <w:bidi w:val="0"/>
              <w:rPr>
                <w:rFonts w:ascii="Times New Roman" w:hAnsi="Times New Roman"/>
              </w:rPr>
            </w:pPr>
            <w:r w:rsidRPr="0084290D">
              <w:rPr>
                <w:rFonts w:ascii="Times New Roman" w:hAnsi="Times New Roman"/>
              </w:rPr>
              <w:t>VÚC</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97240C" w:rsidRPr="0084290D" w:rsidP="000B0AB8">
            <w:pPr>
              <w:bidi w:val="0"/>
              <w:rPr>
                <w:rFonts w:ascii="Times New Roman" w:hAnsi="Times New Roman"/>
              </w:rPr>
            </w:pPr>
            <w:r w:rsidRPr="0084290D">
              <w:rPr>
                <w:rFonts w:ascii="Times New Roman" w:hAnsi="Times New Roman"/>
              </w:rPr>
              <w:t>iní zriaďovatelia</w:t>
            </w:r>
          </w:p>
        </w:tc>
      </w:tr>
      <w:tr>
        <w:tblPrEx>
          <w:tblW w:w="9322" w:type="dxa"/>
          <w:tblLook w:val="04A0"/>
        </w:tblPrEx>
        <w:tc>
          <w:tcPr>
            <w:tcW w:w="4077" w:type="dxa"/>
            <w:tcBorders>
              <w:top w:val="single" w:sz="4" w:space="0" w:color="auto"/>
              <w:left w:val="single" w:sz="4" w:space="0" w:color="auto"/>
              <w:bottom w:val="single" w:sz="4" w:space="0" w:color="auto"/>
              <w:right w:val="single" w:sz="4" w:space="0" w:color="auto"/>
            </w:tcBorders>
            <w:textDirection w:val="lrTb"/>
            <w:vAlign w:val="top"/>
          </w:tcPr>
          <w:p w:rsidR="0097240C" w:rsidRPr="0084290D" w:rsidP="000B0AB8">
            <w:pPr>
              <w:bidi w:val="0"/>
              <w:jc w:val="center"/>
              <w:rPr>
                <w:rFonts w:ascii="Times New Roman" w:hAnsi="Times New Roman"/>
              </w:rPr>
            </w:pPr>
            <w:r w:rsidRPr="0084290D">
              <w:rPr>
                <w:rFonts w:ascii="Times New Roman" w:hAnsi="Times New Roman"/>
              </w:rPr>
              <w:t>200</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97240C" w:rsidRPr="0084290D" w:rsidP="000B0AB8">
            <w:pPr>
              <w:bidi w:val="0"/>
              <w:rPr>
                <w:rFonts w:ascii="Times New Roman" w:hAnsi="Times New Roman"/>
              </w:rPr>
            </w:pPr>
            <w:r w:rsidRPr="0084290D">
              <w:rPr>
                <w:rFonts w:ascii="Times New Roman" w:hAnsi="Times New Roman"/>
              </w:rPr>
              <w:t>67</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97240C" w:rsidRPr="0084290D" w:rsidP="000B0AB8">
            <w:pPr>
              <w:bidi w:val="0"/>
              <w:rPr>
                <w:rFonts w:ascii="Times New Roman" w:hAnsi="Times New Roman"/>
              </w:rPr>
            </w:pPr>
            <w:r w:rsidRPr="0084290D">
              <w:rPr>
                <w:rFonts w:ascii="Times New Roman" w:hAnsi="Times New Roman"/>
              </w:rPr>
              <w:t>7</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97240C" w:rsidRPr="0084290D" w:rsidP="000B0AB8">
            <w:pPr>
              <w:bidi w:val="0"/>
              <w:rPr>
                <w:rFonts w:ascii="Times New Roman" w:hAnsi="Times New Roman"/>
              </w:rPr>
            </w:pPr>
            <w:r w:rsidRPr="0084290D">
              <w:rPr>
                <w:rFonts w:ascii="Times New Roman" w:hAnsi="Times New Roman"/>
              </w:rPr>
              <w:t>40</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97240C" w:rsidRPr="0084290D" w:rsidP="000B0AB8">
            <w:pPr>
              <w:bidi w:val="0"/>
              <w:rPr>
                <w:rFonts w:ascii="Times New Roman" w:hAnsi="Times New Roman"/>
              </w:rPr>
            </w:pPr>
            <w:r w:rsidRPr="0084290D">
              <w:rPr>
                <w:rFonts w:ascii="Times New Roman" w:hAnsi="Times New Roman"/>
              </w:rPr>
              <w:t>86</w:t>
            </w:r>
          </w:p>
        </w:tc>
      </w:tr>
    </w:tbl>
    <w:p w:rsidR="0097240C" w:rsidRPr="0084290D" w:rsidP="000B0AB8">
      <w:pPr>
        <w:bidi w:val="0"/>
        <w:rPr>
          <w:rFonts w:ascii="Times New Roman" w:hAnsi="Times New Roman"/>
        </w:rPr>
      </w:pPr>
    </w:p>
    <w:p w:rsidR="0097240C" w:rsidRPr="0084290D" w:rsidP="000B0AB8">
      <w:pPr>
        <w:bidi w:val="0"/>
        <w:rPr>
          <w:rFonts w:ascii="Times New Roman" w:hAnsi="Times New Roman"/>
        </w:rPr>
      </w:pPr>
      <w:r w:rsidRPr="0084290D">
        <w:rPr>
          <w:rFonts w:ascii="Times New Roman" w:hAnsi="Times New Roman"/>
        </w:rPr>
        <w:t xml:space="preserve">Za prvé 3. štvrťroky kalendárneho roka 2012 podľa údajov NCZI v zdravotníckych zariadeniach pôsobilo </w:t>
      </w:r>
      <w:r w:rsidRPr="0084290D" w:rsidR="00301E00">
        <w:rPr>
          <w:rFonts w:ascii="Times New Roman" w:hAnsi="Times New Roman"/>
        </w:rPr>
        <w:t>8012</w:t>
      </w:r>
      <w:r w:rsidRPr="0084290D">
        <w:rPr>
          <w:rFonts w:ascii="Times New Roman" w:hAnsi="Times New Roman"/>
        </w:rPr>
        <w:t xml:space="preserve"> zamestnancov (priemerný prepočítaný evidenčný počet)</w:t>
      </w:r>
      <w:r w:rsidRPr="0084290D" w:rsidR="00A25DFA">
        <w:rPr>
          <w:rFonts w:ascii="Times New Roman" w:hAnsi="Times New Roman"/>
        </w:rPr>
        <w:t>.</w:t>
      </w:r>
    </w:p>
    <w:p w:rsidR="00A25DFA" w:rsidRPr="0084290D" w:rsidP="000B0AB8">
      <w:pPr>
        <w:bidi w:val="0"/>
        <w:rPr>
          <w:rFonts w:ascii="Times New Roman" w:hAnsi="Times New Roman"/>
        </w:rPr>
      </w:pPr>
    </w:p>
    <w:p w:rsidR="00A25DFA" w:rsidRPr="0084290D" w:rsidP="000B0AB8">
      <w:pPr>
        <w:bidi w:val="0"/>
        <w:rPr>
          <w:rFonts w:ascii="Times New Roman" w:hAnsi="Times New Roman"/>
        </w:rPr>
      </w:pPr>
      <w:r w:rsidRPr="0084290D">
        <w:rPr>
          <w:rFonts w:ascii="Times New Roman" w:hAnsi="Times New Roman"/>
        </w:rPr>
        <w:t xml:space="preserve">Podľa platných všeobecne </w:t>
      </w:r>
      <w:r w:rsidRPr="0084290D" w:rsidR="00286680">
        <w:rPr>
          <w:rFonts w:ascii="Times New Roman" w:hAnsi="Times New Roman"/>
        </w:rPr>
        <w:t>záväzných právnych predpisov predstavuje v súčasnosti minimálny mzdový nárok nasledovné hodnoty:</w:t>
      </w:r>
    </w:p>
    <w:p w:rsidR="00286680" w:rsidRPr="0084290D" w:rsidP="000B0AB8">
      <w:pPr>
        <w:bidi w:val="0"/>
        <w:rPr>
          <w:rFonts w:ascii="Times New Roman" w:hAnsi="Times New Roman"/>
        </w:rPr>
      </w:pPr>
    </w:p>
    <w:p w:rsidR="00286680" w:rsidRPr="0084290D" w:rsidP="000B0AB8">
      <w:pPr>
        <w:numPr>
          <w:numId w:val="1"/>
        </w:numPr>
        <w:bidi w:val="0"/>
        <w:rPr>
          <w:rFonts w:ascii="Times New Roman" w:hAnsi="Times New Roman"/>
        </w:rPr>
      </w:pPr>
      <w:r w:rsidRPr="0084290D">
        <w:rPr>
          <w:rFonts w:ascii="Times New Roman" w:hAnsi="Times New Roman"/>
        </w:rPr>
        <w:t xml:space="preserve">Základná zložka mzdy lekára a zubného lekára pracujúceho v zariadení ústavnej zdravotnej starostlivosti, ktorý získal odbornú spôsobilosť na výkon </w:t>
      </w:r>
      <w:r w:rsidRPr="0084290D">
        <w:rPr>
          <w:rFonts w:ascii="Times New Roman" w:hAnsi="Times New Roman"/>
          <w:u w:val="single"/>
        </w:rPr>
        <w:t>odborných pracovných činností</w:t>
      </w:r>
      <w:r w:rsidRPr="0084290D">
        <w:rPr>
          <w:rFonts w:ascii="Times New Roman" w:hAnsi="Times New Roman"/>
        </w:rPr>
        <w:t xml:space="preserve"> a vykonáva odborné pracovné činnosti v rozsahu získaného vzdelania, je najmenej </w:t>
      </w:r>
      <w:r w:rsidRPr="0084290D">
        <w:rPr>
          <w:rFonts w:ascii="Times New Roman" w:hAnsi="Times New Roman"/>
          <w:b/>
        </w:rPr>
        <w:t>1,20-násobku</w:t>
      </w:r>
      <w:r w:rsidRPr="0084290D">
        <w:rPr>
          <w:rFonts w:ascii="Times New Roman" w:hAnsi="Times New Roman"/>
        </w:rPr>
        <w:t xml:space="preserve"> priemernej mesačnej mzdy zamestnanca v hospodárstve Slovenskej republiky zistenej Štatistickým úradom Slovenskej republiky za kalendárny rok, ktorý dva roky predchádza kalendárnemu roku, v ktorom sa priznáva základná zložka mzdy.</w:t>
      </w:r>
    </w:p>
    <w:p w:rsidR="00286680" w:rsidRPr="0084290D" w:rsidP="000B0AB8">
      <w:pPr>
        <w:bidi w:val="0"/>
        <w:ind w:firstLine="708"/>
        <w:rPr>
          <w:rFonts w:ascii="Times New Roman" w:hAnsi="Times New Roman"/>
        </w:rPr>
      </w:pPr>
      <w:r w:rsidRPr="0084290D">
        <w:rPr>
          <w:rFonts w:ascii="Times New Roman" w:hAnsi="Times New Roman"/>
          <w:b/>
        </w:rPr>
        <w:t>Táto hodnota sa od 1. 1. 2014 mení na 1,25-nasobok</w:t>
      </w:r>
      <w:r w:rsidRPr="0084290D">
        <w:rPr>
          <w:rFonts w:ascii="Times New Roman" w:hAnsi="Times New Roman"/>
        </w:rPr>
        <w:t>.</w:t>
      </w:r>
    </w:p>
    <w:p w:rsidR="00286680" w:rsidRPr="0084290D" w:rsidP="000B0AB8">
      <w:pPr>
        <w:bidi w:val="0"/>
        <w:ind w:firstLine="708"/>
        <w:rPr>
          <w:rFonts w:ascii="Times New Roman" w:hAnsi="Times New Roman"/>
        </w:rPr>
      </w:pPr>
    </w:p>
    <w:p w:rsidR="00286680" w:rsidRPr="0084290D" w:rsidP="000B0AB8">
      <w:pPr>
        <w:numPr>
          <w:numId w:val="1"/>
        </w:numPr>
        <w:bidi w:val="0"/>
        <w:rPr>
          <w:rFonts w:ascii="Times New Roman" w:hAnsi="Times New Roman"/>
        </w:rPr>
      </w:pPr>
      <w:r w:rsidRPr="0084290D">
        <w:rPr>
          <w:rFonts w:ascii="Times New Roman" w:hAnsi="Times New Roman"/>
        </w:rPr>
        <w:t xml:space="preserve">Základná zložka mzdy lekára a zubného lekára pracujúceho v zariadení ústavnej zdravotnej starostlivosti, ktorý získal odbornú spôsobilosť na výkon </w:t>
      </w:r>
      <w:r w:rsidRPr="0084290D">
        <w:rPr>
          <w:rFonts w:ascii="Times New Roman" w:hAnsi="Times New Roman"/>
          <w:u w:val="single"/>
        </w:rPr>
        <w:t xml:space="preserve">špecializovaných pracovných činností </w:t>
      </w:r>
      <w:r w:rsidRPr="0084290D">
        <w:rPr>
          <w:rFonts w:ascii="Times New Roman" w:hAnsi="Times New Roman"/>
        </w:rPr>
        <w:t xml:space="preserve">v špecializačnom odbore a vykonáva špecializované pracovné činnosti v príslušnom špecializačnom odbore, je najmenej </w:t>
      </w:r>
      <w:r w:rsidRPr="0084290D">
        <w:rPr>
          <w:rFonts w:ascii="Times New Roman" w:hAnsi="Times New Roman"/>
          <w:b/>
        </w:rPr>
        <w:t>1,90-násobku</w:t>
      </w:r>
      <w:r w:rsidRPr="0084290D">
        <w:rPr>
          <w:rFonts w:ascii="Times New Roman" w:hAnsi="Times New Roman"/>
        </w:rPr>
        <w:t xml:space="preserve"> priemernej mesačnej mzdy zamestnanca v hospodárstve Slovenskej republiky zistenej Štatistickým úradom Slovenskej republiky za kalendárny rok, ktorý dva roky predchádza kalendárnemu roku, v ktorom sa priznáva základná zložka mzdy.</w:t>
      </w:r>
    </w:p>
    <w:p w:rsidR="00286680" w:rsidRPr="0084290D" w:rsidP="000B0AB8">
      <w:pPr>
        <w:bidi w:val="0"/>
        <w:ind w:left="720"/>
        <w:rPr>
          <w:rFonts w:ascii="Times New Roman" w:hAnsi="Times New Roman"/>
        </w:rPr>
      </w:pPr>
      <w:r w:rsidRPr="0084290D">
        <w:rPr>
          <w:rFonts w:ascii="Times New Roman" w:hAnsi="Times New Roman"/>
          <w:b/>
        </w:rPr>
        <w:t>Táto hodnota sa od 1. 1. 2014 mení na 2,10-nasobok</w:t>
      </w:r>
      <w:r w:rsidRPr="0084290D">
        <w:rPr>
          <w:rFonts w:ascii="Times New Roman" w:hAnsi="Times New Roman"/>
        </w:rPr>
        <w:t>.</w:t>
      </w:r>
    </w:p>
    <w:p w:rsidR="00463FBA" w:rsidRPr="0084290D" w:rsidP="000B0AB8">
      <w:pPr>
        <w:bidi w:val="0"/>
        <w:ind w:left="720"/>
        <w:rPr>
          <w:rFonts w:ascii="Times New Roman" w:hAnsi="Times New Roman"/>
        </w:rPr>
      </w:pPr>
      <w:r w:rsidRPr="0084290D" w:rsidR="006D2BA9">
        <w:rPr>
          <w:rFonts w:ascii="Times New Roman" w:hAnsi="Times New Roman"/>
          <w:b/>
        </w:rPr>
        <w:t>Táto hodnota sa od 1. 1. 2015</w:t>
      </w:r>
      <w:r w:rsidRPr="0084290D">
        <w:rPr>
          <w:rFonts w:ascii="Times New Roman" w:hAnsi="Times New Roman"/>
          <w:b/>
        </w:rPr>
        <w:t xml:space="preserve"> mení na 2,30-nasobok</w:t>
      </w:r>
    </w:p>
    <w:p w:rsidR="00463FBA" w:rsidRPr="0084290D" w:rsidP="000B0AB8">
      <w:pPr>
        <w:bidi w:val="0"/>
        <w:rPr>
          <w:rFonts w:ascii="Times New Roman" w:hAnsi="Times New Roman"/>
        </w:rPr>
      </w:pPr>
    </w:p>
    <w:p w:rsidR="00463FBA" w:rsidRPr="0084290D" w:rsidP="000B0AB8">
      <w:pPr>
        <w:bidi w:val="0"/>
        <w:rPr>
          <w:rFonts w:ascii="Times New Roman" w:hAnsi="Times New Roman"/>
        </w:rPr>
      </w:pPr>
      <w:r w:rsidRPr="0084290D">
        <w:rPr>
          <w:rFonts w:ascii="Times New Roman" w:hAnsi="Times New Roman"/>
        </w:rPr>
        <w:t xml:space="preserve">Z celkového počtu </w:t>
      </w:r>
      <w:r w:rsidRPr="0084290D" w:rsidR="00301E00">
        <w:rPr>
          <w:rFonts w:ascii="Times New Roman" w:hAnsi="Times New Roman"/>
        </w:rPr>
        <w:t>8012</w:t>
      </w:r>
      <w:r w:rsidRPr="0084290D">
        <w:rPr>
          <w:rFonts w:ascii="Times New Roman" w:hAnsi="Times New Roman"/>
        </w:rPr>
        <w:t xml:space="preserve"> zamestnancov uvažujeme </w:t>
      </w:r>
      <w:r w:rsidRPr="0084290D" w:rsidR="00960DA7">
        <w:rPr>
          <w:rFonts w:ascii="Times New Roman" w:hAnsi="Times New Roman"/>
        </w:rPr>
        <w:t>40</w:t>
      </w:r>
      <w:r w:rsidRPr="0084290D">
        <w:rPr>
          <w:rFonts w:ascii="Times New Roman" w:hAnsi="Times New Roman"/>
        </w:rPr>
        <w:t>% lekárov bez špecializácie a </w:t>
      </w:r>
      <w:r w:rsidRPr="0084290D" w:rsidR="00960DA7">
        <w:rPr>
          <w:rFonts w:ascii="Times New Roman" w:hAnsi="Times New Roman"/>
        </w:rPr>
        <w:t>60</w:t>
      </w:r>
      <w:r w:rsidRPr="0084290D">
        <w:rPr>
          <w:rFonts w:ascii="Times New Roman" w:hAnsi="Times New Roman"/>
        </w:rPr>
        <w:t>% so špecializáciou.</w:t>
      </w:r>
    </w:p>
    <w:p w:rsidR="005249AB" w:rsidRPr="0084290D" w:rsidP="000B0AB8">
      <w:pPr>
        <w:bidi w:val="0"/>
        <w:ind w:right="3969"/>
        <w:jc w:val="right"/>
        <w:outlineLvl w:val="0"/>
        <w:rPr>
          <w:rFonts w:ascii="Times New Roman" w:hAnsi="Times New Roman"/>
        </w:rPr>
      </w:pPr>
      <w:r w:rsidRPr="0084290D">
        <w:rPr>
          <w:rFonts w:ascii="Times New Roman" w:hAnsi="Times New Roman"/>
        </w:rPr>
        <w:t xml:space="preserve">Tabuľka č. 7 </w:t>
      </w:r>
    </w:p>
    <w:tbl>
      <w:tblPr>
        <w:tblStyle w:val="TableNormal"/>
        <w:tblW w:w="5180" w:type="dxa"/>
        <w:tblInd w:w="55" w:type="dxa"/>
        <w:tblCellMar>
          <w:left w:w="70" w:type="dxa"/>
          <w:right w:w="70" w:type="dxa"/>
        </w:tblCellMar>
        <w:tblLook w:val="04A0"/>
      </w:tblPr>
      <w:tblGrid>
        <w:gridCol w:w="1800"/>
        <w:gridCol w:w="2420"/>
        <w:gridCol w:w="960"/>
      </w:tblGrid>
      <w:tr>
        <w:tblPrEx>
          <w:tblW w:w="5180" w:type="dxa"/>
          <w:tblInd w:w="55" w:type="dxa"/>
          <w:tblCellMar>
            <w:left w:w="70" w:type="dxa"/>
            <w:right w:w="70" w:type="dxa"/>
          </w:tblCellMar>
          <w:tblLook w:val="04A0"/>
        </w:tblPrEx>
        <w:trPr>
          <w:trHeight w:val="300"/>
        </w:trPr>
        <w:tc>
          <w:tcPr>
            <w:tcW w:w="1800" w:type="dxa"/>
            <w:tcBorders>
              <w:top w:val="single" w:sz="4" w:space="0" w:color="auto"/>
              <w:left w:val="single" w:sz="4" w:space="0" w:color="auto"/>
              <w:bottom w:val="single" w:sz="4" w:space="0" w:color="auto"/>
              <w:right w:val="single" w:sz="4" w:space="0" w:color="auto"/>
            </w:tcBorders>
            <w:shd w:val="pct20" w:color="auto" w:fill="auto"/>
            <w:noWrap/>
            <w:textDirection w:val="lrTb"/>
            <w:vAlign w:val="bottom"/>
            <w:hideMark/>
          </w:tcPr>
          <w:p w:rsidR="00463FBA" w:rsidRPr="0084290D" w:rsidP="000B0AB8">
            <w:pPr>
              <w:bidi w:val="0"/>
              <w:jc w:val="left"/>
              <w:rPr>
                <w:rFonts w:ascii="Times New Roman" w:hAnsi="Times New Roman"/>
                <w:b/>
                <w:bCs/>
              </w:rPr>
            </w:pPr>
            <w:r w:rsidRPr="0084290D">
              <w:rPr>
                <w:rFonts w:ascii="Times New Roman" w:hAnsi="Times New Roman"/>
                <w:b/>
                <w:bCs/>
              </w:rPr>
              <w:t>spolu</w:t>
            </w:r>
          </w:p>
        </w:tc>
        <w:tc>
          <w:tcPr>
            <w:tcW w:w="2420" w:type="dxa"/>
            <w:tcBorders>
              <w:top w:val="single" w:sz="4" w:space="0" w:color="auto"/>
              <w:left w:val="nil"/>
              <w:bottom w:val="single" w:sz="4" w:space="0" w:color="auto"/>
              <w:right w:val="single" w:sz="4" w:space="0" w:color="auto"/>
            </w:tcBorders>
            <w:shd w:val="pct20" w:color="auto" w:fill="auto"/>
            <w:noWrap/>
            <w:textDirection w:val="lrTb"/>
            <w:vAlign w:val="bottom"/>
            <w:hideMark/>
          </w:tcPr>
          <w:p w:rsidR="00463FBA" w:rsidRPr="0084290D" w:rsidP="000B0AB8">
            <w:pPr>
              <w:bidi w:val="0"/>
              <w:jc w:val="right"/>
              <w:rPr>
                <w:rFonts w:ascii="Times New Roman" w:hAnsi="Times New Roman"/>
                <w:b/>
                <w:bCs/>
              </w:rPr>
            </w:pPr>
            <w:r w:rsidRPr="0084290D" w:rsidR="00960DA7">
              <w:rPr>
                <w:rFonts w:ascii="Times New Roman" w:hAnsi="Times New Roman"/>
                <w:b/>
                <w:bCs/>
              </w:rPr>
              <w:t>8 012</w:t>
            </w:r>
          </w:p>
        </w:tc>
        <w:tc>
          <w:tcPr>
            <w:tcW w:w="960" w:type="dxa"/>
            <w:tcBorders>
              <w:top w:val="single" w:sz="4" w:space="0" w:color="auto"/>
              <w:left w:val="nil"/>
              <w:bottom w:val="single" w:sz="4" w:space="0" w:color="auto"/>
              <w:right w:val="single" w:sz="4" w:space="0" w:color="auto"/>
            </w:tcBorders>
            <w:shd w:val="pct20" w:color="auto" w:fill="auto"/>
            <w:noWrap/>
            <w:textDirection w:val="lrTb"/>
            <w:vAlign w:val="bottom"/>
            <w:hideMark/>
          </w:tcPr>
          <w:p w:rsidR="00463FBA" w:rsidRPr="0084290D" w:rsidP="000B0AB8">
            <w:pPr>
              <w:bidi w:val="0"/>
              <w:jc w:val="right"/>
              <w:rPr>
                <w:rFonts w:ascii="Times New Roman" w:hAnsi="Times New Roman"/>
                <w:b/>
                <w:bCs/>
              </w:rPr>
            </w:pPr>
            <w:r w:rsidRPr="0084290D">
              <w:rPr>
                <w:rFonts w:ascii="Times New Roman" w:hAnsi="Times New Roman"/>
                <w:b/>
                <w:bCs/>
              </w:rPr>
              <w:t>100%</w:t>
            </w:r>
          </w:p>
        </w:tc>
      </w:tr>
      <w:tr>
        <w:tblPrEx>
          <w:tblW w:w="5180" w:type="dxa"/>
          <w:tblInd w:w="55" w:type="dxa"/>
          <w:tblCellMar>
            <w:left w:w="70" w:type="dxa"/>
            <w:right w:w="70" w:type="dxa"/>
          </w:tblCellMar>
          <w:tblLook w:val="04A0"/>
        </w:tblPrEx>
        <w:trPr>
          <w:trHeight w:val="300"/>
        </w:trPr>
        <w:tc>
          <w:tcPr>
            <w:tcW w:w="1800" w:type="dxa"/>
            <w:tcBorders>
              <w:top w:val="nil"/>
              <w:left w:val="single" w:sz="4" w:space="0" w:color="auto"/>
              <w:bottom w:val="single" w:sz="4" w:space="0" w:color="auto"/>
              <w:right w:val="single" w:sz="4" w:space="0" w:color="auto"/>
            </w:tcBorders>
            <w:noWrap/>
            <w:textDirection w:val="lrTb"/>
            <w:vAlign w:val="bottom"/>
            <w:hideMark/>
          </w:tcPr>
          <w:p w:rsidR="00463FBA" w:rsidRPr="0084290D" w:rsidP="000B0AB8">
            <w:pPr>
              <w:bidi w:val="0"/>
              <w:jc w:val="left"/>
              <w:rPr>
                <w:rFonts w:ascii="Times New Roman" w:hAnsi="Times New Roman"/>
              </w:rPr>
            </w:pPr>
            <w:r w:rsidRPr="0084290D">
              <w:rPr>
                <w:rFonts w:ascii="Times New Roman" w:hAnsi="Times New Roman"/>
              </w:rPr>
              <w:t>so špecializáciou</w:t>
            </w:r>
          </w:p>
        </w:tc>
        <w:tc>
          <w:tcPr>
            <w:tcW w:w="2420" w:type="dxa"/>
            <w:tcBorders>
              <w:top w:val="nil"/>
              <w:left w:val="nil"/>
              <w:bottom w:val="single" w:sz="4" w:space="0" w:color="auto"/>
              <w:right w:val="single" w:sz="4" w:space="0" w:color="auto"/>
            </w:tcBorders>
            <w:noWrap/>
            <w:textDirection w:val="lrTb"/>
            <w:vAlign w:val="bottom"/>
            <w:hideMark/>
          </w:tcPr>
          <w:p w:rsidR="00463FBA" w:rsidRPr="0084290D" w:rsidP="000B0AB8">
            <w:pPr>
              <w:bidi w:val="0"/>
              <w:jc w:val="right"/>
              <w:rPr>
                <w:rFonts w:ascii="Times New Roman" w:hAnsi="Times New Roman"/>
              </w:rPr>
            </w:pPr>
            <w:r w:rsidRPr="0084290D" w:rsidR="00960DA7">
              <w:rPr>
                <w:rFonts w:ascii="Times New Roman" w:hAnsi="Times New Roman"/>
              </w:rPr>
              <w:t>4 807</w:t>
            </w:r>
          </w:p>
        </w:tc>
        <w:tc>
          <w:tcPr>
            <w:tcW w:w="960" w:type="dxa"/>
            <w:tcBorders>
              <w:top w:val="nil"/>
              <w:left w:val="nil"/>
              <w:bottom w:val="single" w:sz="4" w:space="0" w:color="auto"/>
              <w:right w:val="single" w:sz="4" w:space="0" w:color="auto"/>
            </w:tcBorders>
            <w:noWrap/>
            <w:textDirection w:val="lrTb"/>
            <w:vAlign w:val="bottom"/>
            <w:hideMark/>
          </w:tcPr>
          <w:p w:rsidR="00463FBA" w:rsidRPr="0084290D" w:rsidP="000B0AB8">
            <w:pPr>
              <w:bidi w:val="0"/>
              <w:jc w:val="right"/>
              <w:rPr>
                <w:rFonts w:ascii="Times New Roman" w:hAnsi="Times New Roman"/>
              </w:rPr>
            </w:pPr>
            <w:r w:rsidRPr="0084290D">
              <w:rPr>
                <w:rFonts w:ascii="Times New Roman" w:hAnsi="Times New Roman"/>
              </w:rPr>
              <w:t>6</w:t>
            </w:r>
            <w:r w:rsidRPr="0084290D" w:rsidR="00960DA7">
              <w:rPr>
                <w:rFonts w:ascii="Times New Roman" w:hAnsi="Times New Roman"/>
              </w:rPr>
              <w:t>0</w:t>
            </w:r>
            <w:r w:rsidRPr="0084290D">
              <w:rPr>
                <w:rFonts w:ascii="Times New Roman" w:hAnsi="Times New Roman"/>
              </w:rPr>
              <w:t>%</w:t>
            </w:r>
          </w:p>
        </w:tc>
      </w:tr>
      <w:tr>
        <w:tblPrEx>
          <w:tblW w:w="5180" w:type="dxa"/>
          <w:tblInd w:w="55" w:type="dxa"/>
          <w:tblCellMar>
            <w:left w:w="70" w:type="dxa"/>
            <w:right w:w="70" w:type="dxa"/>
          </w:tblCellMar>
          <w:tblLook w:val="04A0"/>
        </w:tblPrEx>
        <w:trPr>
          <w:trHeight w:val="300"/>
        </w:trPr>
        <w:tc>
          <w:tcPr>
            <w:tcW w:w="1800" w:type="dxa"/>
            <w:tcBorders>
              <w:top w:val="nil"/>
              <w:left w:val="single" w:sz="4" w:space="0" w:color="auto"/>
              <w:bottom w:val="single" w:sz="4" w:space="0" w:color="auto"/>
              <w:right w:val="single" w:sz="4" w:space="0" w:color="auto"/>
            </w:tcBorders>
            <w:noWrap/>
            <w:textDirection w:val="lrTb"/>
            <w:vAlign w:val="bottom"/>
            <w:hideMark/>
          </w:tcPr>
          <w:p w:rsidR="00463FBA" w:rsidRPr="0084290D" w:rsidP="000B0AB8">
            <w:pPr>
              <w:bidi w:val="0"/>
              <w:jc w:val="left"/>
              <w:rPr>
                <w:rFonts w:ascii="Times New Roman" w:hAnsi="Times New Roman"/>
              </w:rPr>
            </w:pPr>
            <w:r w:rsidRPr="0084290D">
              <w:rPr>
                <w:rFonts w:ascii="Times New Roman" w:hAnsi="Times New Roman"/>
              </w:rPr>
              <w:t>bez špecializácie</w:t>
            </w:r>
          </w:p>
        </w:tc>
        <w:tc>
          <w:tcPr>
            <w:tcW w:w="2420" w:type="dxa"/>
            <w:tcBorders>
              <w:top w:val="nil"/>
              <w:left w:val="nil"/>
              <w:bottom w:val="single" w:sz="4" w:space="0" w:color="auto"/>
              <w:right w:val="single" w:sz="4" w:space="0" w:color="auto"/>
            </w:tcBorders>
            <w:noWrap/>
            <w:textDirection w:val="lrTb"/>
            <w:vAlign w:val="bottom"/>
            <w:hideMark/>
          </w:tcPr>
          <w:p w:rsidR="00463FBA" w:rsidRPr="0084290D" w:rsidP="000B0AB8">
            <w:pPr>
              <w:bidi w:val="0"/>
              <w:jc w:val="right"/>
              <w:rPr>
                <w:rFonts w:ascii="Times New Roman" w:hAnsi="Times New Roman"/>
              </w:rPr>
            </w:pPr>
            <w:r w:rsidRPr="0084290D" w:rsidR="00960DA7">
              <w:rPr>
                <w:rFonts w:ascii="Times New Roman" w:hAnsi="Times New Roman"/>
              </w:rPr>
              <w:t>3 205</w:t>
            </w:r>
          </w:p>
        </w:tc>
        <w:tc>
          <w:tcPr>
            <w:tcW w:w="960" w:type="dxa"/>
            <w:tcBorders>
              <w:top w:val="nil"/>
              <w:left w:val="nil"/>
              <w:bottom w:val="single" w:sz="4" w:space="0" w:color="auto"/>
              <w:right w:val="single" w:sz="4" w:space="0" w:color="auto"/>
            </w:tcBorders>
            <w:noWrap/>
            <w:textDirection w:val="lrTb"/>
            <w:vAlign w:val="bottom"/>
            <w:hideMark/>
          </w:tcPr>
          <w:p w:rsidR="00463FBA" w:rsidRPr="0084290D" w:rsidP="000B0AB8">
            <w:pPr>
              <w:bidi w:val="0"/>
              <w:jc w:val="right"/>
              <w:rPr>
                <w:rFonts w:ascii="Times New Roman" w:hAnsi="Times New Roman"/>
              </w:rPr>
            </w:pPr>
            <w:r w:rsidRPr="0084290D" w:rsidR="00960DA7">
              <w:rPr>
                <w:rFonts w:ascii="Times New Roman" w:hAnsi="Times New Roman"/>
              </w:rPr>
              <w:t>40</w:t>
            </w:r>
            <w:r w:rsidRPr="0084290D">
              <w:rPr>
                <w:rFonts w:ascii="Times New Roman" w:hAnsi="Times New Roman"/>
              </w:rPr>
              <w:t>%</w:t>
            </w:r>
          </w:p>
        </w:tc>
      </w:tr>
    </w:tbl>
    <w:p w:rsidR="00463FBA" w:rsidRPr="0084290D" w:rsidP="000B0AB8">
      <w:pPr>
        <w:bidi w:val="0"/>
        <w:rPr>
          <w:rFonts w:ascii="Times New Roman" w:hAnsi="Times New Roman"/>
        </w:rPr>
      </w:pPr>
    </w:p>
    <w:p w:rsidR="00463FBA" w:rsidRPr="0084290D" w:rsidP="000B0AB8">
      <w:pPr>
        <w:bidi w:val="0"/>
        <w:rPr>
          <w:rFonts w:ascii="Times New Roman" w:hAnsi="Times New Roman"/>
        </w:rPr>
      </w:pPr>
      <w:r w:rsidRPr="0084290D">
        <w:rPr>
          <w:rFonts w:ascii="Times New Roman" w:hAnsi="Times New Roman"/>
        </w:rPr>
        <w:t>Pri prvom nároku na vyššiu základnú zložku mzdy v r. 2014 sa použije v zmysle zákona priemerná mzda spred dvoch rokov, t. j. z roku 2012.</w:t>
      </w:r>
    </w:p>
    <w:p w:rsidR="00D57BA3" w:rsidP="000B0AB8">
      <w:pPr>
        <w:bidi w:val="0"/>
        <w:rPr>
          <w:rFonts w:ascii="Times New Roman" w:hAnsi="Times New Roman"/>
        </w:rPr>
      </w:pPr>
    </w:p>
    <w:p w:rsidR="00463FBA" w:rsidRPr="0084290D" w:rsidP="000B0AB8">
      <w:pPr>
        <w:bidi w:val="0"/>
        <w:rPr>
          <w:rFonts w:ascii="Times New Roman" w:hAnsi="Times New Roman"/>
        </w:rPr>
      </w:pPr>
      <w:r w:rsidRPr="0084290D">
        <w:rPr>
          <w:rFonts w:ascii="Times New Roman" w:hAnsi="Times New Roman"/>
        </w:rPr>
        <w:t xml:space="preserve">Priemerná </w:t>
      </w:r>
      <w:r w:rsidRPr="0084290D" w:rsidR="007F433E">
        <w:rPr>
          <w:rFonts w:ascii="Times New Roman" w:hAnsi="Times New Roman"/>
        </w:rPr>
        <w:t xml:space="preserve">mesačná </w:t>
      </w:r>
      <w:r w:rsidRPr="0084290D">
        <w:rPr>
          <w:rFonts w:ascii="Times New Roman" w:hAnsi="Times New Roman"/>
        </w:rPr>
        <w:t>mzda v hospodárstve SR podľa makroekonomickej prognózy IFP MF SR z 30. 1. 2013 by sa mala vyvíjať nasledovne:</w:t>
      </w:r>
    </w:p>
    <w:p w:rsidR="005249AB" w:rsidRPr="0084290D" w:rsidP="000B0AB8">
      <w:pPr>
        <w:bidi w:val="0"/>
        <w:ind w:right="2409"/>
        <w:jc w:val="right"/>
        <w:outlineLvl w:val="0"/>
        <w:rPr>
          <w:rFonts w:ascii="Times New Roman" w:hAnsi="Times New Roman"/>
        </w:rPr>
      </w:pPr>
      <w:r w:rsidRPr="0084290D">
        <w:rPr>
          <w:rFonts w:ascii="Times New Roman" w:hAnsi="Times New Roman"/>
        </w:rPr>
        <w:t xml:space="preserve">Tabuľka č. 8 </w:t>
      </w:r>
    </w:p>
    <w:tbl>
      <w:tblPr>
        <w:tblStyle w:val="TableNormal"/>
        <w:tblW w:w="6678" w:type="dxa"/>
        <w:tblInd w:w="55" w:type="dxa"/>
        <w:tblCellMar>
          <w:left w:w="70" w:type="dxa"/>
          <w:right w:w="70" w:type="dxa"/>
        </w:tblCellMar>
        <w:tblLook w:val="04A0"/>
      </w:tblPr>
      <w:tblGrid>
        <w:gridCol w:w="3559"/>
        <w:gridCol w:w="992"/>
        <w:gridCol w:w="993"/>
        <w:gridCol w:w="1134"/>
      </w:tblGrid>
      <w:tr>
        <w:tblPrEx>
          <w:tblW w:w="6678" w:type="dxa"/>
          <w:tblInd w:w="55" w:type="dxa"/>
          <w:tblCellMar>
            <w:left w:w="70" w:type="dxa"/>
            <w:right w:w="70" w:type="dxa"/>
          </w:tblCellMar>
          <w:tblLook w:val="04A0"/>
        </w:tblPrEx>
        <w:trPr>
          <w:trHeight w:val="225"/>
        </w:trPr>
        <w:tc>
          <w:tcPr>
            <w:tcW w:w="3559"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463FBA" w:rsidRPr="0084290D" w:rsidP="000B0AB8">
            <w:pPr>
              <w:bidi w:val="0"/>
              <w:jc w:val="left"/>
              <w:rPr>
                <w:rFonts w:ascii="Times New Roman" w:hAnsi="Times New Roman"/>
                <w:b/>
                <w:bCs/>
              </w:rPr>
            </w:pPr>
            <w:r w:rsidRPr="0084290D" w:rsidR="00D57BA3">
              <w:rPr>
                <w:rFonts w:ascii="Times New Roman" w:hAnsi="Times New Roman"/>
                <w:b/>
                <w:bCs/>
              </w:rPr>
              <w:t>R</w:t>
            </w:r>
            <w:r w:rsidRPr="0084290D">
              <w:rPr>
                <w:rFonts w:ascii="Times New Roman" w:hAnsi="Times New Roman"/>
                <w:b/>
                <w:bCs/>
              </w:rPr>
              <w:t>ok</w:t>
            </w:r>
          </w:p>
        </w:tc>
        <w:tc>
          <w:tcPr>
            <w:tcW w:w="992" w:type="dxa"/>
            <w:tcBorders>
              <w:top w:val="single" w:sz="4" w:space="0" w:color="auto"/>
              <w:left w:val="nil"/>
              <w:bottom w:val="single" w:sz="4" w:space="0" w:color="auto"/>
              <w:right w:val="single" w:sz="4" w:space="0" w:color="auto"/>
            </w:tcBorders>
            <w:shd w:val="clear" w:color="000000" w:fill="C0C0C0"/>
            <w:noWrap/>
            <w:textDirection w:val="lrTb"/>
            <w:vAlign w:val="bottom"/>
            <w:hideMark/>
          </w:tcPr>
          <w:p w:rsidR="00463FBA" w:rsidRPr="0084290D" w:rsidP="000B0AB8">
            <w:pPr>
              <w:bidi w:val="0"/>
              <w:jc w:val="left"/>
              <w:rPr>
                <w:rFonts w:ascii="Times New Roman" w:hAnsi="Times New Roman"/>
                <w:b/>
                <w:bCs/>
              </w:rPr>
            </w:pPr>
            <w:r w:rsidRPr="0084290D">
              <w:rPr>
                <w:rFonts w:ascii="Times New Roman" w:hAnsi="Times New Roman"/>
                <w:b/>
                <w:bCs/>
              </w:rPr>
              <w:t>2012</w:t>
            </w:r>
          </w:p>
        </w:tc>
        <w:tc>
          <w:tcPr>
            <w:tcW w:w="993" w:type="dxa"/>
            <w:tcBorders>
              <w:top w:val="single" w:sz="4" w:space="0" w:color="auto"/>
              <w:left w:val="nil"/>
              <w:bottom w:val="single" w:sz="4" w:space="0" w:color="auto"/>
              <w:right w:val="single" w:sz="4" w:space="0" w:color="auto"/>
            </w:tcBorders>
            <w:shd w:val="clear" w:color="000000" w:fill="C0C0C0"/>
            <w:noWrap/>
            <w:textDirection w:val="lrTb"/>
            <w:vAlign w:val="bottom"/>
            <w:hideMark/>
          </w:tcPr>
          <w:p w:rsidR="00463FBA" w:rsidRPr="0084290D" w:rsidP="000B0AB8">
            <w:pPr>
              <w:bidi w:val="0"/>
              <w:jc w:val="left"/>
              <w:rPr>
                <w:rFonts w:ascii="Times New Roman" w:hAnsi="Times New Roman"/>
                <w:b/>
                <w:bCs/>
              </w:rPr>
            </w:pPr>
            <w:r w:rsidRPr="0084290D">
              <w:rPr>
                <w:rFonts w:ascii="Times New Roman" w:hAnsi="Times New Roman"/>
                <w:b/>
                <w:bCs/>
              </w:rPr>
              <w:t>2013</w:t>
            </w:r>
          </w:p>
        </w:tc>
        <w:tc>
          <w:tcPr>
            <w:tcW w:w="1134" w:type="dxa"/>
            <w:tcBorders>
              <w:top w:val="single" w:sz="4" w:space="0" w:color="auto"/>
              <w:left w:val="nil"/>
              <w:bottom w:val="single" w:sz="4" w:space="0" w:color="auto"/>
              <w:right w:val="single" w:sz="4" w:space="0" w:color="auto"/>
            </w:tcBorders>
            <w:shd w:val="clear" w:color="000000" w:fill="C0C0C0"/>
            <w:noWrap/>
            <w:textDirection w:val="lrTb"/>
            <w:vAlign w:val="bottom"/>
            <w:hideMark/>
          </w:tcPr>
          <w:p w:rsidR="00463FBA" w:rsidRPr="0084290D" w:rsidP="000B0AB8">
            <w:pPr>
              <w:bidi w:val="0"/>
              <w:jc w:val="left"/>
              <w:rPr>
                <w:rFonts w:ascii="Times New Roman" w:hAnsi="Times New Roman"/>
                <w:b/>
                <w:bCs/>
              </w:rPr>
            </w:pPr>
            <w:r w:rsidRPr="0084290D">
              <w:rPr>
                <w:rFonts w:ascii="Times New Roman" w:hAnsi="Times New Roman"/>
                <w:b/>
                <w:bCs/>
              </w:rPr>
              <w:t>2014</w:t>
            </w:r>
          </w:p>
        </w:tc>
      </w:tr>
      <w:tr>
        <w:tblPrEx>
          <w:tblW w:w="6678" w:type="dxa"/>
          <w:tblInd w:w="55" w:type="dxa"/>
          <w:tblCellMar>
            <w:left w:w="70" w:type="dxa"/>
            <w:right w:w="70" w:type="dxa"/>
          </w:tblCellMar>
          <w:tblLook w:val="04A0"/>
        </w:tblPrEx>
        <w:trPr>
          <w:trHeight w:val="277"/>
        </w:trPr>
        <w:tc>
          <w:tcPr>
            <w:tcW w:w="3559" w:type="dxa"/>
            <w:tcBorders>
              <w:top w:val="nil"/>
              <w:left w:val="single" w:sz="4" w:space="0" w:color="auto"/>
              <w:bottom w:val="single" w:sz="4" w:space="0" w:color="auto"/>
              <w:right w:val="single" w:sz="4" w:space="0" w:color="auto"/>
            </w:tcBorders>
            <w:noWrap/>
            <w:textDirection w:val="lrTb"/>
            <w:vAlign w:val="center"/>
            <w:hideMark/>
          </w:tcPr>
          <w:p w:rsidR="00463FBA" w:rsidRPr="0084290D" w:rsidP="000B0AB8">
            <w:pPr>
              <w:bidi w:val="0"/>
              <w:jc w:val="left"/>
              <w:rPr>
                <w:rFonts w:ascii="Times New Roman" w:hAnsi="Times New Roman"/>
              </w:rPr>
            </w:pPr>
            <w:r w:rsidRPr="0084290D">
              <w:rPr>
                <w:rFonts w:ascii="Times New Roman" w:hAnsi="Times New Roman"/>
              </w:rPr>
              <w:t>priemerná nominálna mzda</w:t>
            </w:r>
          </w:p>
        </w:tc>
        <w:tc>
          <w:tcPr>
            <w:tcW w:w="992" w:type="dxa"/>
            <w:tcBorders>
              <w:top w:val="nil"/>
              <w:left w:val="nil"/>
              <w:bottom w:val="single" w:sz="4" w:space="0" w:color="auto"/>
              <w:right w:val="single" w:sz="4" w:space="0" w:color="auto"/>
            </w:tcBorders>
            <w:noWrap/>
            <w:textDirection w:val="lrTb"/>
            <w:vAlign w:val="top"/>
            <w:hideMark/>
          </w:tcPr>
          <w:p w:rsidR="00463FBA" w:rsidRPr="0084290D" w:rsidP="000B0AB8">
            <w:pPr>
              <w:bidi w:val="0"/>
              <w:jc w:val="left"/>
              <w:rPr>
                <w:rFonts w:ascii="Times New Roman" w:hAnsi="Times New Roman"/>
              </w:rPr>
            </w:pPr>
            <w:r w:rsidRPr="0084290D">
              <w:rPr>
                <w:rFonts w:ascii="Times New Roman" w:hAnsi="Times New Roman"/>
              </w:rPr>
              <w:t>804</w:t>
            </w:r>
          </w:p>
        </w:tc>
        <w:tc>
          <w:tcPr>
            <w:tcW w:w="993" w:type="dxa"/>
            <w:tcBorders>
              <w:top w:val="nil"/>
              <w:left w:val="nil"/>
              <w:bottom w:val="single" w:sz="4" w:space="0" w:color="auto"/>
              <w:right w:val="single" w:sz="4" w:space="0" w:color="auto"/>
            </w:tcBorders>
            <w:noWrap/>
            <w:textDirection w:val="lrTb"/>
            <w:vAlign w:val="top"/>
            <w:hideMark/>
          </w:tcPr>
          <w:p w:rsidR="00463FBA" w:rsidRPr="0084290D" w:rsidP="000B0AB8">
            <w:pPr>
              <w:bidi w:val="0"/>
              <w:jc w:val="left"/>
              <w:rPr>
                <w:rFonts w:ascii="Times New Roman" w:hAnsi="Times New Roman"/>
              </w:rPr>
            </w:pPr>
            <w:r w:rsidRPr="0084290D">
              <w:rPr>
                <w:rFonts w:ascii="Times New Roman" w:hAnsi="Times New Roman"/>
              </w:rPr>
              <w:t>823</w:t>
            </w:r>
          </w:p>
        </w:tc>
        <w:tc>
          <w:tcPr>
            <w:tcW w:w="1134" w:type="dxa"/>
            <w:tcBorders>
              <w:top w:val="nil"/>
              <w:left w:val="nil"/>
              <w:bottom w:val="single" w:sz="4" w:space="0" w:color="auto"/>
              <w:right w:val="single" w:sz="4" w:space="0" w:color="auto"/>
            </w:tcBorders>
            <w:noWrap/>
            <w:textDirection w:val="lrTb"/>
            <w:vAlign w:val="top"/>
            <w:hideMark/>
          </w:tcPr>
          <w:p w:rsidR="00463FBA" w:rsidRPr="0084290D" w:rsidP="000B0AB8">
            <w:pPr>
              <w:bidi w:val="0"/>
              <w:jc w:val="left"/>
              <w:rPr>
                <w:rFonts w:ascii="Times New Roman" w:hAnsi="Times New Roman"/>
              </w:rPr>
            </w:pPr>
            <w:r w:rsidRPr="0084290D">
              <w:rPr>
                <w:rFonts w:ascii="Times New Roman" w:hAnsi="Times New Roman"/>
              </w:rPr>
              <w:t>852</w:t>
            </w:r>
          </w:p>
        </w:tc>
      </w:tr>
    </w:tbl>
    <w:p w:rsidR="0097240C" w:rsidRPr="0084290D" w:rsidP="000B0AB8">
      <w:pPr>
        <w:bidi w:val="0"/>
        <w:rPr>
          <w:rFonts w:ascii="Times New Roman" w:hAnsi="Times New Roman"/>
        </w:rPr>
      </w:pPr>
    </w:p>
    <w:p w:rsidR="007F433E" w:rsidRPr="0084290D" w:rsidP="000B0AB8">
      <w:pPr>
        <w:bidi w:val="0"/>
        <w:rPr>
          <w:rFonts w:ascii="Times New Roman" w:hAnsi="Times New Roman"/>
        </w:rPr>
      </w:pPr>
      <w:r w:rsidRPr="0084290D">
        <w:rPr>
          <w:rFonts w:ascii="Times New Roman" w:hAnsi="Times New Roman"/>
        </w:rPr>
        <w:t>Vývoj nárokového koeficientu je popísaný v nasledovnej tabuľke:</w:t>
      </w:r>
    </w:p>
    <w:p w:rsidR="005249AB" w:rsidRPr="0084290D" w:rsidP="000B0AB8">
      <w:pPr>
        <w:bidi w:val="0"/>
        <w:ind w:right="283"/>
        <w:jc w:val="right"/>
        <w:outlineLvl w:val="0"/>
        <w:rPr>
          <w:rFonts w:ascii="Times New Roman" w:hAnsi="Times New Roman"/>
        </w:rPr>
      </w:pPr>
      <w:r w:rsidRPr="0084290D">
        <w:rPr>
          <w:rFonts w:ascii="Times New Roman" w:hAnsi="Times New Roman"/>
        </w:rPr>
        <w:t xml:space="preserve">Tabuľka č. 9 </w:t>
      </w:r>
    </w:p>
    <w:tbl>
      <w:tblPr>
        <w:tblStyle w:val="TableNormal"/>
        <w:tblW w:w="9073" w:type="dxa"/>
        <w:tblInd w:w="-214" w:type="dxa"/>
        <w:tblCellMar>
          <w:left w:w="70" w:type="dxa"/>
          <w:right w:w="70" w:type="dxa"/>
        </w:tblCellMar>
        <w:tblLook w:val="04A0"/>
      </w:tblPr>
      <w:tblGrid>
        <w:gridCol w:w="1985"/>
        <w:gridCol w:w="1843"/>
        <w:gridCol w:w="1559"/>
        <w:gridCol w:w="1701"/>
        <w:gridCol w:w="1985"/>
      </w:tblGrid>
      <w:tr>
        <w:tblPrEx>
          <w:tblW w:w="9073" w:type="dxa"/>
          <w:tblInd w:w="-214" w:type="dxa"/>
          <w:tblCellMar>
            <w:left w:w="70" w:type="dxa"/>
            <w:right w:w="70" w:type="dxa"/>
          </w:tblCellMar>
          <w:tblLook w:val="04A0"/>
        </w:tblPrEx>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7F433E" w:rsidRPr="0084290D" w:rsidP="000B0AB8">
            <w:pPr>
              <w:bidi w:val="0"/>
              <w:jc w:val="left"/>
              <w:rPr>
                <w:rFonts w:ascii="Times New Roman" w:hAnsi="Times New Roman"/>
                <w:b/>
                <w:bCs/>
              </w:rPr>
            </w:pPr>
            <w:r w:rsidRPr="0084290D">
              <w:rPr>
                <w:rFonts w:ascii="Times New Roman" w:hAnsi="Times New Roman"/>
                <w:b/>
                <w:bCs/>
              </w:rPr>
              <w:t>lekár</w:t>
            </w:r>
          </w:p>
        </w:tc>
        <w:tc>
          <w:tcPr>
            <w:tcW w:w="1843"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F433E" w:rsidRPr="0084290D" w:rsidP="000B0AB8">
            <w:pPr>
              <w:bidi w:val="0"/>
              <w:jc w:val="left"/>
              <w:rPr>
                <w:rFonts w:ascii="Times New Roman" w:hAnsi="Times New Roman"/>
                <w:b/>
                <w:bCs/>
              </w:rPr>
            </w:pPr>
            <w:r w:rsidRPr="0084290D">
              <w:rPr>
                <w:rFonts w:ascii="Times New Roman" w:hAnsi="Times New Roman"/>
                <w:b/>
                <w:bCs/>
              </w:rPr>
              <w:t>nárok - pôvodný</w:t>
            </w:r>
          </w:p>
        </w:tc>
        <w:tc>
          <w:tcPr>
            <w:tcW w:w="1559"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F433E" w:rsidRPr="0084290D" w:rsidP="000B0AB8">
            <w:pPr>
              <w:bidi w:val="0"/>
              <w:jc w:val="left"/>
              <w:rPr>
                <w:rFonts w:ascii="Times New Roman" w:hAnsi="Times New Roman"/>
                <w:b/>
                <w:bCs/>
              </w:rPr>
            </w:pPr>
            <w:r w:rsidRPr="0084290D">
              <w:rPr>
                <w:rFonts w:ascii="Times New Roman" w:hAnsi="Times New Roman"/>
                <w:b/>
                <w:bCs/>
              </w:rPr>
              <w:t>nárok - r. 2014</w:t>
            </w:r>
          </w:p>
        </w:tc>
        <w:tc>
          <w:tcPr>
            <w:tcW w:w="170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F433E" w:rsidRPr="0084290D" w:rsidP="000B0AB8">
            <w:pPr>
              <w:bidi w:val="0"/>
              <w:jc w:val="left"/>
              <w:rPr>
                <w:rFonts w:ascii="Times New Roman" w:hAnsi="Times New Roman"/>
                <w:b/>
                <w:bCs/>
              </w:rPr>
            </w:pPr>
            <w:r w:rsidRPr="0084290D" w:rsidR="005249AB">
              <w:rPr>
                <w:rFonts w:ascii="Times New Roman" w:hAnsi="Times New Roman"/>
                <w:b/>
                <w:bCs/>
              </w:rPr>
              <w:t xml:space="preserve">nárok - </w:t>
            </w:r>
            <w:r w:rsidRPr="0084290D">
              <w:rPr>
                <w:rFonts w:ascii="Times New Roman" w:hAnsi="Times New Roman"/>
                <w:b/>
                <w:bCs/>
              </w:rPr>
              <w:t>r. 2015</w:t>
            </w:r>
          </w:p>
        </w:tc>
        <w:tc>
          <w:tcPr>
            <w:tcW w:w="1985"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7F433E" w:rsidRPr="0084290D" w:rsidP="000B0AB8">
            <w:pPr>
              <w:bidi w:val="0"/>
              <w:jc w:val="left"/>
              <w:rPr>
                <w:rFonts w:ascii="Times New Roman" w:hAnsi="Times New Roman"/>
                <w:b/>
                <w:bCs/>
              </w:rPr>
            </w:pPr>
            <w:r w:rsidRPr="0084290D">
              <w:rPr>
                <w:rFonts w:ascii="Times New Roman" w:hAnsi="Times New Roman"/>
                <w:b/>
                <w:bCs/>
              </w:rPr>
              <w:t>nárok - r. 2016</w:t>
            </w:r>
          </w:p>
        </w:tc>
      </w:tr>
      <w:tr>
        <w:tblPrEx>
          <w:tblW w:w="9073" w:type="dxa"/>
          <w:tblInd w:w="-214" w:type="dxa"/>
          <w:tblCellMar>
            <w:left w:w="70" w:type="dxa"/>
            <w:right w:w="70" w:type="dxa"/>
          </w:tblCellMar>
          <w:tblLook w:val="04A0"/>
        </w:tblPrEx>
        <w:trPr>
          <w:trHeight w:val="300"/>
        </w:trPr>
        <w:tc>
          <w:tcPr>
            <w:tcW w:w="1985" w:type="dxa"/>
            <w:tcBorders>
              <w:top w:val="nil"/>
              <w:left w:val="single" w:sz="4" w:space="0" w:color="auto"/>
              <w:bottom w:val="single" w:sz="4" w:space="0" w:color="auto"/>
              <w:right w:val="single" w:sz="4" w:space="0" w:color="auto"/>
            </w:tcBorders>
            <w:noWrap/>
            <w:textDirection w:val="lrTb"/>
            <w:vAlign w:val="bottom"/>
            <w:hideMark/>
          </w:tcPr>
          <w:p w:rsidR="007F433E" w:rsidRPr="0084290D" w:rsidP="000B0AB8">
            <w:pPr>
              <w:bidi w:val="0"/>
              <w:jc w:val="left"/>
              <w:rPr>
                <w:rFonts w:ascii="Times New Roman" w:hAnsi="Times New Roman"/>
              </w:rPr>
            </w:pPr>
            <w:r w:rsidRPr="0084290D">
              <w:rPr>
                <w:rFonts w:ascii="Times New Roman" w:hAnsi="Times New Roman"/>
              </w:rPr>
              <w:t>so špecializáciou</w:t>
            </w:r>
          </w:p>
        </w:tc>
        <w:tc>
          <w:tcPr>
            <w:tcW w:w="1843" w:type="dxa"/>
            <w:tcBorders>
              <w:top w:val="nil"/>
              <w:left w:val="nil"/>
              <w:bottom w:val="single" w:sz="4" w:space="0" w:color="auto"/>
              <w:right w:val="single" w:sz="4" w:space="0" w:color="auto"/>
            </w:tcBorders>
            <w:noWrap/>
            <w:textDirection w:val="lrTb"/>
            <w:vAlign w:val="bottom"/>
            <w:hideMark/>
          </w:tcPr>
          <w:p w:rsidR="007F433E" w:rsidRPr="0084290D" w:rsidP="000B0AB8">
            <w:pPr>
              <w:bidi w:val="0"/>
              <w:jc w:val="right"/>
              <w:rPr>
                <w:rFonts w:ascii="Times New Roman" w:hAnsi="Times New Roman"/>
              </w:rPr>
            </w:pPr>
            <w:r w:rsidRPr="0084290D">
              <w:rPr>
                <w:rFonts w:ascii="Times New Roman" w:hAnsi="Times New Roman"/>
              </w:rPr>
              <w:t>1,9</w:t>
            </w:r>
          </w:p>
        </w:tc>
        <w:tc>
          <w:tcPr>
            <w:tcW w:w="1559" w:type="dxa"/>
            <w:tcBorders>
              <w:top w:val="nil"/>
              <w:left w:val="nil"/>
              <w:bottom w:val="single" w:sz="4" w:space="0" w:color="auto"/>
              <w:right w:val="single" w:sz="4" w:space="0" w:color="auto"/>
            </w:tcBorders>
            <w:noWrap/>
            <w:textDirection w:val="lrTb"/>
            <w:vAlign w:val="bottom"/>
            <w:hideMark/>
          </w:tcPr>
          <w:p w:rsidR="007F433E" w:rsidRPr="0084290D" w:rsidP="000B0AB8">
            <w:pPr>
              <w:bidi w:val="0"/>
              <w:jc w:val="right"/>
              <w:rPr>
                <w:rFonts w:ascii="Times New Roman" w:hAnsi="Times New Roman"/>
              </w:rPr>
            </w:pPr>
            <w:r w:rsidRPr="0084290D">
              <w:rPr>
                <w:rFonts w:ascii="Times New Roman" w:hAnsi="Times New Roman"/>
              </w:rPr>
              <w:t>2,1</w:t>
            </w:r>
          </w:p>
        </w:tc>
        <w:tc>
          <w:tcPr>
            <w:tcW w:w="1701" w:type="dxa"/>
            <w:tcBorders>
              <w:top w:val="nil"/>
              <w:left w:val="nil"/>
              <w:bottom w:val="single" w:sz="4" w:space="0" w:color="auto"/>
              <w:right w:val="single" w:sz="4" w:space="0" w:color="auto"/>
            </w:tcBorders>
            <w:noWrap/>
            <w:textDirection w:val="lrTb"/>
            <w:vAlign w:val="bottom"/>
            <w:hideMark/>
          </w:tcPr>
          <w:p w:rsidR="007F433E" w:rsidRPr="0084290D" w:rsidP="000B0AB8">
            <w:pPr>
              <w:bidi w:val="0"/>
              <w:jc w:val="right"/>
              <w:rPr>
                <w:rFonts w:ascii="Times New Roman" w:hAnsi="Times New Roman"/>
              </w:rPr>
            </w:pPr>
            <w:r w:rsidRPr="0084290D">
              <w:rPr>
                <w:rFonts w:ascii="Times New Roman" w:hAnsi="Times New Roman"/>
              </w:rPr>
              <w:t>2,3</w:t>
            </w:r>
          </w:p>
        </w:tc>
        <w:tc>
          <w:tcPr>
            <w:tcW w:w="1985" w:type="dxa"/>
            <w:tcBorders>
              <w:top w:val="nil"/>
              <w:left w:val="nil"/>
              <w:bottom w:val="single" w:sz="4" w:space="0" w:color="auto"/>
              <w:right w:val="single" w:sz="4" w:space="0" w:color="auto"/>
            </w:tcBorders>
            <w:noWrap/>
            <w:textDirection w:val="lrTb"/>
            <w:vAlign w:val="bottom"/>
            <w:hideMark/>
          </w:tcPr>
          <w:p w:rsidR="007F433E" w:rsidRPr="0084290D" w:rsidP="000B0AB8">
            <w:pPr>
              <w:bidi w:val="0"/>
              <w:jc w:val="right"/>
              <w:rPr>
                <w:rFonts w:ascii="Times New Roman" w:hAnsi="Times New Roman"/>
              </w:rPr>
            </w:pPr>
            <w:r w:rsidRPr="0084290D">
              <w:rPr>
                <w:rFonts w:ascii="Times New Roman" w:hAnsi="Times New Roman"/>
              </w:rPr>
              <w:t>2,3</w:t>
            </w:r>
          </w:p>
        </w:tc>
      </w:tr>
      <w:tr>
        <w:tblPrEx>
          <w:tblW w:w="9073" w:type="dxa"/>
          <w:tblInd w:w="-214" w:type="dxa"/>
          <w:tblCellMar>
            <w:left w:w="70" w:type="dxa"/>
            <w:right w:w="70" w:type="dxa"/>
          </w:tblCellMar>
          <w:tblLook w:val="04A0"/>
        </w:tblPrEx>
        <w:trPr>
          <w:trHeight w:val="300"/>
        </w:trPr>
        <w:tc>
          <w:tcPr>
            <w:tcW w:w="1985" w:type="dxa"/>
            <w:tcBorders>
              <w:top w:val="nil"/>
              <w:left w:val="single" w:sz="4" w:space="0" w:color="auto"/>
              <w:bottom w:val="single" w:sz="4" w:space="0" w:color="auto"/>
              <w:right w:val="single" w:sz="4" w:space="0" w:color="auto"/>
            </w:tcBorders>
            <w:noWrap/>
            <w:textDirection w:val="lrTb"/>
            <w:vAlign w:val="bottom"/>
            <w:hideMark/>
          </w:tcPr>
          <w:p w:rsidR="007F433E" w:rsidRPr="0084290D" w:rsidP="000B0AB8">
            <w:pPr>
              <w:bidi w:val="0"/>
              <w:jc w:val="left"/>
              <w:rPr>
                <w:rFonts w:ascii="Times New Roman" w:hAnsi="Times New Roman"/>
              </w:rPr>
            </w:pPr>
            <w:r w:rsidRPr="0084290D">
              <w:rPr>
                <w:rFonts w:ascii="Times New Roman" w:hAnsi="Times New Roman"/>
              </w:rPr>
              <w:t>bez špecializácie</w:t>
            </w:r>
          </w:p>
        </w:tc>
        <w:tc>
          <w:tcPr>
            <w:tcW w:w="1843" w:type="dxa"/>
            <w:tcBorders>
              <w:top w:val="nil"/>
              <w:left w:val="nil"/>
              <w:bottom w:val="single" w:sz="4" w:space="0" w:color="auto"/>
              <w:right w:val="single" w:sz="4" w:space="0" w:color="auto"/>
            </w:tcBorders>
            <w:noWrap/>
            <w:textDirection w:val="lrTb"/>
            <w:vAlign w:val="bottom"/>
            <w:hideMark/>
          </w:tcPr>
          <w:p w:rsidR="007F433E" w:rsidRPr="0084290D" w:rsidP="000B0AB8">
            <w:pPr>
              <w:bidi w:val="0"/>
              <w:jc w:val="right"/>
              <w:rPr>
                <w:rFonts w:ascii="Times New Roman" w:hAnsi="Times New Roman"/>
              </w:rPr>
            </w:pPr>
            <w:r w:rsidRPr="0084290D">
              <w:rPr>
                <w:rFonts w:ascii="Times New Roman" w:hAnsi="Times New Roman"/>
              </w:rPr>
              <w:t>1,2</w:t>
            </w:r>
          </w:p>
        </w:tc>
        <w:tc>
          <w:tcPr>
            <w:tcW w:w="1559" w:type="dxa"/>
            <w:tcBorders>
              <w:top w:val="nil"/>
              <w:left w:val="nil"/>
              <w:bottom w:val="single" w:sz="4" w:space="0" w:color="auto"/>
              <w:right w:val="single" w:sz="4" w:space="0" w:color="auto"/>
            </w:tcBorders>
            <w:noWrap/>
            <w:textDirection w:val="lrTb"/>
            <w:vAlign w:val="bottom"/>
            <w:hideMark/>
          </w:tcPr>
          <w:p w:rsidR="007F433E" w:rsidRPr="0084290D" w:rsidP="000B0AB8">
            <w:pPr>
              <w:bidi w:val="0"/>
              <w:jc w:val="right"/>
              <w:rPr>
                <w:rFonts w:ascii="Times New Roman" w:hAnsi="Times New Roman"/>
              </w:rPr>
            </w:pPr>
            <w:r w:rsidRPr="0084290D">
              <w:rPr>
                <w:rFonts w:ascii="Times New Roman" w:hAnsi="Times New Roman"/>
              </w:rPr>
              <w:t>1,25</w:t>
            </w:r>
          </w:p>
        </w:tc>
        <w:tc>
          <w:tcPr>
            <w:tcW w:w="1701" w:type="dxa"/>
            <w:tcBorders>
              <w:top w:val="nil"/>
              <w:left w:val="nil"/>
              <w:bottom w:val="single" w:sz="4" w:space="0" w:color="auto"/>
              <w:right w:val="single" w:sz="4" w:space="0" w:color="auto"/>
            </w:tcBorders>
            <w:noWrap/>
            <w:textDirection w:val="lrTb"/>
            <w:vAlign w:val="bottom"/>
            <w:hideMark/>
          </w:tcPr>
          <w:p w:rsidR="007F433E" w:rsidRPr="0084290D" w:rsidP="000B0AB8">
            <w:pPr>
              <w:bidi w:val="0"/>
              <w:jc w:val="right"/>
              <w:rPr>
                <w:rFonts w:ascii="Times New Roman" w:hAnsi="Times New Roman"/>
              </w:rPr>
            </w:pPr>
            <w:r w:rsidRPr="0084290D">
              <w:rPr>
                <w:rFonts w:ascii="Times New Roman" w:hAnsi="Times New Roman"/>
              </w:rPr>
              <w:t>1,25</w:t>
            </w:r>
          </w:p>
        </w:tc>
        <w:tc>
          <w:tcPr>
            <w:tcW w:w="1985" w:type="dxa"/>
            <w:tcBorders>
              <w:top w:val="nil"/>
              <w:left w:val="nil"/>
              <w:bottom w:val="single" w:sz="4" w:space="0" w:color="auto"/>
              <w:right w:val="single" w:sz="4" w:space="0" w:color="auto"/>
            </w:tcBorders>
            <w:noWrap/>
            <w:textDirection w:val="lrTb"/>
            <w:vAlign w:val="bottom"/>
            <w:hideMark/>
          </w:tcPr>
          <w:p w:rsidR="007F433E" w:rsidRPr="0084290D" w:rsidP="000B0AB8">
            <w:pPr>
              <w:bidi w:val="0"/>
              <w:jc w:val="right"/>
              <w:rPr>
                <w:rFonts w:ascii="Times New Roman" w:hAnsi="Times New Roman"/>
              </w:rPr>
            </w:pPr>
            <w:r w:rsidRPr="0084290D">
              <w:rPr>
                <w:rFonts w:ascii="Times New Roman" w:hAnsi="Times New Roman"/>
              </w:rPr>
              <w:t>1,25</w:t>
            </w:r>
          </w:p>
        </w:tc>
      </w:tr>
    </w:tbl>
    <w:p w:rsidR="007F433E" w:rsidRPr="0084290D" w:rsidP="000B0AB8">
      <w:pPr>
        <w:bidi w:val="0"/>
        <w:rPr>
          <w:rFonts w:ascii="Times New Roman" w:hAnsi="Times New Roman"/>
        </w:rPr>
      </w:pPr>
    </w:p>
    <w:p w:rsidR="007F433E" w:rsidRPr="0084290D" w:rsidP="000B0AB8">
      <w:pPr>
        <w:bidi w:val="0"/>
        <w:rPr>
          <w:rFonts w:ascii="Times New Roman" w:hAnsi="Times New Roman"/>
        </w:rPr>
      </w:pPr>
    </w:p>
    <w:p w:rsidR="007F433E" w:rsidRPr="0084290D" w:rsidP="000B0AB8">
      <w:pPr>
        <w:bidi w:val="0"/>
        <w:rPr>
          <w:rFonts w:ascii="Times New Roman" w:hAnsi="Times New Roman"/>
        </w:rPr>
      </w:pPr>
      <w:r w:rsidRPr="0084290D">
        <w:rPr>
          <w:rFonts w:ascii="Times New Roman" w:hAnsi="Times New Roman"/>
        </w:rPr>
        <w:t>Vývoj minimálneho mzdového nároku</w:t>
      </w:r>
      <w:r w:rsidRPr="0084290D" w:rsidR="00EF4CDD">
        <w:rPr>
          <w:rFonts w:ascii="Times New Roman" w:hAnsi="Times New Roman"/>
        </w:rPr>
        <w:t xml:space="preserve"> na 1 lekára pred predkladanými zmenami v novele a po zohľadnení zmien</w:t>
      </w:r>
      <w:r w:rsidRPr="0084290D">
        <w:rPr>
          <w:rFonts w:ascii="Times New Roman" w:hAnsi="Times New Roman"/>
        </w:rPr>
        <w:t xml:space="preserve"> </w:t>
      </w:r>
      <w:r w:rsidRPr="0084290D" w:rsidR="00EF4CDD">
        <w:rPr>
          <w:rFonts w:ascii="Times New Roman" w:hAnsi="Times New Roman"/>
          <w:u w:val="single"/>
        </w:rPr>
        <w:t>za obdobie kalendárneho roka</w:t>
      </w:r>
      <w:r w:rsidRPr="0084290D" w:rsidR="00EF4CDD">
        <w:rPr>
          <w:rFonts w:ascii="Times New Roman" w:hAnsi="Times New Roman"/>
        </w:rPr>
        <w:t xml:space="preserve"> (12 mesiacov) </w:t>
      </w:r>
      <w:r w:rsidRPr="0084290D">
        <w:rPr>
          <w:rFonts w:ascii="Times New Roman" w:hAnsi="Times New Roman"/>
        </w:rPr>
        <w:t>je popísaný v nasledovn</w:t>
      </w:r>
      <w:r w:rsidRPr="0084290D" w:rsidR="00EF4CDD">
        <w:rPr>
          <w:rFonts w:ascii="Times New Roman" w:hAnsi="Times New Roman"/>
        </w:rPr>
        <w:t>ých</w:t>
      </w:r>
      <w:r w:rsidRPr="0084290D">
        <w:rPr>
          <w:rFonts w:ascii="Times New Roman" w:hAnsi="Times New Roman"/>
        </w:rPr>
        <w:t xml:space="preserve"> tabuľk</w:t>
      </w:r>
      <w:r w:rsidRPr="0084290D" w:rsidR="00EF4CDD">
        <w:rPr>
          <w:rFonts w:ascii="Times New Roman" w:hAnsi="Times New Roman"/>
        </w:rPr>
        <w:t>ách</w:t>
      </w:r>
      <w:r w:rsidRPr="0084290D">
        <w:rPr>
          <w:rFonts w:ascii="Times New Roman" w:hAnsi="Times New Roman"/>
        </w:rPr>
        <w:t>:</w:t>
      </w:r>
    </w:p>
    <w:p w:rsidR="005249AB" w:rsidRPr="0084290D" w:rsidP="000B0AB8">
      <w:pPr>
        <w:bidi w:val="0"/>
        <w:ind w:right="283"/>
        <w:jc w:val="right"/>
        <w:outlineLvl w:val="0"/>
        <w:rPr>
          <w:rFonts w:ascii="Times New Roman" w:hAnsi="Times New Roman"/>
        </w:rPr>
      </w:pPr>
      <w:r w:rsidRPr="0084290D">
        <w:rPr>
          <w:rFonts w:ascii="Times New Roman" w:hAnsi="Times New Roman"/>
        </w:rPr>
        <w:t xml:space="preserve">Tabuľka č. 10 </w:t>
      </w:r>
    </w:p>
    <w:tbl>
      <w:tblPr>
        <w:tblStyle w:val="TableNormal"/>
        <w:tblW w:w="8780" w:type="dxa"/>
        <w:tblInd w:w="55" w:type="dxa"/>
        <w:tblCellMar>
          <w:left w:w="70" w:type="dxa"/>
          <w:right w:w="70" w:type="dxa"/>
        </w:tblCellMar>
        <w:tblLook w:val="04A0"/>
      </w:tblPr>
      <w:tblGrid>
        <w:gridCol w:w="2960"/>
        <w:gridCol w:w="1660"/>
        <w:gridCol w:w="2080"/>
        <w:gridCol w:w="2080"/>
      </w:tblGrid>
      <w:tr>
        <w:tblPrEx>
          <w:tblW w:w="8780" w:type="dxa"/>
          <w:tblInd w:w="55" w:type="dxa"/>
          <w:tblCellMar>
            <w:left w:w="70" w:type="dxa"/>
            <w:right w:w="70" w:type="dxa"/>
          </w:tblCellMar>
          <w:tblLook w:val="04A0"/>
        </w:tblPrEx>
        <w:trPr>
          <w:trHeight w:val="300"/>
        </w:trPr>
        <w:tc>
          <w:tcPr>
            <w:tcW w:w="2960" w:type="dxa"/>
            <w:tcBorders>
              <w:top w:val="single" w:sz="4" w:space="0" w:color="auto"/>
              <w:left w:val="single" w:sz="4" w:space="0" w:color="auto"/>
              <w:bottom w:val="single" w:sz="4" w:space="0" w:color="auto"/>
              <w:right w:val="single" w:sz="4" w:space="0" w:color="auto"/>
            </w:tcBorders>
            <w:noWrap/>
            <w:textDirection w:val="lrTb"/>
            <w:vAlign w:val="bottom"/>
            <w:hideMark/>
          </w:tcPr>
          <w:p w:rsidR="00EF4CDD" w:rsidRPr="0084290D" w:rsidP="000B0AB8">
            <w:pPr>
              <w:bidi w:val="0"/>
              <w:jc w:val="left"/>
              <w:rPr>
                <w:rFonts w:ascii="Times New Roman" w:hAnsi="Times New Roman"/>
              </w:rPr>
            </w:pPr>
            <w:r w:rsidRPr="0084290D">
              <w:rPr>
                <w:rFonts w:ascii="Times New Roman" w:hAnsi="Times New Roman"/>
              </w:rPr>
              <w:t>pred účinnosťou novely (nárok v</w:t>
            </w:r>
            <w:r w:rsidRPr="0084290D" w:rsidR="00B9159D">
              <w:rPr>
                <w:rFonts w:ascii="Times New Roman" w:hAnsi="Times New Roman"/>
              </w:rPr>
              <w:t> </w:t>
            </w:r>
            <w:r w:rsidRPr="0084290D">
              <w:rPr>
                <w:rFonts w:ascii="Times New Roman" w:hAnsi="Times New Roman"/>
              </w:rPr>
              <w:t>eur</w:t>
            </w:r>
            <w:r w:rsidRPr="0084290D" w:rsidR="00B9159D">
              <w:rPr>
                <w:rFonts w:ascii="Times New Roman" w:hAnsi="Times New Roman"/>
              </w:rPr>
              <w:t xml:space="preserve"> na 1 lekára</w:t>
            </w:r>
            <w:r w:rsidRPr="0084290D" w:rsidR="005D61FD">
              <w:rPr>
                <w:rFonts w:ascii="Times New Roman" w:hAnsi="Times New Roman"/>
              </w:rPr>
              <w:t xml:space="preserve"> za kal. rok</w:t>
            </w:r>
            <w:r w:rsidRPr="0084290D">
              <w:rPr>
                <w:rFonts w:ascii="Times New Roman" w:hAnsi="Times New Roman"/>
              </w:rPr>
              <w:t>)</w:t>
            </w:r>
          </w:p>
        </w:tc>
        <w:tc>
          <w:tcPr>
            <w:tcW w:w="166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F4CDD" w:rsidRPr="0084290D" w:rsidP="000B0AB8">
            <w:pPr>
              <w:bidi w:val="0"/>
              <w:jc w:val="right"/>
              <w:rPr>
                <w:rFonts w:ascii="Times New Roman" w:hAnsi="Times New Roman"/>
                <w:b/>
                <w:bCs/>
              </w:rPr>
            </w:pPr>
            <w:r w:rsidRPr="0084290D">
              <w:rPr>
                <w:rFonts w:ascii="Times New Roman" w:hAnsi="Times New Roman"/>
                <w:b/>
                <w:bCs/>
              </w:rPr>
              <w:t>2014</w:t>
            </w:r>
          </w:p>
        </w:tc>
        <w:tc>
          <w:tcPr>
            <w:tcW w:w="208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F4CDD" w:rsidRPr="0084290D" w:rsidP="000B0AB8">
            <w:pPr>
              <w:bidi w:val="0"/>
              <w:jc w:val="right"/>
              <w:rPr>
                <w:rFonts w:ascii="Times New Roman" w:hAnsi="Times New Roman"/>
                <w:b/>
                <w:bCs/>
              </w:rPr>
            </w:pPr>
            <w:r w:rsidRPr="0084290D">
              <w:rPr>
                <w:rFonts w:ascii="Times New Roman" w:hAnsi="Times New Roman"/>
                <w:b/>
                <w:bCs/>
              </w:rPr>
              <w:t>2015</w:t>
            </w:r>
          </w:p>
        </w:tc>
        <w:tc>
          <w:tcPr>
            <w:tcW w:w="208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F4CDD" w:rsidRPr="0084290D" w:rsidP="000B0AB8">
            <w:pPr>
              <w:bidi w:val="0"/>
              <w:jc w:val="right"/>
              <w:rPr>
                <w:rFonts w:ascii="Times New Roman" w:hAnsi="Times New Roman"/>
                <w:b/>
                <w:bCs/>
              </w:rPr>
            </w:pPr>
            <w:r w:rsidRPr="0084290D">
              <w:rPr>
                <w:rFonts w:ascii="Times New Roman" w:hAnsi="Times New Roman"/>
                <w:b/>
                <w:bCs/>
              </w:rPr>
              <w:t>2016</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EF4CDD" w:rsidRPr="0084290D" w:rsidP="000B0AB8">
            <w:pPr>
              <w:bidi w:val="0"/>
              <w:jc w:val="left"/>
              <w:rPr>
                <w:rFonts w:ascii="Times New Roman" w:hAnsi="Times New Roman"/>
                <w:b/>
                <w:bCs/>
              </w:rPr>
            </w:pPr>
            <w:r w:rsidRPr="0084290D">
              <w:rPr>
                <w:rFonts w:ascii="Times New Roman" w:hAnsi="Times New Roman"/>
                <w:b/>
                <w:bCs/>
              </w:rPr>
              <w:t>so špecializáciou</w:t>
            </w:r>
          </w:p>
        </w:tc>
        <w:tc>
          <w:tcPr>
            <w:tcW w:w="166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18 331,20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18 764,40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19 425,60</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EF4CDD" w:rsidRPr="0084290D" w:rsidP="000B0AB8">
            <w:pPr>
              <w:bidi w:val="0"/>
              <w:jc w:val="left"/>
              <w:rPr>
                <w:rFonts w:ascii="Times New Roman" w:hAnsi="Times New Roman"/>
                <w:b/>
                <w:bCs/>
              </w:rPr>
            </w:pPr>
            <w:r w:rsidRPr="0084290D">
              <w:rPr>
                <w:rFonts w:ascii="Times New Roman" w:hAnsi="Times New Roman"/>
                <w:b/>
                <w:bCs/>
              </w:rPr>
              <w:t>bez špecializácie</w:t>
            </w:r>
          </w:p>
        </w:tc>
        <w:tc>
          <w:tcPr>
            <w:tcW w:w="166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11 577,60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11 851,20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12 268,80</w:t>
            </w:r>
          </w:p>
        </w:tc>
      </w:tr>
    </w:tbl>
    <w:p w:rsidR="00EF4CDD" w:rsidRPr="0084290D" w:rsidP="000B0AB8">
      <w:pPr>
        <w:bidi w:val="0"/>
        <w:rPr>
          <w:rFonts w:ascii="Times New Roman" w:hAnsi="Times New Roman"/>
        </w:rPr>
      </w:pPr>
    </w:p>
    <w:p w:rsidR="00017142" w:rsidRPr="0084290D" w:rsidP="000B0AB8">
      <w:pPr>
        <w:bidi w:val="0"/>
        <w:rPr>
          <w:rFonts w:ascii="Times New Roman" w:hAnsi="Times New Roman"/>
        </w:rPr>
      </w:pPr>
    </w:p>
    <w:p w:rsidR="005249AB" w:rsidRPr="0084290D" w:rsidP="000B0AB8">
      <w:pPr>
        <w:bidi w:val="0"/>
        <w:ind w:right="283"/>
        <w:jc w:val="right"/>
        <w:outlineLvl w:val="0"/>
        <w:rPr>
          <w:rFonts w:ascii="Times New Roman" w:hAnsi="Times New Roman"/>
        </w:rPr>
      </w:pPr>
      <w:r w:rsidRPr="0084290D">
        <w:rPr>
          <w:rFonts w:ascii="Times New Roman" w:hAnsi="Times New Roman"/>
        </w:rPr>
        <w:t xml:space="preserve">Tabuľka č. 11 </w:t>
      </w:r>
    </w:p>
    <w:tbl>
      <w:tblPr>
        <w:tblStyle w:val="TableNormal"/>
        <w:tblW w:w="8780" w:type="dxa"/>
        <w:tblInd w:w="55" w:type="dxa"/>
        <w:tblCellMar>
          <w:left w:w="70" w:type="dxa"/>
          <w:right w:w="70" w:type="dxa"/>
        </w:tblCellMar>
        <w:tblLook w:val="04A0"/>
      </w:tblPr>
      <w:tblGrid>
        <w:gridCol w:w="2960"/>
        <w:gridCol w:w="1660"/>
        <w:gridCol w:w="2080"/>
        <w:gridCol w:w="2080"/>
      </w:tblGrid>
      <w:tr>
        <w:tblPrEx>
          <w:tblW w:w="8780" w:type="dxa"/>
          <w:tblInd w:w="55" w:type="dxa"/>
          <w:tblCellMar>
            <w:left w:w="70" w:type="dxa"/>
            <w:right w:w="70" w:type="dxa"/>
          </w:tblCellMar>
          <w:tblLook w:val="04A0"/>
        </w:tblPrEx>
        <w:trPr>
          <w:trHeight w:val="300"/>
        </w:trPr>
        <w:tc>
          <w:tcPr>
            <w:tcW w:w="2960" w:type="dxa"/>
            <w:tcBorders>
              <w:top w:val="single" w:sz="4" w:space="0" w:color="auto"/>
              <w:left w:val="single" w:sz="4" w:space="0" w:color="auto"/>
              <w:bottom w:val="single" w:sz="4" w:space="0" w:color="auto"/>
              <w:right w:val="single" w:sz="4" w:space="0" w:color="auto"/>
            </w:tcBorders>
            <w:noWrap/>
            <w:textDirection w:val="lrTb"/>
            <w:vAlign w:val="bottom"/>
            <w:hideMark/>
          </w:tcPr>
          <w:p w:rsidR="00EF4CDD" w:rsidRPr="0084290D" w:rsidP="000B0AB8">
            <w:pPr>
              <w:bidi w:val="0"/>
              <w:jc w:val="left"/>
              <w:rPr>
                <w:rFonts w:ascii="Times New Roman" w:hAnsi="Times New Roman"/>
              </w:rPr>
            </w:pPr>
            <w:r w:rsidRPr="0084290D">
              <w:rPr>
                <w:rFonts w:ascii="Times New Roman" w:hAnsi="Times New Roman"/>
              </w:rPr>
              <w:t>po účinnosti novely (nárok v</w:t>
            </w:r>
            <w:r w:rsidRPr="0084290D" w:rsidR="00B9159D">
              <w:rPr>
                <w:rFonts w:ascii="Times New Roman" w:hAnsi="Times New Roman"/>
              </w:rPr>
              <w:t> </w:t>
            </w:r>
            <w:r w:rsidRPr="0084290D">
              <w:rPr>
                <w:rFonts w:ascii="Times New Roman" w:hAnsi="Times New Roman"/>
              </w:rPr>
              <w:t>eur</w:t>
            </w:r>
            <w:r w:rsidRPr="0084290D" w:rsidR="00B9159D">
              <w:rPr>
                <w:rFonts w:ascii="Times New Roman" w:hAnsi="Times New Roman"/>
              </w:rPr>
              <w:t xml:space="preserve"> na 1 lekára</w:t>
            </w:r>
            <w:r w:rsidRPr="0084290D">
              <w:rPr>
                <w:rFonts w:ascii="Times New Roman" w:hAnsi="Times New Roman"/>
              </w:rPr>
              <w:t>)</w:t>
            </w:r>
          </w:p>
        </w:tc>
        <w:tc>
          <w:tcPr>
            <w:tcW w:w="166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F4CDD" w:rsidRPr="0084290D" w:rsidP="000B0AB8">
            <w:pPr>
              <w:bidi w:val="0"/>
              <w:jc w:val="right"/>
              <w:rPr>
                <w:rFonts w:ascii="Times New Roman" w:hAnsi="Times New Roman"/>
                <w:b/>
                <w:bCs/>
              </w:rPr>
            </w:pPr>
            <w:r w:rsidRPr="0084290D">
              <w:rPr>
                <w:rFonts w:ascii="Times New Roman" w:hAnsi="Times New Roman"/>
                <w:b/>
                <w:bCs/>
              </w:rPr>
              <w:t>2014</w:t>
            </w:r>
          </w:p>
        </w:tc>
        <w:tc>
          <w:tcPr>
            <w:tcW w:w="208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F4CDD" w:rsidRPr="0084290D" w:rsidP="000B0AB8">
            <w:pPr>
              <w:bidi w:val="0"/>
              <w:jc w:val="right"/>
              <w:rPr>
                <w:rFonts w:ascii="Times New Roman" w:hAnsi="Times New Roman"/>
                <w:b/>
                <w:bCs/>
              </w:rPr>
            </w:pPr>
            <w:r w:rsidRPr="0084290D">
              <w:rPr>
                <w:rFonts w:ascii="Times New Roman" w:hAnsi="Times New Roman"/>
                <w:b/>
                <w:bCs/>
              </w:rPr>
              <w:t>2015</w:t>
            </w:r>
          </w:p>
        </w:tc>
        <w:tc>
          <w:tcPr>
            <w:tcW w:w="208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F4CDD" w:rsidRPr="0084290D" w:rsidP="000B0AB8">
            <w:pPr>
              <w:bidi w:val="0"/>
              <w:jc w:val="right"/>
              <w:rPr>
                <w:rFonts w:ascii="Times New Roman" w:hAnsi="Times New Roman"/>
                <w:b/>
                <w:bCs/>
              </w:rPr>
            </w:pPr>
            <w:r w:rsidRPr="0084290D">
              <w:rPr>
                <w:rFonts w:ascii="Times New Roman" w:hAnsi="Times New Roman"/>
                <w:b/>
                <w:bCs/>
              </w:rPr>
              <w:t>2016</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EF4CDD" w:rsidRPr="0084290D" w:rsidP="000B0AB8">
            <w:pPr>
              <w:bidi w:val="0"/>
              <w:jc w:val="left"/>
              <w:rPr>
                <w:rFonts w:ascii="Times New Roman" w:hAnsi="Times New Roman"/>
                <w:b/>
                <w:bCs/>
              </w:rPr>
            </w:pPr>
            <w:r w:rsidRPr="0084290D">
              <w:rPr>
                <w:rFonts w:ascii="Times New Roman" w:hAnsi="Times New Roman"/>
                <w:b/>
                <w:bCs/>
              </w:rPr>
              <w:t>so špecializáciou</w:t>
            </w:r>
          </w:p>
        </w:tc>
        <w:tc>
          <w:tcPr>
            <w:tcW w:w="166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20 260,80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22 714,80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23 515,20</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EF4CDD" w:rsidRPr="0084290D" w:rsidP="000B0AB8">
            <w:pPr>
              <w:bidi w:val="0"/>
              <w:jc w:val="left"/>
              <w:rPr>
                <w:rFonts w:ascii="Times New Roman" w:hAnsi="Times New Roman"/>
                <w:b/>
                <w:bCs/>
              </w:rPr>
            </w:pPr>
            <w:r w:rsidRPr="0084290D">
              <w:rPr>
                <w:rFonts w:ascii="Times New Roman" w:hAnsi="Times New Roman"/>
                <w:b/>
                <w:bCs/>
              </w:rPr>
              <w:t>bez špecializácie</w:t>
            </w:r>
          </w:p>
        </w:tc>
        <w:tc>
          <w:tcPr>
            <w:tcW w:w="166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12 060,00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12 345,00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12 780,00</w:t>
            </w:r>
          </w:p>
        </w:tc>
      </w:tr>
    </w:tbl>
    <w:p w:rsidR="00160E8A" w:rsidRPr="0084290D" w:rsidP="000B0AB8">
      <w:pPr>
        <w:bidi w:val="0"/>
        <w:rPr>
          <w:rFonts w:ascii="Times New Roman" w:hAnsi="Times New Roman"/>
        </w:rPr>
      </w:pPr>
    </w:p>
    <w:p w:rsidR="005249AB" w:rsidRPr="0084290D" w:rsidP="000B0AB8">
      <w:pPr>
        <w:bidi w:val="0"/>
        <w:ind w:right="283"/>
        <w:jc w:val="right"/>
        <w:outlineLvl w:val="0"/>
        <w:rPr>
          <w:rFonts w:ascii="Times New Roman" w:hAnsi="Times New Roman"/>
        </w:rPr>
      </w:pPr>
      <w:r w:rsidRPr="0084290D">
        <w:rPr>
          <w:rFonts w:ascii="Times New Roman" w:hAnsi="Times New Roman"/>
        </w:rPr>
        <w:t xml:space="preserve">Tabuľka č. 12 </w:t>
      </w:r>
    </w:p>
    <w:tbl>
      <w:tblPr>
        <w:tblStyle w:val="TableNormal"/>
        <w:tblW w:w="8780" w:type="dxa"/>
        <w:tblInd w:w="55" w:type="dxa"/>
        <w:tblCellMar>
          <w:left w:w="70" w:type="dxa"/>
          <w:right w:w="70" w:type="dxa"/>
        </w:tblCellMar>
        <w:tblLook w:val="04A0"/>
      </w:tblPr>
      <w:tblGrid>
        <w:gridCol w:w="2960"/>
        <w:gridCol w:w="1660"/>
        <w:gridCol w:w="2080"/>
        <w:gridCol w:w="2080"/>
      </w:tblGrid>
      <w:tr>
        <w:tblPrEx>
          <w:tblW w:w="8780" w:type="dxa"/>
          <w:tblInd w:w="55" w:type="dxa"/>
          <w:tblCellMar>
            <w:left w:w="70" w:type="dxa"/>
            <w:right w:w="70" w:type="dxa"/>
          </w:tblCellMar>
          <w:tblLook w:val="04A0"/>
        </w:tblPrEx>
        <w:trPr>
          <w:trHeight w:val="300"/>
        </w:trPr>
        <w:tc>
          <w:tcPr>
            <w:tcW w:w="2960" w:type="dxa"/>
            <w:tcBorders>
              <w:top w:val="single" w:sz="4" w:space="0" w:color="auto"/>
              <w:left w:val="single" w:sz="4" w:space="0" w:color="auto"/>
              <w:bottom w:val="single" w:sz="4" w:space="0" w:color="auto"/>
              <w:right w:val="single" w:sz="4" w:space="0" w:color="auto"/>
            </w:tcBorders>
            <w:noWrap/>
            <w:textDirection w:val="lrTb"/>
            <w:vAlign w:val="bottom"/>
            <w:hideMark/>
          </w:tcPr>
          <w:p w:rsidR="00EF4CDD" w:rsidRPr="0084290D" w:rsidP="000B0AB8">
            <w:pPr>
              <w:bidi w:val="0"/>
              <w:jc w:val="left"/>
              <w:rPr>
                <w:rFonts w:ascii="Times New Roman" w:hAnsi="Times New Roman"/>
              </w:rPr>
            </w:pPr>
            <w:r w:rsidRPr="0084290D">
              <w:rPr>
                <w:rFonts w:ascii="Times New Roman" w:hAnsi="Times New Roman"/>
              </w:rPr>
              <w:t>rozdiel (na 1 lekára) v eur</w:t>
            </w:r>
          </w:p>
        </w:tc>
        <w:tc>
          <w:tcPr>
            <w:tcW w:w="166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F4CDD" w:rsidRPr="0084290D" w:rsidP="000B0AB8">
            <w:pPr>
              <w:bidi w:val="0"/>
              <w:jc w:val="right"/>
              <w:rPr>
                <w:rFonts w:ascii="Times New Roman" w:hAnsi="Times New Roman"/>
                <w:b/>
                <w:bCs/>
              </w:rPr>
            </w:pPr>
            <w:r w:rsidRPr="0084290D">
              <w:rPr>
                <w:rFonts w:ascii="Times New Roman" w:hAnsi="Times New Roman"/>
                <w:b/>
                <w:bCs/>
              </w:rPr>
              <w:t>2014</w:t>
            </w:r>
          </w:p>
        </w:tc>
        <w:tc>
          <w:tcPr>
            <w:tcW w:w="208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F4CDD" w:rsidRPr="0084290D" w:rsidP="000B0AB8">
            <w:pPr>
              <w:bidi w:val="0"/>
              <w:jc w:val="right"/>
              <w:rPr>
                <w:rFonts w:ascii="Times New Roman" w:hAnsi="Times New Roman"/>
                <w:b/>
                <w:bCs/>
              </w:rPr>
            </w:pPr>
            <w:r w:rsidRPr="0084290D">
              <w:rPr>
                <w:rFonts w:ascii="Times New Roman" w:hAnsi="Times New Roman"/>
                <w:b/>
                <w:bCs/>
              </w:rPr>
              <w:t>2015</w:t>
            </w:r>
          </w:p>
        </w:tc>
        <w:tc>
          <w:tcPr>
            <w:tcW w:w="208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F4CDD" w:rsidRPr="0084290D" w:rsidP="000B0AB8">
            <w:pPr>
              <w:bidi w:val="0"/>
              <w:jc w:val="right"/>
              <w:rPr>
                <w:rFonts w:ascii="Times New Roman" w:hAnsi="Times New Roman"/>
                <w:b/>
                <w:bCs/>
              </w:rPr>
            </w:pPr>
            <w:r w:rsidRPr="0084290D">
              <w:rPr>
                <w:rFonts w:ascii="Times New Roman" w:hAnsi="Times New Roman"/>
                <w:b/>
                <w:bCs/>
              </w:rPr>
              <w:t>2016</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EF4CDD" w:rsidRPr="0084290D" w:rsidP="000B0AB8">
            <w:pPr>
              <w:bidi w:val="0"/>
              <w:jc w:val="left"/>
              <w:rPr>
                <w:rFonts w:ascii="Times New Roman" w:hAnsi="Times New Roman"/>
                <w:b/>
                <w:bCs/>
              </w:rPr>
            </w:pPr>
            <w:r w:rsidRPr="0084290D">
              <w:rPr>
                <w:rFonts w:ascii="Times New Roman" w:hAnsi="Times New Roman"/>
                <w:b/>
                <w:bCs/>
              </w:rPr>
              <w:t>so špecializáciou</w:t>
            </w:r>
          </w:p>
        </w:tc>
        <w:tc>
          <w:tcPr>
            <w:tcW w:w="166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1 929,60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3 950,40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4 089,60</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EF4CDD" w:rsidRPr="0084290D" w:rsidP="000B0AB8">
            <w:pPr>
              <w:bidi w:val="0"/>
              <w:jc w:val="left"/>
              <w:rPr>
                <w:rFonts w:ascii="Times New Roman" w:hAnsi="Times New Roman"/>
                <w:b/>
                <w:bCs/>
              </w:rPr>
            </w:pPr>
            <w:r w:rsidRPr="0084290D">
              <w:rPr>
                <w:rFonts w:ascii="Times New Roman" w:hAnsi="Times New Roman"/>
                <w:b/>
                <w:bCs/>
              </w:rPr>
              <w:t>bez špecializácie</w:t>
            </w:r>
          </w:p>
        </w:tc>
        <w:tc>
          <w:tcPr>
            <w:tcW w:w="166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482,40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493,80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511,20</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EF4CDD" w:rsidRPr="0084290D" w:rsidP="000B0AB8">
            <w:pPr>
              <w:bidi w:val="0"/>
              <w:jc w:val="left"/>
              <w:rPr>
                <w:rFonts w:ascii="Times New Roman" w:hAnsi="Times New Roman"/>
              </w:rPr>
            </w:pPr>
            <w:r w:rsidRPr="0084290D">
              <w:rPr>
                <w:rFonts w:ascii="Times New Roman" w:hAnsi="Times New Roman"/>
              </w:rPr>
              <w:t>spolu</w:t>
            </w:r>
          </w:p>
        </w:tc>
        <w:tc>
          <w:tcPr>
            <w:tcW w:w="166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2 412,00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4 444,20</w:t>
            </w:r>
          </w:p>
        </w:tc>
        <w:tc>
          <w:tcPr>
            <w:tcW w:w="2080" w:type="dxa"/>
            <w:tcBorders>
              <w:top w:val="nil"/>
              <w:left w:val="nil"/>
              <w:bottom w:val="single" w:sz="4" w:space="0" w:color="auto"/>
              <w:right w:val="single" w:sz="4" w:space="0" w:color="auto"/>
            </w:tcBorders>
            <w:noWrap/>
            <w:textDirection w:val="lrTb"/>
            <w:vAlign w:val="bottom"/>
            <w:hideMark/>
          </w:tcPr>
          <w:p w:rsidR="00EF4CDD" w:rsidRPr="0084290D" w:rsidP="000B0AB8">
            <w:pPr>
              <w:bidi w:val="0"/>
              <w:jc w:val="right"/>
              <w:rPr>
                <w:rFonts w:ascii="Times New Roman" w:hAnsi="Times New Roman"/>
              </w:rPr>
            </w:pPr>
            <w:r w:rsidRPr="0084290D">
              <w:rPr>
                <w:rFonts w:ascii="Times New Roman" w:hAnsi="Times New Roman"/>
              </w:rPr>
              <w:t>4 600,80</w:t>
            </w:r>
          </w:p>
        </w:tc>
      </w:tr>
    </w:tbl>
    <w:p w:rsidR="007F433E" w:rsidRPr="0084290D" w:rsidP="000B0AB8">
      <w:pPr>
        <w:bidi w:val="0"/>
        <w:rPr>
          <w:rFonts w:ascii="Times New Roman" w:hAnsi="Times New Roman"/>
        </w:rPr>
      </w:pPr>
    </w:p>
    <w:p w:rsidR="005D61FD" w:rsidRPr="0084290D" w:rsidP="000B0AB8">
      <w:pPr>
        <w:bidi w:val="0"/>
        <w:rPr>
          <w:rFonts w:ascii="Times New Roman" w:hAnsi="Times New Roman"/>
        </w:rPr>
      </w:pPr>
      <w:r w:rsidRPr="0084290D">
        <w:rPr>
          <w:rFonts w:ascii="Times New Roman" w:hAnsi="Times New Roman"/>
        </w:rPr>
        <w:t xml:space="preserve">Príplatky, odvíjajúce sa od základnej mzdy lekára tvoria v priemere 32 % z celkovej mzdy. ich navýšenie z titulu navýšenia základnej tarifnej mzdy </w:t>
      </w:r>
      <w:r w:rsidRPr="0084290D" w:rsidR="00950C5E">
        <w:rPr>
          <w:rFonts w:ascii="Times New Roman" w:hAnsi="Times New Roman"/>
        </w:rPr>
        <w:t>j</w:t>
      </w:r>
      <w:r w:rsidRPr="0084290D">
        <w:rPr>
          <w:rFonts w:ascii="Times New Roman" w:hAnsi="Times New Roman"/>
        </w:rPr>
        <w:t>e uvedené v nasledovnej tabuľke:</w:t>
      </w:r>
    </w:p>
    <w:p w:rsidR="00301E00" w:rsidRPr="0084290D" w:rsidP="000B0AB8">
      <w:pPr>
        <w:bidi w:val="0"/>
        <w:ind w:right="283"/>
        <w:jc w:val="right"/>
        <w:outlineLvl w:val="0"/>
        <w:rPr>
          <w:rFonts w:ascii="Times New Roman" w:hAnsi="Times New Roman"/>
        </w:rPr>
      </w:pPr>
    </w:p>
    <w:p w:rsidR="005D61FD" w:rsidRPr="0084290D" w:rsidP="000B0AB8">
      <w:pPr>
        <w:bidi w:val="0"/>
        <w:ind w:right="283"/>
        <w:jc w:val="right"/>
        <w:outlineLvl w:val="0"/>
        <w:rPr>
          <w:rFonts w:ascii="Times New Roman" w:hAnsi="Times New Roman"/>
        </w:rPr>
      </w:pPr>
      <w:r w:rsidRPr="0084290D" w:rsidR="00301E00">
        <w:rPr>
          <w:rFonts w:ascii="Times New Roman" w:hAnsi="Times New Roman"/>
        </w:rPr>
        <w:t>Tabuľka č. 13</w:t>
      </w:r>
    </w:p>
    <w:tbl>
      <w:tblPr>
        <w:tblStyle w:val="TableNormal"/>
        <w:tblW w:w="8780" w:type="dxa"/>
        <w:tblInd w:w="55" w:type="dxa"/>
        <w:tblCellMar>
          <w:left w:w="70" w:type="dxa"/>
          <w:right w:w="70" w:type="dxa"/>
        </w:tblCellMar>
        <w:tblLook w:val="04A0"/>
      </w:tblPr>
      <w:tblGrid>
        <w:gridCol w:w="2960"/>
        <w:gridCol w:w="1660"/>
        <w:gridCol w:w="2080"/>
        <w:gridCol w:w="2080"/>
      </w:tblGrid>
      <w:tr>
        <w:tblPrEx>
          <w:tblW w:w="8780" w:type="dxa"/>
          <w:tblInd w:w="55" w:type="dxa"/>
          <w:tblCellMar>
            <w:left w:w="70" w:type="dxa"/>
            <w:right w:w="70" w:type="dxa"/>
          </w:tblCellMar>
          <w:tblLook w:val="04A0"/>
        </w:tblPrEx>
        <w:trPr>
          <w:trHeight w:val="900"/>
        </w:trPr>
        <w:tc>
          <w:tcPr>
            <w:tcW w:w="2960" w:type="dxa"/>
            <w:tcBorders>
              <w:top w:val="single" w:sz="4" w:space="0" w:color="auto"/>
              <w:left w:val="single" w:sz="4" w:space="0" w:color="auto"/>
              <w:bottom w:val="single" w:sz="4" w:space="0" w:color="auto"/>
              <w:right w:val="single" w:sz="4" w:space="0" w:color="auto"/>
            </w:tcBorders>
            <w:textDirection w:val="lrTb"/>
            <w:vAlign w:val="bottom"/>
            <w:hideMark/>
          </w:tcPr>
          <w:p w:rsidR="00301E00" w:rsidRPr="0084290D" w:rsidP="000B0AB8">
            <w:pPr>
              <w:bidi w:val="0"/>
              <w:jc w:val="left"/>
              <w:rPr>
                <w:rFonts w:ascii="Times New Roman" w:hAnsi="Times New Roman"/>
              </w:rPr>
            </w:pPr>
            <w:r w:rsidRPr="0084290D">
              <w:rPr>
                <w:rFonts w:ascii="Times New Roman" w:hAnsi="Times New Roman"/>
              </w:rPr>
              <w:t>rozdiel spolu s príplatkami 32% nad rámec zákl. mzdy (na 1 lekára)</w:t>
            </w:r>
          </w:p>
        </w:tc>
        <w:tc>
          <w:tcPr>
            <w:tcW w:w="166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301E00" w:rsidRPr="0084290D" w:rsidP="000B0AB8">
            <w:pPr>
              <w:bidi w:val="0"/>
              <w:jc w:val="right"/>
              <w:rPr>
                <w:rFonts w:ascii="Times New Roman" w:hAnsi="Times New Roman"/>
                <w:b/>
                <w:bCs/>
              </w:rPr>
            </w:pPr>
            <w:r w:rsidRPr="0084290D">
              <w:rPr>
                <w:rFonts w:ascii="Times New Roman" w:hAnsi="Times New Roman"/>
                <w:b/>
                <w:bCs/>
              </w:rPr>
              <w:t>2014</w:t>
            </w:r>
          </w:p>
        </w:tc>
        <w:tc>
          <w:tcPr>
            <w:tcW w:w="208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301E00" w:rsidRPr="0084290D" w:rsidP="000B0AB8">
            <w:pPr>
              <w:bidi w:val="0"/>
              <w:jc w:val="right"/>
              <w:rPr>
                <w:rFonts w:ascii="Times New Roman" w:hAnsi="Times New Roman"/>
                <w:b/>
                <w:bCs/>
              </w:rPr>
            </w:pPr>
            <w:r w:rsidRPr="0084290D">
              <w:rPr>
                <w:rFonts w:ascii="Times New Roman" w:hAnsi="Times New Roman"/>
                <w:b/>
                <w:bCs/>
              </w:rPr>
              <w:t>2015</w:t>
            </w:r>
          </w:p>
        </w:tc>
        <w:tc>
          <w:tcPr>
            <w:tcW w:w="208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301E00" w:rsidRPr="0084290D" w:rsidP="000B0AB8">
            <w:pPr>
              <w:bidi w:val="0"/>
              <w:jc w:val="right"/>
              <w:rPr>
                <w:rFonts w:ascii="Times New Roman" w:hAnsi="Times New Roman"/>
                <w:b/>
                <w:bCs/>
              </w:rPr>
            </w:pPr>
            <w:r w:rsidRPr="0084290D">
              <w:rPr>
                <w:rFonts w:ascii="Times New Roman" w:hAnsi="Times New Roman"/>
                <w:b/>
                <w:bCs/>
              </w:rPr>
              <w:t>2016</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301E00" w:rsidRPr="0084290D" w:rsidP="000B0AB8">
            <w:pPr>
              <w:bidi w:val="0"/>
              <w:jc w:val="left"/>
              <w:rPr>
                <w:rFonts w:ascii="Times New Roman" w:hAnsi="Times New Roman"/>
                <w:b/>
                <w:bCs/>
              </w:rPr>
            </w:pPr>
            <w:r w:rsidRPr="0084290D">
              <w:rPr>
                <w:rFonts w:ascii="Times New Roman" w:hAnsi="Times New Roman"/>
                <w:b/>
                <w:bCs/>
              </w:rPr>
              <w:t>so špecializáciou</w:t>
            </w:r>
          </w:p>
        </w:tc>
        <w:tc>
          <w:tcPr>
            <w:tcW w:w="166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2 547,07</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5 214,53</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5 398,27</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301E00" w:rsidRPr="0084290D" w:rsidP="000B0AB8">
            <w:pPr>
              <w:bidi w:val="0"/>
              <w:jc w:val="left"/>
              <w:rPr>
                <w:rFonts w:ascii="Times New Roman" w:hAnsi="Times New Roman"/>
                <w:b/>
                <w:bCs/>
              </w:rPr>
            </w:pPr>
            <w:r w:rsidRPr="0084290D">
              <w:rPr>
                <w:rFonts w:ascii="Times New Roman" w:hAnsi="Times New Roman"/>
                <w:b/>
                <w:bCs/>
              </w:rPr>
              <w:t>bez špecializácie</w:t>
            </w:r>
          </w:p>
        </w:tc>
        <w:tc>
          <w:tcPr>
            <w:tcW w:w="166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636,77</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651,82</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674,78</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301E00" w:rsidRPr="0084290D" w:rsidP="000B0AB8">
            <w:pPr>
              <w:bidi w:val="0"/>
              <w:jc w:val="left"/>
              <w:rPr>
                <w:rFonts w:ascii="Times New Roman" w:hAnsi="Times New Roman"/>
              </w:rPr>
            </w:pPr>
            <w:r w:rsidRPr="0084290D">
              <w:rPr>
                <w:rFonts w:ascii="Times New Roman" w:hAnsi="Times New Roman"/>
              </w:rPr>
              <w:t>spolu</w:t>
            </w:r>
          </w:p>
        </w:tc>
        <w:tc>
          <w:tcPr>
            <w:tcW w:w="166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3 183,84</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5 866,34</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6 073,06</w:t>
            </w:r>
          </w:p>
        </w:tc>
      </w:tr>
    </w:tbl>
    <w:p w:rsidR="005D61FD" w:rsidRPr="0084290D" w:rsidP="000B0AB8">
      <w:pPr>
        <w:bidi w:val="0"/>
        <w:rPr>
          <w:rFonts w:ascii="Times New Roman" w:hAnsi="Times New Roman"/>
        </w:rPr>
      </w:pPr>
    </w:p>
    <w:p w:rsidR="00960DA7" w:rsidRPr="0084290D" w:rsidP="000B0AB8">
      <w:pPr>
        <w:bidi w:val="0"/>
        <w:rPr>
          <w:rFonts w:ascii="Times New Roman" w:hAnsi="Times New Roman"/>
        </w:rPr>
      </w:pPr>
      <w:r w:rsidRPr="0084290D">
        <w:rPr>
          <w:rFonts w:ascii="Times New Roman" w:hAnsi="Times New Roman"/>
        </w:rPr>
        <w:t xml:space="preserve">Odvody zamestnávateľa do fondov </w:t>
      </w:r>
      <w:r w:rsidRPr="0084290D" w:rsidR="00301E00">
        <w:rPr>
          <w:rFonts w:ascii="Times New Roman" w:hAnsi="Times New Roman"/>
        </w:rPr>
        <w:t>sociálneho a</w:t>
      </w:r>
      <w:r w:rsidRPr="0084290D" w:rsidR="00C03F7D">
        <w:rPr>
          <w:rFonts w:ascii="Times New Roman" w:hAnsi="Times New Roman"/>
        </w:rPr>
        <w:t> </w:t>
      </w:r>
      <w:r w:rsidRPr="0084290D" w:rsidR="00301E00">
        <w:rPr>
          <w:rFonts w:ascii="Times New Roman" w:hAnsi="Times New Roman"/>
        </w:rPr>
        <w:t>zdravotn</w:t>
      </w:r>
      <w:r w:rsidRPr="0084290D" w:rsidR="00C03F7D">
        <w:rPr>
          <w:rFonts w:ascii="Times New Roman" w:hAnsi="Times New Roman"/>
        </w:rPr>
        <w:t xml:space="preserve">ého poistenia </w:t>
      </w:r>
      <w:r w:rsidRPr="0084290D">
        <w:rPr>
          <w:rFonts w:ascii="Times New Roman" w:hAnsi="Times New Roman"/>
        </w:rPr>
        <w:t xml:space="preserve">na 1 lekára (34,95% zo sumy </w:t>
      </w:r>
      <w:r w:rsidRPr="0084290D" w:rsidR="005D61FD">
        <w:rPr>
          <w:rFonts w:ascii="Times New Roman" w:hAnsi="Times New Roman"/>
        </w:rPr>
        <w:t>rozdielu</w:t>
      </w:r>
      <w:r w:rsidRPr="0084290D">
        <w:rPr>
          <w:rFonts w:ascii="Times New Roman" w:hAnsi="Times New Roman"/>
        </w:rPr>
        <w:t>):</w:t>
      </w:r>
    </w:p>
    <w:p w:rsidR="00960DA7" w:rsidRPr="0084290D" w:rsidP="000B0AB8">
      <w:pPr>
        <w:bidi w:val="0"/>
        <w:ind w:right="283"/>
        <w:jc w:val="right"/>
        <w:outlineLvl w:val="0"/>
        <w:rPr>
          <w:rFonts w:ascii="Times New Roman" w:hAnsi="Times New Roman"/>
        </w:rPr>
      </w:pPr>
      <w:r w:rsidRPr="0084290D">
        <w:rPr>
          <w:rFonts w:ascii="Times New Roman" w:hAnsi="Times New Roman"/>
        </w:rPr>
        <w:t>Tabuľka č. 1</w:t>
      </w:r>
      <w:r w:rsidRPr="0084290D" w:rsidR="00301E00">
        <w:rPr>
          <w:rFonts w:ascii="Times New Roman" w:hAnsi="Times New Roman"/>
        </w:rPr>
        <w:t>4</w:t>
      </w:r>
      <w:r w:rsidRPr="0084290D">
        <w:rPr>
          <w:rFonts w:ascii="Times New Roman" w:hAnsi="Times New Roman"/>
        </w:rPr>
        <w:t xml:space="preserve"> </w:t>
      </w:r>
    </w:p>
    <w:tbl>
      <w:tblPr>
        <w:tblStyle w:val="TableNormal"/>
        <w:tblW w:w="8780" w:type="dxa"/>
        <w:tblInd w:w="55" w:type="dxa"/>
        <w:tblCellMar>
          <w:left w:w="70" w:type="dxa"/>
          <w:right w:w="70" w:type="dxa"/>
        </w:tblCellMar>
        <w:tblLook w:val="04A0"/>
      </w:tblPr>
      <w:tblGrid>
        <w:gridCol w:w="2960"/>
        <w:gridCol w:w="1660"/>
        <w:gridCol w:w="2080"/>
        <w:gridCol w:w="2080"/>
      </w:tblGrid>
      <w:tr>
        <w:tblPrEx>
          <w:tblW w:w="8780" w:type="dxa"/>
          <w:tblInd w:w="55" w:type="dxa"/>
          <w:tblCellMar>
            <w:left w:w="70" w:type="dxa"/>
            <w:right w:w="70" w:type="dxa"/>
          </w:tblCellMar>
          <w:tblLook w:val="04A0"/>
        </w:tblPrEx>
        <w:trPr>
          <w:trHeight w:val="300"/>
        </w:trPr>
        <w:tc>
          <w:tcPr>
            <w:tcW w:w="2960" w:type="dxa"/>
            <w:tcBorders>
              <w:top w:val="single" w:sz="4" w:space="0" w:color="auto"/>
              <w:left w:val="single" w:sz="4" w:space="0" w:color="auto"/>
              <w:bottom w:val="single" w:sz="4" w:space="0" w:color="auto"/>
              <w:right w:val="single" w:sz="4" w:space="0" w:color="auto"/>
            </w:tcBorders>
            <w:noWrap/>
            <w:textDirection w:val="lrTb"/>
            <w:vAlign w:val="bottom"/>
            <w:hideMark/>
          </w:tcPr>
          <w:p w:rsidR="00960DA7" w:rsidRPr="0084290D" w:rsidP="000B0AB8">
            <w:pPr>
              <w:bidi w:val="0"/>
              <w:rPr>
                <w:rFonts w:ascii="Times New Roman" w:hAnsi="Times New Roman"/>
              </w:rPr>
            </w:pPr>
            <w:r w:rsidRPr="0084290D">
              <w:rPr>
                <w:rFonts w:ascii="Times New Roman" w:hAnsi="Times New Roman"/>
              </w:rPr>
              <w:t>odvody (na 1 lekára)</w:t>
            </w:r>
          </w:p>
        </w:tc>
        <w:tc>
          <w:tcPr>
            <w:tcW w:w="166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960DA7" w:rsidRPr="0084290D" w:rsidP="000B0AB8">
            <w:pPr>
              <w:bidi w:val="0"/>
              <w:jc w:val="right"/>
              <w:rPr>
                <w:rFonts w:ascii="Times New Roman" w:hAnsi="Times New Roman"/>
                <w:b/>
                <w:bCs/>
              </w:rPr>
            </w:pPr>
            <w:r w:rsidRPr="0084290D">
              <w:rPr>
                <w:rFonts w:ascii="Times New Roman" w:hAnsi="Times New Roman"/>
                <w:b/>
                <w:bCs/>
              </w:rPr>
              <w:t>2014</w:t>
            </w:r>
          </w:p>
        </w:tc>
        <w:tc>
          <w:tcPr>
            <w:tcW w:w="208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960DA7" w:rsidRPr="0084290D" w:rsidP="000B0AB8">
            <w:pPr>
              <w:bidi w:val="0"/>
              <w:jc w:val="right"/>
              <w:rPr>
                <w:rFonts w:ascii="Times New Roman" w:hAnsi="Times New Roman"/>
                <w:b/>
                <w:bCs/>
              </w:rPr>
            </w:pPr>
            <w:r w:rsidRPr="0084290D">
              <w:rPr>
                <w:rFonts w:ascii="Times New Roman" w:hAnsi="Times New Roman"/>
                <w:b/>
                <w:bCs/>
              </w:rPr>
              <w:t>2015</w:t>
            </w:r>
          </w:p>
        </w:tc>
        <w:tc>
          <w:tcPr>
            <w:tcW w:w="208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960DA7" w:rsidRPr="0084290D" w:rsidP="000B0AB8">
            <w:pPr>
              <w:bidi w:val="0"/>
              <w:jc w:val="right"/>
              <w:rPr>
                <w:rFonts w:ascii="Times New Roman" w:hAnsi="Times New Roman"/>
                <w:b/>
                <w:bCs/>
              </w:rPr>
            </w:pPr>
            <w:r w:rsidRPr="0084290D">
              <w:rPr>
                <w:rFonts w:ascii="Times New Roman" w:hAnsi="Times New Roman"/>
                <w:b/>
                <w:bCs/>
              </w:rPr>
              <w:t>2016</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301E00" w:rsidRPr="0084290D" w:rsidP="000B0AB8">
            <w:pPr>
              <w:bidi w:val="0"/>
              <w:rPr>
                <w:rFonts w:ascii="Times New Roman" w:hAnsi="Times New Roman"/>
                <w:b/>
                <w:bCs/>
              </w:rPr>
            </w:pPr>
            <w:r w:rsidRPr="0084290D">
              <w:rPr>
                <w:rFonts w:ascii="Times New Roman" w:hAnsi="Times New Roman"/>
                <w:b/>
                <w:bCs/>
              </w:rPr>
              <w:t>so špecializáciou</w:t>
            </w:r>
          </w:p>
        </w:tc>
        <w:tc>
          <w:tcPr>
            <w:tcW w:w="166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890,20</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1 822,48</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1 886,70</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301E00" w:rsidRPr="0084290D" w:rsidP="000B0AB8">
            <w:pPr>
              <w:bidi w:val="0"/>
              <w:rPr>
                <w:rFonts w:ascii="Times New Roman" w:hAnsi="Times New Roman"/>
                <w:b/>
                <w:bCs/>
              </w:rPr>
            </w:pPr>
            <w:r w:rsidRPr="0084290D">
              <w:rPr>
                <w:rFonts w:ascii="Times New Roman" w:hAnsi="Times New Roman"/>
                <w:b/>
                <w:bCs/>
              </w:rPr>
              <w:t>bez špecializácie</w:t>
            </w:r>
          </w:p>
        </w:tc>
        <w:tc>
          <w:tcPr>
            <w:tcW w:w="166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222,55</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227,81</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235,84</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301E00" w:rsidRPr="0084290D" w:rsidP="000B0AB8">
            <w:pPr>
              <w:bidi w:val="0"/>
              <w:rPr>
                <w:rFonts w:ascii="Times New Roman" w:hAnsi="Times New Roman"/>
              </w:rPr>
            </w:pPr>
            <w:r w:rsidRPr="0084290D">
              <w:rPr>
                <w:rFonts w:ascii="Times New Roman" w:hAnsi="Times New Roman"/>
              </w:rPr>
              <w:t>spolu</w:t>
            </w:r>
          </w:p>
        </w:tc>
        <w:tc>
          <w:tcPr>
            <w:tcW w:w="166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1 112,75</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2 050,29</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2 122,53</w:t>
            </w:r>
          </w:p>
        </w:tc>
      </w:tr>
    </w:tbl>
    <w:p w:rsidR="00EF4CDD" w:rsidRPr="0084290D" w:rsidP="000B0AB8">
      <w:pPr>
        <w:bidi w:val="0"/>
        <w:rPr>
          <w:rFonts w:ascii="Times New Roman" w:hAnsi="Times New Roman"/>
        </w:rPr>
      </w:pPr>
      <w:r w:rsidRPr="0084290D">
        <w:rPr>
          <w:rFonts w:ascii="Times New Roman" w:hAnsi="Times New Roman"/>
        </w:rPr>
        <w:t xml:space="preserve">Po zohľadnení počtu lekárov podľa Tabuľky </w:t>
      </w:r>
      <w:r w:rsidRPr="0084290D" w:rsidR="005249AB">
        <w:rPr>
          <w:rFonts w:ascii="Times New Roman" w:hAnsi="Times New Roman"/>
        </w:rPr>
        <w:t>č. 7</w:t>
      </w:r>
      <w:r w:rsidRPr="0084290D">
        <w:rPr>
          <w:rFonts w:ascii="Times New Roman" w:hAnsi="Times New Roman"/>
        </w:rPr>
        <w:t xml:space="preserve"> sú dopady nasledovné:</w:t>
      </w:r>
    </w:p>
    <w:p w:rsidR="00EF4CDD" w:rsidRPr="0084290D" w:rsidP="000B0AB8">
      <w:pPr>
        <w:bidi w:val="0"/>
        <w:rPr>
          <w:rFonts w:ascii="Times New Roman" w:hAnsi="Times New Roman"/>
        </w:rPr>
      </w:pPr>
    </w:p>
    <w:p w:rsidR="005249AB" w:rsidRPr="0084290D" w:rsidP="000B0AB8">
      <w:pPr>
        <w:bidi w:val="0"/>
        <w:ind w:right="283"/>
        <w:jc w:val="right"/>
        <w:outlineLvl w:val="0"/>
        <w:rPr>
          <w:rFonts w:ascii="Times New Roman" w:hAnsi="Times New Roman"/>
        </w:rPr>
      </w:pPr>
      <w:r w:rsidRPr="0084290D">
        <w:rPr>
          <w:rFonts w:ascii="Times New Roman" w:hAnsi="Times New Roman"/>
        </w:rPr>
        <w:t>Tabuľka č. 1</w:t>
      </w:r>
      <w:r w:rsidRPr="0084290D" w:rsidR="00301E00">
        <w:rPr>
          <w:rFonts w:ascii="Times New Roman" w:hAnsi="Times New Roman"/>
        </w:rPr>
        <w:t>5</w:t>
      </w:r>
      <w:r w:rsidRPr="0084290D">
        <w:rPr>
          <w:rFonts w:ascii="Times New Roman" w:hAnsi="Times New Roman"/>
        </w:rPr>
        <w:t xml:space="preserve"> </w:t>
      </w:r>
    </w:p>
    <w:tbl>
      <w:tblPr>
        <w:tblStyle w:val="TableNormal"/>
        <w:tblW w:w="8780" w:type="dxa"/>
        <w:tblInd w:w="55" w:type="dxa"/>
        <w:tblCellMar>
          <w:left w:w="70" w:type="dxa"/>
          <w:right w:w="70" w:type="dxa"/>
        </w:tblCellMar>
        <w:tblLook w:val="04A0"/>
      </w:tblPr>
      <w:tblGrid>
        <w:gridCol w:w="2960"/>
        <w:gridCol w:w="1660"/>
        <w:gridCol w:w="2080"/>
        <w:gridCol w:w="2080"/>
      </w:tblGrid>
      <w:tr>
        <w:tblPrEx>
          <w:tblW w:w="8780" w:type="dxa"/>
          <w:tblInd w:w="55" w:type="dxa"/>
          <w:tblCellMar>
            <w:left w:w="70" w:type="dxa"/>
            <w:right w:w="70" w:type="dxa"/>
          </w:tblCellMar>
          <w:tblLook w:val="04A0"/>
        </w:tblPrEx>
        <w:trPr>
          <w:trHeight w:val="300"/>
        </w:trPr>
        <w:tc>
          <w:tcPr>
            <w:tcW w:w="2960" w:type="dxa"/>
            <w:tcBorders>
              <w:top w:val="single" w:sz="4" w:space="0" w:color="auto"/>
              <w:left w:val="single" w:sz="4" w:space="0" w:color="auto"/>
              <w:bottom w:val="single" w:sz="4" w:space="0" w:color="auto"/>
              <w:right w:val="single" w:sz="4" w:space="0" w:color="auto"/>
            </w:tcBorders>
            <w:noWrap/>
            <w:textDirection w:val="lrTb"/>
            <w:vAlign w:val="bottom"/>
            <w:hideMark/>
          </w:tcPr>
          <w:p w:rsidR="00EF4CDD" w:rsidRPr="0084290D" w:rsidP="000B0AB8">
            <w:pPr>
              <w:bidi w:val="0"/>
              <w:jc w:val="left"/>
              <w:rPr>
                <w:rFonts w:ascii="Times New Roman" w:hAnsi="Times New Roman"/>
              </w:rPr>
            </w:pPr>
            <w:r w:rsidRPr="0084290D">
              <w:rPr>
                <w:rFonts w:ascii="Times New Roman" w:hAnsi="Times New Roman"/>
              </w:rPr>
              <w:t>Celkový dopad v</w:t>
            </w:r>
            <w:r w:rsidRPr="0084290D" w:rsidR="00B9159D">
              <w:rPr>
                <w:rFonts w:ascii="Times New Roman" w:hAnsi="Times New Roman"/>
              </w:rPr>
              <w:t> </w:t>
            </w:r>
            <w:r w:rsidRPr="0084290D">
              <w:rPr>
                <w:rFonts w:ascii="Times New Roman" w:hAnsi="Times New Roman"/>
              </w:rPr>
              <w:t>eur</w:t>
            </w:r>
            <w:r w:rsidRPr="0084290D" w:rsidR="00B9159D">
              <w:rPr>
                <w:rFonts w:ascii="Times New Roman" w:hAnsi="Times New Roman"/>
              </w:rPr>
              <w:t xml:space="preserve"> na </w:t>
            </w:r>
            <w:r w:rsidRPr="0084290D" w:rsidR="00960DA7">
              <w:rPr>
                <w:rFonts w:ascii="Times New Roman" w:hAnsi="Times New Roman"/>
              </w:rPr>
              <w:t>8 012</w:t>
            </w:r>
            <w:r w:rsidRPr="0084290D" w:rsidR="00B9159D">
              <w:rPr>
                <w:rFonts w:ascii="Times New Roman" w:hAnsi="Times New Roman"/>
              </w:rPr>
              <w:t xml:space="preserve"> lekárov</w:t>
            </w:r>
          </w:p>
        </w:tc>
        <w:tc>
          <w:tcPr>
            <w:tcW w:w="166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F4CDD" w:rsidRPr="0084290D" w:rsidP="000B0AB8">
            <w:pPr>
              <w:bidi w:val="0"/>
              <w:jc w:val="right"/>
              <w:rPr>
                <w:rFonts w:ascii="Times New Roman" w:hAnsi="Times New Roman"/>
                <w:b/>
                <w:bCs/>
              </w:rPr>
            </w:pPr>
            <w:r w:rsidRPr="0084290D">
              <w:rPr>
                <w:rFonts w:ascii="Times New Roman" w:hAnsi="Times New Roman"/>
                <w:b/>
                <w:bCs/>
              </w:rPr>
              <w:t>2014</w:t>
            </w:r>
          </w:p>
        </w:tc>
        <w:tc>
          <w:tcPr>
            <w:tcW w:w="208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F4CDD" w:rsidRPr="0084290D" w:rsidP="000B0AB8">
            <w:pPr>
              <w:bidi w:val="0"/>
              <w:jc w:val="right"/>
              <w:rPr>
                <w:rFonts w:ascii="Times New Roman" w:hAnsi="Times New Roman"/>
                <w:b/>
                <w:bCs/>
              </w:rPr>
            </w:pPr>
            <w:r w:rsidRPr="0084290D">
              <w:rPr>
                <w:rFonts w:ascii="Times New Roman" w:hAnsi="Times New Roman"/>
                <w:b/>
                <w:bCs/>
              </w:rPr>
              <w:t>2015</w:t>
            </w:r>
          </w:p>
        </w:tc>
        <w:tc>
          <w:tcPr>
            <w:tcW w:w="208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EF4CDD" w:rsidRPr="0084290D" w:rsidP="000B0AB8">
            <w:pPr>
              <w:bidi w:val="0"/>
              <w:jc w:val="right"/>
              <w:rPr>
                <w:rFonts w:ascii="Times New Roman" w:hAnsi="Times New Roman"/>
                <w:b/>
                <w:bCs/>
              </w:rPr>
            </w:pPr>
            <w:r w:rsidRPr="0084290D">
              <w:rPr>
                <w:rFonts w:ascii="Times New Roman" w:hAnsi="Times New Roman"/>
                <w:b/>
                <w:bCs/>
              </w:rPr>
              <w:t>2016</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301E00" w:rsidRPr="0084290D" w:rsidP="000B0AB8">
            <w:pPr>
              <w:bidi w:val="0"/>
              <w:jc w:val="left"/>
              <w:rPr>
                <w:rFonts w:ascii="Times New Roman" w:hAnsi="Times New Roman"/>
                <w:b/>
                <w:bCs/>
              </w:rPr>
            </w:pPr>
            <w:r w:rsidRPr="0084290D">
              <w:rPr>
                <w:rFonts w:ascii="Times New Roman" w:hAnsi="Times New Roman"/>
                <w:b/>
                <w:bCs/>
              </w:rPr>
              <w:t>so špecializáciou</w:t>
            </w:r>
          </w:p>
        </w:tc>
        <w:tc>
          <w:tcPr>
            <w:tcW w:w="166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16 523 661,96</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33 828 293,01</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35 020 298,48</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301E00" w:rsidRPr="0084290D" w:rsidP="000B0AB8">
            <w:pPr>
              <w:bidi w:val="0"/>
              <w:jc w:val="left"/>
              <w:rPr>
                <w:rFonts w:ascii="Times New Roman" w:hAnsi="Times New Roman"/>
                <w:b/>
                <w:bCs/>
              </w:rPr>
            </w:pPr>
            <w:r w:rsidRPr="0084290D">
              <w:rPr>
                <w:rFonts w:ascii="Times New Roman" w:hAnsi="Times New Roman"/>
                <w:b/>
                <w:bCs/>
              </w:rPr>
              <w:t>bez špecializácie</w:t>
            </w:r>
          </w:p>
        </w:tc>
        <w:tc>
          <w:tcPr>
            <w:tcW w:w="166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2 753 943,66</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2 819 024,42</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rPr>
            </w:pPr>
            <w:r w:rsidRPr="0084290D">
              <w:rPr>
                <w:rFonts w:ascii="Times New Roman" w:hAnsi="Times New Roman"/>
              </w:rPr>
              <w:t>2 918 358,21</w:t>
            </w:r>
          </w:p>
        </w:tc>
      </w:tr>
      <w:tr>
        <w:tblPrEx>
          <w:tblW w:w="8780" w:type="dxa"/>
          <w:tblInd w:w="55" w:type="dxa"/>
          <w:tblCellMar>
            <w:left w:w="70" w:type="dxa"/>
            <w:right w:w="70" w:type="dxa"/>
          </w:tblCellMar>
          <w:tblLook w:val="04A0"/>
        </w:tblPrEx>
        <w:trPr>
          <w:trHeight w:val="300"/>
        </w:trPr>
        <w:tc>
          <w:tcPr>
            <w:tcW w:w="2960" w:type="dxa"/>
            <w:tcBorders>
              <w:top w:val="nil"/>
              <w:left w:val="single" w:sz="4" w:space="0" w:color="auto"/>
              <w:bottom w:val="single" w:sz="4" w:space="0" w:color="auto"/>
              <w:right w:val="single" w:sz="4" w:space="0" w:color="auto"/>
            </w:tcBorders>
            <w:noWrap/>
            <w:textDirection w:val="lrTb"/>
            <w:vAlign w:val="bottom"/>
            <w:hideMark/>
          </w:tcPr>
          <w:p w:rsidR="00301E00" w:rsidRPr="0084290D" w:rsidP="000B0AB8">
            <w:pPr>
              <w:bidi w:val="0"/>
              <w:jc w:val="left"/>
              <w:rPr>
                <w:rFonts w:ascii="Times New Roman" w:hAnsi="Times New Roman"/>
              </w:rPr>
            </w:pPr>
            <w:r w:rsidRPr="0084290D">
              <w:rPr>
                <w:rFonts w:ascii="Times New Roman" w:hAnsi="Times New Roman"/>
              </w:rPr>
              <w:t>spolu</w:t>
            </w:r>
          </w:p>
        </w:tc>
        <w:tc>
          <w:tcPr>
            <w:tcW w:w="166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b/>
                <w:bCs/>
              </w:rPr>
            </w:pPr>
            <w:r w:rsidRPr="0084290D">
              <w:rPr>
                <w:rFonts w:ascii="Times New Roman" w:hAnsi="Times New Roman"/>
                <w:b/>
                <w:bCs/>
              </w:rPr>
              <w:t>19 277 605,62</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b/>
                <w:bCs/>
              </w:rPr>
            </w:pPr>
            <w:r w:rsidRPr="0084290D">
              <w:rPr>
                <w:rFonts w:ascii="Times New Roman" w:hAnsi="Times New Roman"/>
                <w:b/>
                <w:bCs/>
              </w:rPr>
              <w:t>36 647 317,43</w:t>
            </w:r>
          </w:p>
        </w:tc>
        <w:tc>
          <w:tcPr>
            <w:tcW w:w="2080" w:type="dxa"/>
            <w:tcBorders>
              <w:top w:val="nil"/>
              <w:left w:val="nil"/>
              <w:bottom w:val="single" w:sz="4" w:space="0" w:color="auto"/>
              <w:right w:val="single" w:sz="4" w:space="0" w:color="auto"/>
            </w:tcBorders>
            <w:noWrap/>
            <w:textDirection w:val="lrTb"/>
            <w:vAlign w:val="bottom"/>
            <w:hideMark/>
          </w:tcPr>
          <w:p w:rsidR="00301E00" w:rsidRPr="0084290D" w:rsidP="000B0AB8">
            <w:pPr>
              <w:bidi w:val="0"/>
              <w:jc w:val="right"/>
              <w:rPr>
                <w:rFonts w:ascii="Times New Roman" w:hAnsi="Times New Roman"/>
                <w:b/>
                <w:bCs/>
              </w:rPr>
            </w:pPr>
            <w:r w:rsidRPr="0084290D">
              <w:rPr>
                <w:rFonts w:ascii="Times New Roman" w:hAnsi="Times New Roman"/>
                <w:b/>
                <w:bCs/>
              </w:rPr>
              <w:t>37 938 656,68</w:t>
            </w:r>
          </w:p>
        </w:tc>
      </w:tr>
    </w:tbl>
    <w:p w:rsidR="00E465F3" w:rsidRPr="0084290D" w:rsidP="000B0AB8">
      <w:pPr>
        <w:bidi w:val="0"/>
        <w:rPr>
          <w:rFonts w:ascii="Times New Roman" w:hAnsi="Times New Roman"/>
        </w:rPr>
      </w:pPr>
    </w:p>
    <w:p w:rsidR="00E465F3" w:rsidRPr="0084290D" w:rsidP="000B0AB8">
      <w:pPr>
        <w:bidi w:val="0"/>
        <w:jc w:val="center"/>
        <w:rPr>
          <w:rFonts w:ascii="Times New Roman" w:hAnsi="Times New Roman"/>
          <w:b/>
          <w:bCs/>
        </w:rPr>
      </w:pPr>
      <w:r w:rsidRPr="0084290D">
        <w:rPr>
          <w:rFonts w:ascii="Times New Roman" w:hAnsi="Times New Roman"/>
        </w:rPr>
        <w:br w:type="page"/>
      </w:r>
      <w:r w:rsidRPr="0084290D">
        <w:rPr>
          <w:rFonts w:ascii="Times New Roman" w:hAnsi="Times New Roman"/>
          <w:b/>
          <w:bCs/>
        </w:rPr>
        <w:t>Vplyvy na podnikateľské prostredie</w:t>
      </w:r>
    </w:p>
    <w:p w:rsidR="00E465F3" w:rsidRPr="0084290D" w:rsidP="000B0AB8">
      <w:pPr>
        <w:bidi w:val="0"/>
        <w:rPr>
          <w:rFonts w:ascii="Times New Roman" w:hAnsi="Times New Roman"/>
          <w:b/>
          <w:bCs/>
        </w:rPr>
      </w:pPr>
    </w:p>
    <w:p w:rsidR="00E465F3" w:rsidRPr="0084290D" w:rsidP="000B0AB8">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E465F3" w:rsidRPr="0084290D" w:rsidP="000B0AB8">
            <w:pPr>
              <w:bidi w:val="0"/>
              <w:jc w:val="center"/>
              <w:rPr>
                <w:rFonts w:ascii="Times New Roman" w:hAnsi="Times New Roman"/>
                <w:b/>
                <w:bCs/>
              </w:rPr>
            </w:pPr>
            <w:r w:rsidRPr="0084290D">
              <w:rPr>
                <w:rFonts w:ascii="Times New Roman" w:hAnsi="Times New Roman"/>
                <w:b/>
                <w:bCs/>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465F3" w:rsidRPr="0084290D" w:rsidP="000B0AB8">
            <w:pPr>
              <w:bidi w:val="0"/>
              <w:rPr>
                <w:rFonts w:ascii="Times New Roman" w:hAnsi="Times New Roman"/>
              </w:rPr>
            </w:pPr>
          </w:p>
          <w:p w:rsidR="00E465F3" w:rsidRPr="0084290D" w:rsidP="000B0AB8">
            <w:pPr>
              <w:bidi w:val="0"/>
              <w:rPr>
                <w:rFonts w:ascii="Times New Roman" w:hAnsi="Times New Roman"/>
              </w:rPr>
            </w:pPr>
            <w:r w:rsidRPr="0084290D">
              <w:rPr>
                <w:rFonts w:ascii="Times New Roman" w:hAnsi="Times New Roman"/>
                <w:b/>
              </w:rPr>
              <w:t>3.1</w:t>
            </w:r>
            <w:r w:rsidRPr="0084290D">
              <w:rPr>
                <w:rFonts w:ascii="Times New Roman" w:hAnsi="Times New Roman"/>
              </w:rPr>
              <w:t>. Ktoré podnikateľské subjekty budú predkladaným návrhom ovplyvnené a aký je ich počet?</w:t>
            </w:r>
          </w:p>
          <w:p w:rsidR="00E465F3" w:rsidRPr="0084290D" w:rsidP="000B0AB8">
            <w:pPr>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E32079" w:rsidRPr="0084290D" w:rsidP="000B0AB8">
            <w:pPr>
              <w:bidi w:val="0"/>
              <w:rPr>
                <w:rFonts w:ascii="Times New Roman" w:hAnsi="Times New Roman"/>
                <w:u w:val="single"/>
              </w:rPr>
            </w:pPr>
            <w:r w:rsidRPr="0084290D">
              <w:rPr>
                <w:rFonts w:ascii="Times New Roman" w:hAnsi="Times New Roman"/>
                <w:u w:val="single"/>
              </w:rPr>
              <w:t>Cezhraničná zdravotná starostlivosť</w:t>
            </w:r>
          </w:p>
          <w:p w:rsidR="00E32079" w:rsidRPr="0084290D" w:rsidP="000B0AB8">
            <w:pPr>
              <w:bidi w:val="0"/>
              <w:rPr>
                <w:rFonts w:ascii="Times New Roman" w:hAnsi="Times New Roman"/>
              </w:rPr>
            </w:pPr>
            <w:r w:rsidRPr="0084290D">
              <w:rPr>
                <w:rFonts w:ascii="Times New Roman" w:hAnsi="Times New Roman"/>
              </w:rPr>
              <w:t>Poskytovatelia zdravotnej starostlivosti (13 000)</w:t>
            </w:r>
          </w:p>
          <w:p w:rsidR="00E32079" w:rsidRPr="0084290D" w:rsidP="000B0AB8">
            <w:pPr>
              <w:bidi w:val="0"/>
              <w:rPr>
                <w:rFonts w:ascii="Times New Roman" w:hAnsi="Times New Roman"/>
              </w:rPr>
            </w:pPr>
            <w:r w:rsidRPr="0084290D">
              <w:rPr>
                <w:rFonts w:ascii="Times New Roman" w:hAnsi="Times New Roman"/>
              </w:rPr>
              <w:t>Zdravotné poisťovne zabezpečujúce nákup a úhradu zdravotnej starostlivosti (3)</w:t>
            </w:r>
          </w:p>
          <w:p w:rsidR="00E32079" w:rsidRPr="0084290D" w:rsidP="000B0AB8">
            <w:pPr>
              <w:bidi w:val="0"/>
              <w:rPr>
                <w:rFonts w:ascii="Times New Roman" w:hAnsi="Times New Roman"/>
              </w:rPr>
            </w:pPr>
          </w:p>
          <w:p w:rsidR="00E32079" w:rsidRPr="0084290D" w:rsidP="000B0AB8">
            <w:pPr>
              <w:bidi w:val="0"/>
              <w:rPr>
                <w:rFonts w:ascii="Times New Roman" w:hAnsi="Times New Roman"/>
                <w:u w:val="single"/>
              </w:rPr>
            </w:pPr>
            <w:r w:rsidRPr="0084290D">
              <w:rPr>
                <w:rFonts w:ascii="Times New Roman" w:hAnsi="Times New Roman"/>
                <w:u w:val="single"/>
              </w:rPr>
              <w:t>Platy</w:t>
            </w:r>
          </w:p>
          <w:p w:rsidR="00E465F3" w:rsidRPr="0084290D" w:rsidP="000B0AB8">
            <w:pPr>
              <w:bidi w:val="0"/>
              <w:rPr>
                <w:rFonts w:ascii="Times New Roman" w:hAnsi="Times New Roman"/>
              </w:rPr>
            </w:pPr>
            <w:r w:rsidRPr="0084290D">
              <w:rPr>
                <w:rFonts w:ascii="Times New Roman" w:hAnsi="Times New Roman"/>
              </w:rPr>
              <w:t>Poskytovatelia ústavnej zdravotnej starostlivosti, u ktorých  lekári vykonávajú svoje povolanie v pracovnom pomere.</w:t>
            </w:r>
          </w:p>
          <w:p w:rsidR="00E465F3" w:rsidRPr="0084290D" w:rsidP="000B0AB8">
            <w:pPr>
              <w:bidi w:val="0"/>
              <w:rPr>
                <w:rFonts w:ascii="Times New Roman" w:hAnsi="Times New Roman"/>
              </w:rPr>
            </w:pPr>
            <w:r w:rsidRPr="0084290D">
              <w:rPr>
                <w:rFonts w:ascii="Times New Roman" w:hAnsi="Times New Roman"/>
              </w:rPr>
              <w:t>Počet – tabuľka</w:t>
            </w:r>
          </w:p>
          <w:p w:rsidR="00E465F3" w:rsidRPr="0084290D" w:rsidP="000B0AB8">
            <w:pPr>
              <w:bidi w:val="0"/>
              <w:rPr>
                <w:rFonts w:ascii="Times New Roman" w:hAnsi="Times New Roman"/>
              </w:rPr>
            </w:pPr>
            <w:r w:rsidRPr="0084290D">
              <w:rPr>
                <w:rFonts w:ascii="Times New Roman" w:hAnsi="Times New Roman"/>
              </w:rPr>
              <w:t xml:space="preserve">Zdravotné poisťovne zabezpečujúce nákup a úhradu zdravotnej starostlivosti.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465F3" w:rsidRPr="0084290D" w:rsidP="000B0AB8">
            <w:pPr>
              <w:bidi w:val="0"/>
              <w:rPr>
                <w:rFonts w:ascii="Times New Roman" w:hAnsi="Times New Roman"/>
              </w:rPr>
            </w:pPr>
            <w:r w:rsidRPr="0084290D">
              <w:rPr>
                <w:rFonts w:ascii="Times New Roman" w:hAnsi="Times New Roman"/>
                <w:b/>
              </w:rPr>
              <w:t>3.2</w:t>
            </w:r>
            <w:r w:rsidRPr="0084290D">
              <w:rPr>
                <w:rFonts w:ascii="Times New Roman" w:hAnsi="Times New Roman"/>
              </w:rPr>
              <w:t>. Aký je predpokladaný charakter a rozsah nákladov a prínosov?</w:t>
            </w:r>
          </w:p>
          <w:p w:rsidR="00E465F3" w:rsidRPr="0084290D" w:rsidP="000B0AB8">
            <w:pPr>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E32079" w:rsidRPr="0084290D" w:rsidP="000B0AB8">
            <w:pPr>
              <w:bidi w:val="0"/>
              <w:rPr>
                <w:rFonts w:ascii="Times New Roman" w:hAnsi="Times New Roman"/>
                <w:u w:val="single"/>
                <w:lang w:val="pt-BR"/>
              </w:rPr>
            </w:pPr>
            <w:r w:rsidRPr="0084290D">
              <w:rPr>
                <w:rFonts w:ascii="Times New Roman" w:hAnsi="Times New Roman"/>
                <w:u w:val="single"/>
                <w:lang w:val="pt-BR"/>
              </w:rPr>
              <w:t>Cezhraničná zdravotná starostlivosť</w:t>
            </w:r>
          </w:p>
          <w:p w:rsidR="00E32079" w:rsidRPr="0084290D" w:rsidP="00E32079">
            <w:pPr>
              <w:bidi w:val="0"/>
              <w:rPr>
                <w:rFonts w:ascii="Times New Roman" w:hAnsi="Times New Roman"/>
              </w:rPr>
            </w:pPr>
            <w:r w:rsidRPr="0084290D">
              <w:rPr>
                <w:rFonts w:ascii="Times New Roman" w:hAnsi="Times New Roman"/>
              </w:rPr>
              <w:t xml:space="preserve">Dopad na rozpočet </w:t>
            </w:r>
            <w:r w:rsidR="00D6203E">
              <w:rPr>
                <w:rFonts w:ascii="Times New Roman" w:hAnsi="Times New Roman"/>
              </w:rPr>
              <w:t xml:space="preserve">verejného </w:t>
            </w:r>
            <w:r w:rsidRPr="0084290D">
              <w:rPr>
                <w:rFonts w:ascii="Times New Roman" w:hAnsi="Times New Roman"/>
              </w:rPr>
              <w:t>zdravotn</w:t>
            </w:r>
            <w:r w:rsidR="00D6203E">
              <w:rPr>
                <w:rFonts w:ascii="Times New Roman" w:hAnsi="Times New Roman"/>
              </w:rPr>
              <w:t>ého</w:t>
            </w:r>
            <w:r w:rsidRPr="0084290D">
              <w:rPr>
                <w:rFonts w:ascii="Times New Roman" w:hAnsi="Times New Roman"/>
              </w:rPr>
              <w:t xml:space="preserve"> pois</w:t>
            </w:r>
            <w:r w:rsidR="00D6203E">
              <w:rPr>
                <w:rFonts w:ascii="Times New Roman" w:hAnsi="Times New Roman"/>
              </w:rPr>
              <w:t>tenia</w:t>
            </w:r>
            <w:r w:rsidRPr="0084290D">
              <w:rPr>
                <w:rFonts w:ascii="Times New Roman" w:hAnsi="Times New Roman"/>
              </w:rPr>
              <w:t xml:space="preserve"> bude negatívny, nakoľko je reálny predpoklad, že cezhraničnú zdravotnú starostlivosť budú využívať predovšetkým osoby, ktoré by na poskytnutie zdravotnej starostlivosti v SR museli čakať z kapacitných dôvodov. Úhrady zazmluvnenej kapacity budú musieť byť zo strany zdravotných poisťovní navýšené o úhradu poskytnutej zdravotnej starostlivosti</w:t>
            </w:r>
            <w:r w:rsidRPr="0084290D" w:rsidR="00ED73B7">
              <w:rPr>
                <w:rFonts w:ascii="Times New Roman" w:hAnsi="Times New Roman"/>
              </w:rPr>
              <w:t xml:space="preserve"> v zahraničí</w:t>
            </w:r>
            <w:r w:rsidRPr="0084290D">
              <w:rPr>
                <w:rFonts w:ascii="Times New Roman" w:hAnsi="Times New Roman"/>
              </w:rPr>
              <w:t>. Toto navýšenie výdavkov budú zdravotné poisťovne zabezpečovať z vlastných zdrojov.</w:t>
            </w:r>
          </w:p>
          <w:p w:rsidR="00E32079" w:rsidRPr="0084290D" w:rsidP="000B0AB8">
            <w:pPr>
              <w:bidi w:val="0"/>
              <w:rPr>
                <w:rFonts w:ascii="Times New Roman" w:hAnsi="Times New Roman"/>
                <w:lang w:val="pt-BR"/>
              </w:rPr>
            </w:pPr>
          </w:p>
          <w:p w:rsidR="00E32079" w:rsidRPr="0084290D" w:rsidP="000B0AB8">
            <w:pPr>
              <w:bidi w:val="0"/>
              <w:rPr>
                <w:rFonts w:ascii="Times New Roman" w:hAnsi="Times New Roman"/>
                <w:u w:val="single"/>
                <w:lang w:val="pt-BR"/>
              </w:rPr>
            </w:pPr>
            <w:r w:rsidRPr="0084290D">
              <w:rPr>
                <w:rFonts w:ascii="Times New Roman" w:hAnsi="Times New Roman"/>
                <w:u w:val="single"/>
                <w:lang w:val="pt-BR"/>
              </w:rPr>
              <w:t>Platy</w:t>
            </w:r>
          </w:p>
          <w:p w:rsidR="00E465F3" w:rsidRPr="0084290D" w:rsidP="000B0AB8">
            <w:pPr>
              <w:bidi w:val="0"/>
              <w:rPr>
                <w:rFonts w:ascii="Times New Roman" w:hAnsi="Times New Roman"/>
                <w:lang w:val="pt-BR"/>
              </w:rPr>
            </w:pPr>
            <w:r w:rsidRPr="0084290D">
              <w:rPr>
                <w:rFonts w:ascii="Times New Roman" w:hAnsi="Times New Roman"/>
                <w:lang w:val="pt-BR"/>
              </w:rPr>
              <w:t xml:space="preserve">Zvýšenie miezd a ceny práce v povolaní lekár. Zvýšenie záujmu o výkon zdravotníckeho povolania, zvýšenie zamestnanosti, zlepšenie personálneho obsadenia zdravotníckych zariadení a tým aj zlepšenie kvality poskytovanej zdravotnej starostlivosti. Stabilizácia lekárov a tým aj efektívne využívanie prostriedkov investovaných zamestnávateľmi na ich ďalšie a sústavné vzdelávanie. </w:t>
            </w:r>
          </w:p>
          <w:p w:rsidR="00E465F3" w:rsidRPr="0084290D" w:rsidP="000B0AB8">
            <w:pPr>
              <w:bidi w:val="0"/>
              <w:rPr>
                <w:rFonts w:ascii="Times New Roman" w:hAnsi="Times New Roman"/>
                <w:lang w:val="pt-BR"/>
              </w:rPr>
            </w:pPr>
            <w:r w:rsidRPr="0084290D">
              <w:rPr>
                <w:rFonts w:ascii="Times New Roman" w:hAnsi="Times New Roman"/>
                <w:lang w:val="pt-BR"/>
              </w:rPr>
              <w:t xml:space="preserve">S ohľadom na skutočnosť, že v ústavných zdravotníckych zariadeniach spolu s lekármi poskytujú zdravotnú starostlivosť a zabezpečujú poskytovanie zdravotnej starostlivosti  ďalší zdravotnícki  pracovníci (zdravotnícke povolania podľa osobitného predpisu)  a nezdravotnícki pracovníci s porovnateľným vzdelaním (odbornou spôsobilosťou podľa osobitného predpisu), ktorí vykonávajú práce s porovnateľnou mierou zložitosti, zodpovednosti a namáhavosti, a to v rovnakých alebo porovnateľných pracovných podmienkach a pri dosahovaní rovnakej alebo porovnateľnej výkonnosti a výsledkov práce, mzda lekárov bude východiskom pre odmeňovanie ostatných pracovníkov zdravotníckych zariadení (právo na rovnaké zaobchádzanie, odmeňovanie, nediskrimináciu, právo na rovnakú mzdu za rovnakú prácu alebo za prácu rovnakej hodnoty). </w:t>
            </w:r>
          </w:p>
          <w:p w:rsidR="00E465F3" w:rsidRPr="0084290D" w:rsidP="000B0AB8">
            <w:pPr>
              <w:bidi w:val="0"/>
              <w:rPr>
                <w:rFonts w:ascii="Times New Roman" w:hAnsi="Times New Roman"/>
                <w:lang w:val="pt-BR"/>
              </w:rPr>
            </w:pPr>
            <w:r w:rsidRPr="0084290D">
              <w:rPr>
                <w:rFonts w:ascii="Times New Roman" w:hAnsi="Times New Roman"/>
                <w:lang w:val="pt-BR"/>
              </w:rPr>
              <w:t>Zlepšenie odmeňovania ostatných zdravotníckych a nezdravotníckych pracovníkov v zdravotníckych zariadeniach, čo sa prejaví na zvýšení a stabilizácii zamestnanosti, znížení nadčasovej práce, kvalite poskytovanej zdravotnej starostlivosti a spokojnosti pacientov, ako aj v efektívnejšom využívaní prostriedkov investovaných zamestnávateľmi do vzdelávania svojich zamestnancov.</w:t>
            </w:r>
          </w:p>
          <w:p w:rsidR="00E465F3" w:rsidRPr="0084290D" w:rsidP="000B0AB8">
            <w:pPr>
              <w:bidi w:val="0"/>
              <w:rPr>
                <w:rFonts w:ascii="Times New Roman" w:hAnsi="Times New Roman"/>
                <w:lang w:val="pt-BR"/>
              </w:rPr>
            </w:pPr>
            <w:r w:rsidRPr="0084290D">
              <w:rPr>
                <w:rFonts w:ascii="Times New Roman" w:hAnsi="Times New Roman"/>
                <w:lang w:val="pt-BR"/>
              </w:rPr>
              <w:t xml:space="preserve">Zvýšenie požiadviek na objem zdrojov zdravotného poistenia. (Zvýšenie zamestnanosti, zvýšenie ceny práce a tým aj ceny výkonov.)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465F3" w:rsidRPr="0084290D" w:rsidP="000B0AB8">
            <w:pPr>
              <w:bidi w:val="0"/>
              <w:rPr>
                <w:rFonts w:ascii="Times New Roman" w:hAnsi="Times New Roman"/>
              </w:rPr>
            </w:pPr>
          </w:p>
          <w:p w:rsidR="00E465F3" w:rsidRPr="0084290D" w:rsidP="000B0AB8">
            <w:pPr>
              <w:bidi w:val="0"/>
              <w:rPr>
                <w:rFonts w:ascii="Times New Roman" w:hAnsi="Times New Roman"/>
              </w:rPr>
            </w:pPr>
            <w:r w:rsidRPr="0084290D">
              <w:rPr>
                <w:rFonts w:ascii="Times New Roman" w:hAnsi="Times New Roman"/>
                <w:b/>
              </w:rPr>
              <w:t>3.3</w:t>
            </w:r>
            <w:r w:rsidRPr="0084290D">
              <w:rPr>
                <w:rFonts w:ascii="Times New Roman" w:hAnsi="Times New Roman"/>
              </w:rPr>
              <w:t>. Aká je predpokladaná výška administratívnych nákladov, ktoré podniky vynaložia v súvislosti s implementáciou návrhu?</w:t>
            </w:r>
          </w:p>
          <w:p w:rsidR="00E465F3" w:rsidRPr="0084290D" w:rsidP="000B0AB8">
            <w:pPr>
              <w:bidi w:val="0"/>
              <w:ind w:left="360" w:hanging="36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E465F3" w:rsidRPr="0084290D" w:rsidP="000B0AB8">
            <w:pPr>
              <w:bidi w:val="0"/>
              <w:rPr>
                <w:rFonts w:ascii="Times New Roman" w:hAnsi="Times New Roman"/>
              </w:rPr>
            </w:pPr>
            <w:r w:rsidRPr="0084290D">
              <w:rPr>
                <w:rFonts w:ascii="Times New Roman" w:hAnsi="Times New Roman"/>
              </w:rPr>
              <w:t> Vytvorenie dostatočného objemu zdrojov na zabezpečenie odmeňovania zamestnancov zdravotníckych zariadení.</w:t>
            </w:r>
          </w:p>
          <w:p w:rsidR="00E465F3" w:rsidRPr="0084290D" w:rsidP="000B0AB8">
            <w:pPr>
              <w:bidi w:val="0"/>
              <w:rPr>
                <w:rFonts w:ascii="Times New Roman" w:hAnsi="Times New Roman"/>
              </w:rPr>
            </w:pPr>
            <w:r w:rsidRPr="0084290D">
              <w:rPr>
                <w:rFonts w:ascii="Times New Roman" w:hAnsi="Times New Roman"/>
              </w:rPr>
              <w:t xml:space="preserve"> Zosúladenie odmeňovania zamestnancov s platnou právnou úpravou.</w:t>
            </w:r>
          </w:p>
          <w:p w:rsidR="003B27E6" w:rsidRPr="0084290D" w:rsidP="000B0AB8">
            <w:pPr>
              <w:bidi w:val="0"/>
              <w:rPr>
                <w:rFonts w:ascii="Times New Roman" w:hAnsi="Times New Roman"/>
              </w:rPr>
            </w:pPr>
            <w:r w:rsidRPr="0084290D" w:rsidR="00E465F3">
              <w:rPr>
                <w:rFonts w:ascii="Times New Roman" w:hAnsi="Times New Roman"/>
              </w:rPr>
              <w:t>Zabezpečenie zmien súvisiacich so zmenou programov (informačných systémov) používaných na zabezpečovanie personálnej a mzdovej agendy.</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E465F3" w:rsidRPr="0084290D" w:rsidP="000B0AB8">
            <w:pPr>
              <w:bidi w:val="0"/>
              <w:rPr>
                <w:rFonts w:ascii="Times New Roman" w:hAnsi="Times New Roman"/>
              </w:rPr>
            </w:pPr>
          </w:p>
          <w:p w:rsidR="00E465F3" w:rsidRPr="0084290D" w:rsidP="000B0AB8">
            <w:pPr>
              <w:bidi w:val="0"/>
              <w:rPr>
                <w:rFonts w:ascii="Times New Roman" w:hAnsi="Times New Roman"/>
              </w:rPr>
            </w:pPr>
            <w:r w:rsidRPr="0084290D">
              <w:rPr>
                <w:rFonts w:ascii="Times New Roman" w:hAnsi="Times New Roman"/>
                <w:b/>
              </w:rPr>
              <w:t>3.4</w:t>
            </w:r>
            <w:r w:rsidRPr="0084290D">
              <w:rPr>
                <w:rFonts w:ascii="Times New Roman" w:hAnsi="Times New Roman"/>
              </w:rPr>
              <w:t>. Aké sú dôsledky pripravovaného návrhu pre fungovanie podnikateľských subjektov na slovenskom trhu (ako sa zmenia operácie na trhu?)</w:t>
            </w:r>
          </w:p>
          <w:p w:rsidR="00E465F3" w:rsidRPr="0084290D" w:rsidP="000B0AB8">
            <w:pPr>
              <w:bidi w:val="0"/>
              <w:ind w:left="36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E465F3" w:rsidRPr="0084290D" w:rsidP="000B0AB8">
            <w:pPr>
              <w:bidi w:val="0"/>
              <w:rPr>
                <w:rFonts w:ascii="Times New Roman" w:hAnsi="Times New Roman"/>
              </w:rPr>
            </w:pPr>
            <w:r w:rsidRPr="0084290D">
              <w:rPr>
                <w:rFonts w:ascii="Times New Roman" w:hAnsi="Times New Roman"/>
              </w:rPr>
              <w:t xml:space="preserve"> Stabilizácia zdravotníckych pracovníkov a zníženie ich migrácie.  </w:t>
            </w:r>
          </w:p>
          <w:p w:rsidR="00E465F3" w:rsidRPr="0084290D" w:rsidP="000B0AB8">
            <w:pPr>
              <w:bidi w:val="0"/>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465F3" w:rsidRPr="0084290D" w:rsidP="000B0AB8">
            <w:pPr>
              <w:bidi w:val="0"/>
              <w:rPr>
                <w:rFonts w:ascii="Times New Roman" w:hAnsi="Times New Roman"/>
              </w:rPr>
            </w:pPr>
          </w:p>
          <w:p w:rsidR="00E465F3" w:rsidRPr="0084290D" w:rsidP="000B0AB8">
            <w:pPr>
              <w:bidi w:val="0"/>
              <w:rPr>
                <w:rFonts w:ascii="Times New Roman" w:hAnsi="Times New Roman"/>
              </w:rPr>
            </w:pPr>
            <w:r w:rsidRPr="0084290D">
              <w:rPr>
                <w:rFonts w:ascii="Times New Roman" w:hAnsi="Times New Roman"/>
                <w:b/>
              </w:rPr>
              <w:t>3.5</w:t>
            </w:r>
            <w:r w:rsidRPr="0084290D">
              <w:rPr>
                <w:rFonts w:ascii="Times New Roman" w:hAnsi="Times New Roman"/>
              </w:rPr>
              <w:t>. Aké sú predpokladané spoločensko – ekonomické dôsledky pripravovaných regulácií?</w:t>
            </w:r>
          </w:p>
          <w:p w:rsidR="00E465F3" w:rsidRPr="0084290D" w:rsidP="000B0AB8">
            <w:pPr>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E32079" w:rsidRPr="0084290D" w:rsidP="000B0AB8">
            <w:pPr>
              <w:bidi w:val="0"/>
              <w:rPr>
                <w:rFonts w:ascii="Times New Roman" w:hAnsi="Times New Roman"/>
              </w:rPr>
            </w:pPr>
            <w:r w:rsidRPr="0084290D" w:rsidR="00E465F3">
              <w:rPr>
                <w:rFonts w:ascii="Times New Roman" w:hAnsi="Times New Roman"/>
              </w:rPr>
              <w:t>Zlepšenie dostupnosti a kva</w:t>
            </w:r>
            <w:r w:rsidRPr="0084290D" w:rsidR="000B0AB8">
              <w:rPr>
                <w:rFonts w:ascii="Times New Roman" w:hAnsi="Times New Roman"/>
              </w:rPr>
              <w:t xml:space="preserve">lity zdravotnej starostlivosti. </w:t>
            </w:r>
          </w:p>
          <w:p w:rsidR="00E465F3" w:rsidRPr="0084290D" w:rsidP="000B0AB8">
            <w:pPr>
              <w:bidi w:val="0"/>
              <w:rPr>
                <w:rFonts w:ascii="Times New Roman" w:hAnsi="Times New Roman"/>
              </w:rPr>
            </w:pPr>
            <w:r w:rsidRPr="0084290D">
              <w:rPr>
                <w:rFonts w:ascii="Times New Roman" w:hAnsi="Times New Roman"/>
              </w:rPr>
              <w:t>Zvýšenie spokojnosti zdravotníckych pracovníkov a pacientov. Efektívnejšie zhodnotenie prostriedkov, ktoré štát a zamestnávatelia investovali do výchovy a vzdelávania zdravotníckych pracovníkov.</w:t>
            </w:r>
          </w:p>
        </w:tc>
      </w:tr>
    </w:tbl>
    <w:p w:rsidR="00E465F3" w:rsidRPr="0084290D" w:rsidP="000B0AB8">
      <w:pPr>
        <w:pStyle w:val="NormalWeb"/>
        <w:tabs>
          <w:tab w:val="num" w:pos="1080"/>
        </w:tabs>
        <w:bidi w:val="0"/>
        <w:spacing w:before="0" w:beforeAutospacing="0" w:after="0" w:afterAutospacing="0"/>
        <w:jc w:val="both"/>
        <w:rPr>
          <w:rFonts w:ascii="Times New Roman" w:hAnsi="Times New Roman"/>
          <w:bCs/>
        </w:rPr>
      </w:pPr>
    </w:p>
    <w:p w:rsidR="00E465F3" w:rsidRPr="0084290D" w:rsidP="000B0AB8">
      <w:pPr>
        <w:bidi w:val="0"/>
        <w:rPr>
          <w:rFonts w:ascii="Times New Roman" w:hAnsi="Times New Roman"/>
          <w:bCs/>
        </w:rPr>
      </w:pPr>
    </w:p>
    <w:p w:rsidR="00E465F3" w:rsidRPr="0084290D" w:rsidP="000B0AB8">
      <w:pPr>
        <w:bidi w:val="0"/>
        <w:rPr>
          <w:rFonts w:ascii="Times New Roman" w:hAnsi="Times New Roman"/>
        </w:rPr>
      </w:pPr>
      <w:r w:rsidRPr="0084290D">
        <w:rPr>
          <w:rFonts w:ascii="Times New Roman" w:hAnsi="Times New Roman"/>
        </w:rPr>
        <w:t>Počet ústavných zariadení podľa zriaďovateľskej pôsobnosti je k 12. 2. 2013 nasledovný:</w:t>
      </w:r>
    </w:p>
    <w:p w:rsidR="00E465F3" w:rsidRPr="0084290D" w:rsidP="000B0AB8">
      <w:pPr>
        <w:bidi w:val="0"/>
        <w:jc w:val="right"/>
        <w:outlineLvl w:val="0"/>
        <w:rPr>
          <w:rFonts w:ascii="Times New Roman" w:hAnsi="Times New Roman"/>
        </w:rPr>
      </w:pPr>
      <w:r w:rsidRPr="0084290D">
        <w:rPr>
          <w:rFonts w:ascii="Times New Roman" w:hAnsi="Times New Roman"/>
        </w:rPr>
        <w:t xml:space="preserve">Tabuľka č. 6 </w:t>
      </w:r>
    </w:p>
    <w:tbl>
      <w:tblPr>
        <w:tblStyle w:val="TableNormal"/>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993"/>
        <w:gridCol w:w="1275"/>
        <w:gridCol w:w="993"/>
        <w:gridCol w:w="1984"/>
      </w:tblGrid>
      <w:tr>
        <w:tblPrEx>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077" w:type="dxa"/>
            <w:vMerge w:val="restart"/>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jc w:val="center"/>
              <w:rPr>
                <w:rFonts w:ascii="Times New Roman" w:hAnsi="Times New Roman"/>
              </w:rPr>
            </w:pPr>
            <w:r w:rsidRPr="0084290D">
              <w:rPr>
                <w:rFonts w:ascii="Times New Roman" w:hAnsi="Times New Roman"/>
              </w:rPr>
              <w:t>Počet zariadení ústavnej starostlivosti</w:t>
            </w:r>
          </w:p>
        </w:tc>
        <w:tc>
          <w:tcPr>
            <w:tcW w:w="5245" w:type="dxa"/>
            <w:gridSpan w:val="4"/>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jc w:val="center"/>
              <w:rPr>
                <w:rFonts w:ascii="Times New Roman" w:hAnsi="Times New Roman"/>
              </w:rPr>
            </w:pPr>
            <w:r w:rsidRPr="0084290D">
              <w:rPr>
                <w:rFonts w:ascii="Times New Roman" w:hAnsi="Times New Roman"/>
              </w:rPr>
              <w:t>v tom</w:t>
            </w:r>
          </w:p>
        </w:tc>
      </w:tr>
      <w:tr>
        <w:tblPrEx>
          <w:tblW w:w="9322" w:type="dxa"/>
          <w:tblLook w:val="04A0"/>
        </w:tblPrEx>
        <w:tc>
          <w:tcPr>
            <w:tcW w:w="4077" w:type="dxa"/>
            <w:vMerge/>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rPr>
              <w:t>MZ SR</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rPr>
              <w:t>iné rezorty</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rPr>
              <w:t>VÚC</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rPr>
              <w:t>iní zriaďovatelia</w:t>
            </w:r>
          </w:p>
        </w:tc>
      </w:tr>
      <w:tr>
        <w:tblPrEx>
          <w:tblW w:w="9322" w:type="dxa"/>
          <w:tblLook w:val="04A0"/>
        </w:tblPrEx>
        <w:tc>
          <w:tcPr>
            <w:tcW w:w="4077"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jc w:val="center"/>
              <w:rPr>
                <w:rFonts w:ascii="Times New Roman" w:hAnsi="Times New Roman"/>
              </w:rPr>
            </w:pPr>
            <w:r w:rsidRPr="0084290D">
              <w:rPr>
                <w:rFonts w:ascii="Times New Roman" w:hAnsi="Times New Roman"/>
              </w:rPr>
              <w:t>200</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rPr>
              <w:t>67</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rPr>
              <w:t>7</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rPr>
              <w:t>40</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rPr>
              <w:t>86</w:t>
            </w:r>
          </w:p>
        </w:tc>
      </w:tr>
    </w:tbl>
    <w:p w:rsidR="00E465F3" w:rsidRPr="0084290D" w:rsidP="000B0AB8">
      <w:pPr>
        <w:bidi w:val="0"/>
        <w:rPr>
          <w:rFonts w:ascii="Times New Roman" w:hAnsi="Times New Roman"/>
        </w:rPr>
      </w:pPr>
    </w:p>
    <w:p w:rsidR="000B0AB8" w:rsidRPr="0084290D" w:rsidP="000B0AB8">
      <w:pPr>
        <w:bidi w:val="0"/>
        <w:rPr>
          <w:rFonts w:ascii="Times New Roman" w:hAnsi="Times New Roman"/>
          <w:b/>
        </w:rPr>
      </w:pPr>
      <w:r w:rsidRPr="0084290D">
        <w:rPr>
          <w:rFonts w:ascii="Times New Roman" w:hAnsi="Times New Roman"/>
        </w:rPr>
        <w:br w:type="page"/>
      </w:r>
      <w:r w:rsidRPr="0084290D">
        <w:rPr>
          <w:rFonts w:ascii="Times New Roman" w:hAnsi="Times New Roman"/>
          <w:b/>
        </w:rPr>
        <w:t>Sociálne vplyvy -  vplyvy na hospodárenie obyvateľstva, sociálnu exklúziu, rovnosť príležitostí a rodovú rovnosť  a na zamestnanosť</w:t>
      </w:r>
    </w:p>
    <w:p w:rsidR="000B0AB8" w:rsidRPr="0084290D" w:rsidP="000B0AB8">
      <w:pPr>
        <w:bidi w:val="0"/>
        <w:rPr>
          <w:rFonts w:ascii="Times New Roman" w:hAnsi="Times New Roman"/>
          <w:b/>
          <w:bCs/>
        </w:rPr>
      </w:pPr>
    </w:p>
    <w:p w:rsidR="000B0AB8" w:rsidRPr="0084290D" w:rsidP="000B0AB8">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0B0AB8" w:rsidRPr="0084290D" w:rsidP="000B0AB8">
            <w:pPr>
              <w:bidi w:val="0"/>
              <w:jc w:val="center"/>
              <w:rPr>
                <w:rFonts w:ascii="Times New Roman" w:hAnsi="Times New Roman"/>
                <w:b/>
                <w:bCs/>
              </w:rPr>
            </w:pPr>
            <w:r w:rsidRPr="0084290D">
              <w:rPr>
                <w:rFonts w:ascii="Times New Roman" w:hAnsi="Times New Roman"/>
                <w:b/>
                <w:bCs/>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B0AB8" w:rsidRPr="0084290D" w:rsidP="000B0AB8">
            <w:pPr>
              <w:bidi w:val="0"/>
              <w:rPr>
                <w:rFonts w:ascii="Times New Roman" w:hAnsi="Times New Roman"/>
              </w:rPr>
            </w:pPr>
            <w:r w:rsidRPr="0084290D">
              <w:rPr>
                <w:rFonts w:ascii="Times New Roman" w:hAnsi="Times New Roman"/>
                <w:b/>
              </w:rPr>
              <w:t>4.1.</w:t>
            </w:r>
            <w:r w:rsidRPr="0084290D">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0B0AB8" w:rsidRPr="0084290D" w:rsidP="000B0AB8">
            <w:pPr>
              <w:bidi w:val="0"/>
              <w:rPr>
                <w:rFonts w:ascii="Times New Roman" w:hAnsi="Times New Roman"/>
              </w:rPr>
            </w:pPr>
            <w:r w:rsidRPr="0084290D">
              <w:rPr>
                <w:rFonts w:ascii="Times New Roman" w:hAnsi="Times New Roman"/>
              </w:rPr>
              <w:t>Zákon bude mať vplyv na hospodárenie domácnosti.</w:t>
            </w:r>
          </w:p>
          <w:p w:rsidR="000B0AB8" w:rsidRPr="0084290D" w:rsidP="000B0AB8">
            <w:pPr>
              <w:bidi w:val="0"/>
              <w:rPr>
                <w:rFonts w:ascii="Times New Roman" w:hAnsi="Times New Roman"/>
              </w:rPr>
            </w:pPr>
            <w:r w:rsidRPr="0084290D">
              <w:rPr>
                <w:rFonts w:ascii="Times New Roman" w:hAnsi="Times New Roman"/>
              </w:rPr>
              <w:t>Dochádza k zlepšeniu dostupnosti zdravotnej starostlivosti, širšej ponuke a s tým súvisiacou možnosťou výberu najvýhodnejšej zdravotnej starostlivosti.</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0B0AB8" w:rsidRPr="0084290D" w:rsidP="000B0AB8">
            <w:pPr>
              <w:bidi w:val="0"/>
              <w:ind w:firstLine="480" w:firstLineChars="200"/>
              <w:rPr>
                <w:rFonts w:ascii="Times New Roman" w:hAnsi="Times New Roman"/>
              </w:rPr>
            </w:pPr>
            <w:r w:rsidRPr="0084290D">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0B0AB8" w:rsidRPr="0084290D" w:rsidP="00E54B7C">
            <w:pPr>
              <w:bidi w:val="0"/>
              <w:rPr>
                <w:rFonts w:ascii="Times New Roman" w:hAnsi="Times New Roman"/>
              </w:rPr>
            </w:pPr>
            <w:r w:rsidRPr="0084290D">
              <w:rPr>
                <w:rFonts w:ascii="Times New Roman" w:hAnsi="Times New Roman"/>
              </w:rPr>
              <w:t xml:space="preserve">Návrh </w:t>
            </w:r>
            <w:r w:rsidRPr="0084290D" w:rsidR="00E54B7C">
              <w:rPr>
                <w:rFonts w:ascii="Times New Roman" w:hAnsi="Times New Roman"/>
              </w:rPr>
              <w:t>p</w:t>
            </w:r>
            <w:r w:rsidRPr="003B27E6" w:rsidR="00E54B7C">
              <w:rPr>
                <w:rFonts w:ascii="Times New Roman" w:hAnsi="Times New Roman"/>
              </w:rPr>
              <w:t>redpokladá rast príjmov  lekára</w:t>
            </w:r>
            <w:r w:rsidRPr="0084290D" w:rsidR="00E54B7C">
              <w:rPr>
                <w:rFonts w:ascii="Times New Roman" w:hAnsi="Times New Roman" w:cs="Calibri"/>
                <w:sz w:val="20"/>
                <w:szCs w:val="20"/>
              </w:rPr>
              <w:t xml:space="preserve"> </w:t>
            </w:r>
            <w:r w:rsidRPr="0084290D" w:rsidR="00E54B7C">
              <w:rPr>
                <w:rFonts w:ascii="Times New Roman" w:hAnsi="Times New Roman"/>
              </w:rPr>
              <w:t>a zubného lekára [§ 27 ods. 1 písm. a) a b)] pracujúceho v pracovnom pomere na ustanovený týždenný pracovný čas v zariadení ústavnej zdravotnej starostlivosti (§ 7 ods. 4), ktorý získal odbornú spôsobilosť na výkon odborných pracovných činností zo sumy 969,80 euro mesačne na sumu 1005 euro mesačne a lekára a zubného lekára [§ 27 ods. 1 písm. a) a b)] pracujúceho v pracovnom pomere na ustanovený týždenný pracovný čas v zariadení ústavnej zdravotnej starostlivosti (§ 7 ods. 4), ktorý získal odbornú spôsobilosť na výkon špecializovaných pracovných činností zo sumy 1527,60 euro mesačne na sumu 1688,40 euro mesačne.</w:t>
            </w:r>
          </w:p>
          <w:p w:rsidR="00E54B7C" w:rsidRPr="0084290D" w:rsidP="00E54B7C">
            <w:pPr>
              <w:bidi w:val="0"/>
              <w:rPr>
                <w:rFonts w:ascii="Times New Roman" w:hAnsi="Times New Roman"/>
              </w:rPr>
            </w:pPr>
            <w:r w:rsidRPr="0084290D">
              <w:rPr>
                <w:rFonts w:ascii="Times New Roman" w:hAnsi="Times New Roman"/>
              </w:rPr>
              <w:t>Počet viď tabuľka.</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0B0AB8" w:rsidRPr="0084290D" w:rsidP="000B0AB8">
            <w:pPr>
              <w:bidi w:val="0"/>
              <w:ind w:firstLine="720" w:firstLineChars="300"/>
              <w:rPr>
                <w:rFonts w:ascii="Times New Roman" w:hAnsi="Times New Roman"/>
              </w:rPr>
            </w:pPr>
            <w:r w:rsidRPr="0084290D">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0B0AB8" w:rsidRPr="0084290D" w:rsidP="000B0AB8">
            <w:pPr>
              <w:bidi w:val="0"/>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0B0AB8" w:rsidRPr="0084290D" w:rsidP="000B0AB8">
            <w:pPr>
              <w:bidi w:val="0"/>
              <w:ind w:firstLine="720" w:firstLineChars="300"/>
              <w:rPr>
                <w:rFonts w:ascii="Times New Roman" w:hAnsi="Times New Roman"/>
              </w:rPr>
            </w:pPr>
            <w:r w:rsidRPr="0084290D">
              <w:rPr>
                <w:rFonts w:ascii="Times New Roman" w:hAnsi="Times New Roman"/>
              </w:rPr>
              <w:t>- Rast alebo pokles príjmov/výdavkov                  za jednotlivé ovplyvnené  skupiny domácností</w:t>
            </w:r>
          </w:p>
          <w:p w:rsidR="000B0AB8" w:rsidRPr="0084290D" w:rsidP="000B0AB8">
            <w:pPr>
              <w:bidi w:val="0"/>
              <w:ind w:firstLine="720" w:firstLineChars="300"/>
              <w:rPr>
                <w:rFonts w:ascii="Times New Roman" w:hAnsi="Times New Roman"/>
              </w:rPr>
            </w:pPr>
            <w:r w:rsidRPr="0084290D">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0B0AB8" w:rsidRPr="0084290D" w:rsidP="000B0AB8">
            <w:pPr>
              <w:bidi w:val="0"/>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0B0AB8" w:rsidRPr="0084290D" w:rsidP="000B0AB8">
            <w:pPr>
              <w:bidi w:val="0"/>
              <w:ind w:firstLine="720" w:firstLineChars="300"/>
              <w:rPr>
                <w:rFonts w:ascii="Times New Roman" w:hAnsi="Times New Roman"/>
              </w:rPr>
            </w:pPr>
          </w:p>
        </w:tc>
        <w:tc>
          <w:tcPr>
            <w:tcW w:w="0" w:type="auto"/>
            <w:vMerge/>
            <w:tcBorders>
              <w:top w:val="nil"/>
              <w:left w:val="nil"/>
              <w:bottom w:val="single" w:sz="4" w:space="0" w:color="auto"/>
              <w:right w:val="single" w:sz="4" w:space="0" w:color="auto"/>
            </w:tcBorders>
            <w:textDirection w:val="lrTb"/>
            <w:vAlign w:val="center"/>
          </w:tcPr>
          <w:p w:rsidR="000B0AB8" w:rsidRPr="0084290D" w:rsidP="000B0AB8">
            <w:pPr>
              <w:bidi w:val="0"/>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B0AB8" w:rsidRPr="0084290D" w:rsidP="000B0AB8">
            <w:pPr>
              <w:bidi w:val="0"/>
              <w:rPr>
                <w:rFonts w:ascii="Times New Roman" w:hAnsi="Times New Roman"/>
              </w:rPr>
            </w:pPr>
            <w:r w:rsidRPr="0084290D">
              <w:rPr>
                <w:rFonts w:ascii="Times New Roman" w:hAnsi="Times New Roman"/>
                <w:b/>
              </w:rPr>
              <w:t>4.2.</w:t>
            </w:r>
            <w:r w:rsidRPr="0084290D">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0B0AB8" w:rsidRPr="0084290D" w:rsidP="00E32079">
            <w:pPr>
              <w:bidi w:val="0"/>
              <w:rPr>
                <w:rFonts w:ascii="Times New Roman" w:hAnsi="Times New Roman"/>
              </w:rPr>
            </w:pPr>
            <w:r w:rsidRPr="0084290D" w:rsidR="00E32079">
              <w:rPr>
                <w:rFonts w:ascii="Times New Roman" w:hAnsi="Times New Roman"/>
              </w:rPr>
              <w:t>Poistenci sa ľahšie dostanú k zdravotnej starostlivosti v krajinách EÚ, aj bez predchádzajúceho súhlasu a dokonca aj k súkromným poskytovateľom zdravotnej starostlivosti, ktorí nie sú napojený na verejný systém krajiny.</w:t>
            </w:r>
          </w:p>
          <w:p w:rsidR="00B32213" w:rsidRPr="0084290D" w:rsidP="00B32213">
            <w:pPr>
              <w:bidi w:val="0"/>
              <w:rPr>
                <w:rFonts w:ascii="Times New Roman" w:hAnsi="Times New Roman"/>
              </w:rPr>
            </w:pPr>
          </w:p>
          <w:p w:rsidR="00647F9F" w:rsidRPr="0084290D" w:rsidP="00B32213">
            <w:pPr>
              <w:bidi w:val="0"/>
              <w:rPr>
                <w:rFonts w:ascii="Times New Roman" w:hAnsi="Times New Roman"/>
              </w:rPr>
            </w:pPr>
            <w:r w:rsidRPr="0084290D" w:rsidR="002C37BF">
              <w:rPr>
                <w:rFonts w:ascii="Times New Roman" w:hAnsi="Times New Roman" w:cs="Calibri"/>
              </w:rPr>
              <w:t xml:space="preserve">Predpokladá sa pozitívny vplyv navrhovaných ustanovení o minimálnych mzdových nárokoch niektorých zdravotníckych pracovníkov na hospodárenie obyvateľstva - </w:t>
            </w:r>
            <w:r w:rsidRPr="0084290D">
              <w:rPr>
                <w:rFonts w:ascii="Times New Roman" w:hAnsi="Times New Roman" w:cs="Calibri"/>
              </w:rPr>
              <w:t>leká</w:t>
            </w:r>
            <w:r w:rsidRPr="0084290D" w:rsidR="00E54B7C">
              <w:rPr>
                <w:rFonts w:ascii="Times New Roman" w:hAnsi="Times New Roman" w:cs="Calibri"/>
              </w:rPr>
              <w:t xml:space="preserve">ra </w:t>
            </w:r>
            <w:r w:rsidRPr="0084290D">
              <w:rPr>
                <w:rFonts w:ascii="Times New Roman" w:hAnsi="Times New Roman"/>
              </w:rPr>
              <w:t>a zubného lekára [§ 27 ods. 1 písm. a) a b)] pracujúceho v pracovnom pomere na ustanovený týždenný pracovný čas v zariadení ústavnej zdravotnej starostlivosti (§ 7 ods. 4), ktorý získal odbornú spôsobilosť na výkon odborných pracovných činností</w:t>
            </w:r>
            <w:r w:rsidRPr="0084290D" w:rsidR="00E54B7C">
              <w:rPr>
                <w:rFonts w:ascii="Times New Roman" w:hAnsi="Times New Roman"/>
              </w:rPr>
              <w:t xml:space="preserve"> a </w:t>
            </w:r>
            <w:r w:rsidRPr="0084290D">
              <w:rPr>
                <w:rFonts w:ascii="Times New Roman" w:hAnsi="Times New Roman"/>
              </w:rPr>
              <w:t>lekára a zubného lekára [§ 27 ods. 1 písm. a) a b)] pracujúceho v pracovnom pomere na ustanovený týždenný pracovný čas v zariadení ústavnej zdravotnej starostlivosti (§ 7 ods. 4), ktorý získal odbornú spôsobilosť na výkon špecializovaných pracovných činností</w:t>
            </w:r>
            <w:r w:rsidRPr="0084290D" w:rsidR="00E54B7C">
              <w:rPr>
                <w:rFonts w:ascii="Times New Roman" w:hAnsi="Times New Roman"/>
              </w:rPr>
              <w:t>.</w:t>
            </w:r>
          </w:p>
          <w:p w:rsidR="00647F9F" w:rsidRPr="0084290D" w:rsidP="00B32213">
            <w:pPr>
              <w:bidi w:val="0"/>
              <w:rPr>
                <w:rFonts w:ascii="Times New Roman" w:hAnsi="Times New Roman"/>
              </w:rPr>
            </w:pPr>
          </w:p>
          <w:p w:rsidR="00B32213" w:rsidRPr="0084290D" w:rsidP="00B32213">
            <w:pPr>
              <w:bidi w:val="0"/>
              <w:rPr>
                <w:rFonts w:ascii="Times New Roman" w:hAnsi="Times New Roman"/>
              </w:rPr>
            </w:pPr>
            <w:r w:rsidRPr="0084290D">
              <w:rPr>
                <w:rFonts w:ascii="Times New Roman" w:hAnsi="Times New Roman"/>
              </w:rPr>
              <w:t xml:space="preserve">Predpokladajú sa pozitívne sociálne vplyvy návrhu zákona v súvislosti s </w:t>
            </w:r>
          </w:p>
          <w:p w:rsidR="00B32213" w:rsidRPr="0084290D" w:rsidP="00B32213">
            <w:pPr>
              <w:bidi w:val="0"/>
              <w:rPr>
                <w:rFonts w:ascii="Times New Roman" w:hAnsi="Times New Roman"/>
              </w:rPr>
            </w:pPr>
            <w:r w:rsidRPr="0084290D">
              <w:rPr>
                <w:rFonts w:ascii="Times New Roman" w:hAnsi="Times New Roman"/>
              </w:rPr>
              <w:t>- rozšírením prístupu a rozsahu kúpeľnej  starostlivosti uhrádzanej na základe verejného zdravotného poistenia návrhom, ktorým sa dopĺňa indikačný zoznam kúpeľnej starostlivosti pre pacientov  s dg. Dedičná a idiopatická neuropatia; takýto  poistenci môžu absolvovať kúpeľnú liečbu raz ročne v dĺžke 21 dní zo zdrojov verejného zdravotného poistenia</w:t>
            </w:r>
            <w:r w:rsidRPr="0084290D" w:rsidR="00E54B7C">
              <w:rPr>
                <w:rFonts w:ascii="Times New Roman" w:hAnsi="Times New Roman"/>
              </w:rPr>
              <w:t>.</w:t>
            </w:r>
          </w:p>
          <w:p w:rsidR="00E54B7C" w:rsidRPr="0084290D" w:rsidP="00B32213">
            <w:pPr>
              <w:bidi w:val="0"/>
              <w:rPr>
                <w:rFonts w:ascii="Times New Roman" w:hAnsi="Times New Roman"/>
              </w:rPr>
            </w:pPr>
          </w:p>
          <w:p w:rsidR="00E54B7C" w:rsidRPr="0084290D" w:rsidP="00E54B7C">
            <w:pPr>
              <w:bidi w:val="0"/>
              <w:rPr>
                <w:rFonts w:ascii="Times New Roman" w:hAnsi="Times New Roman" w:cs="Calibri"/>
              </w:rPr>
            </w:pPr>
            <w:r w:rsidRPr="0084290D">
              <w:rPr>
                <w:rFonts w:ascii="Times New Roman" w:hAnsi="Times New Roman" w:cs="Calibri"/>
              </w:rPr>
              <w:t>Nepredpokladáme, že sa návrhom zákona posunú lehoty na poskytovanie zdravotnej starostlivosti v Slovenskej republike u poskytovateľov zdravotnej starostlivosti, ktorí sú napojení na verejný systém. Predpokladáme, že sa zvýši príjem súkromných poskytovateľov zdravotnej starostlivosti približne o 1%.</w:t>
            </w:r>
            <w:r w:rsidRPr="0084290D" w:rsidR="00D10DD2">
              <w:rPr>
                <w:rFonts w:ascii="Times New Roman" w:hAnsi="Times New Roman" w:cs="Calibri"/>
              </w:rPr>
              <w:t xml:space="preserve"> Kvantifikovať toto číslo nie je možné vzhľadom na to, že nemáme údaje o všetkých súkromných poskytovateľoch zdravotnej starostlivosti.</w:t>
            </w:r>
          </w:p>
          <w:p w:rsidR="00E54B7C" w:rsidRPr="0084290D" w:rsidP="00E54B7C">
            <w:pPr>
              <w:bidi w:val="0"/>
              <w:rPr>
                <w:rFonts w:ascii="Times New Roman" w:hAnsi="Times New Roman"/>
              </w:rPr>
            </w:pP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B0AB8" w:rsidRPr="0084290D" w:rsidP="000B0AB8">
            <w:pPr>
              <w:bidi w:val="0"/>
              <w:rPr>
                <w:rFonts w:ascii="Times New Roman" w:hAnsi="Times New Roman"/>
              </w:rPr>
            </w:pPr>
          </w:p>
          <w:p w:rsidR="000B0AB8" w:rsidRPr="0084290D" w:rsidP="000B0AB8">
            <w:pPr>
              <w:bidi w:val="0"/>
              <w:rPr>
                <w:rFonts w:ascii="Times New Roman" w:hAnsi="Times New Roman"/>
              </w:rPr>
            </w:pPr>
            <w:r w:rsidRPr="0084290D">
              <w:rPr>
                <w:rFonts w:ascii="Times New Roman" w:hAnsi="Times New Roman"/>
                <w:b/>
              </w:rPr>
              <w:t>4.3.</w:t>
            </w:r>
            <w:r w:rsidRPr="0084290D">
              <w:rPr>
                <w:rFonts w:ascii="Times New Roman" w:hAnsi="Times New Roman"/>
              </w:rPr>
              <w:t xml:space="preserve">  Zhodnoťte vplyv na rovnosť príležitostí:</w:t>
            </w:r>
          </w:p>
          <w:p w:rsidR="000B0AB8" w:rsidRPr="0084290D" w:rsidP="000B0AB8">
            <w:pPr>
              <w:bidi w:val="0"/>
              <w:rPr>
                <w:rFonts w:ascii="Times New Roman" w:hAnsi="Times New Roman"/>
              </w:rPr>
            </w:pPr>
            <w:r w:rsidRPr="0084290D">
              <w:rPr>
                <w:rFonts w:ascii="Times New Roman" w:hAnsi="Times New Roman"/>
              </w:rPr>
              <w:t>Zhodnoťte vplyv na rodovú rovnosť.</w:t>
            </w:r>
          </w:p>
          <w:p w:rsidR="000B0AB8" w:rsidRPr="0084290D" w:rsidP="000B0AB8">
            <w:pPr>
              <w:bidi w:val="0"/>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0B0AB8" w:rsidRPr="0084290D" w:rsidP="000B0AB8">
            <w:pPr>
              <w:bidi w:val="0"/>
              <w:rPr>
                <w:rFonts w:ascii="Times New Roman" w:hAnsi="Times New Roman"/>
              </w:rPr>
            </w:pPr>
            <w:r w:rsidRPr="0084290D">
              <w:rPr>
                <w:rFonts w:ascii="Times New Roman" w:hAnsi="Times New Roman"/>
              </w:rPr>
              <w:t xml:space="preserve"> Bez vplyvu </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B0AB8" w:rsidRPr="0084290D" w:rsidP="000B0AB8">
            <w:pPr>
              <w:bidi w:val="0"/>
              <w:rPr>
                <w:rFonts w:ascii="Times New Roman" w:hAnsi="Times New Roman"/>
              </w:rPr>
            </w:pPr>
            <w:r w:rsidRPr="0084290D">
              <w:rPr>
                <w:rFonts w:ascii="Times New Roman" w:hAnsi="Times New Roman"/>
                <w:b/>
              </w:rPr>
              <w:t xml:space="preserve">4.4. </w:t>
            </w:r>
            <w:r w:rsidRPr="0084290D">
              <w:rPr>
                <w:rFonts w:ascii="Times New Roman" w:hAnsi="Times New Roman"/>
              </w:rPr>
              <w:t>Zhodnoťte vplyvy na zamestnanosť.</w:t>
            </w:r>
          </w:p>
          <w:p w:rsidR="000B0AB8" w:rsidRPr="0084290D" w:rsidP="000B0AB8">
            <w:pPr>
              <w:bidi w:val="0"/>
              <w:rPr>
                <w:rFonts w:ascii="Times New Roman" w:hAnsi="Times New Roman"/>
                <w:b/>
              </w:rPr>
            </w:pPr>
          </w:p>
          <w:p w:rsidR="000B0AB8" w:rsidRPr="0084290D" w:rsidP="000B0AB8">
            <w:pPr>
              <w:bidi w:val="0"/>
              <w:rPr>
                <w:rFonts w:ascii="Times New Roman" w:hAnsi="Times New Roman"/>
                <w:bCs/>
              </w:rPr>
            </w:pPr>
            <w:r w:rsidRPr="0084290D">
              <w:rPr>
                <w:rFonts w:ascii="Times New Roman" w:hAnsi="Times New Roman"/>
                <w:bCs/>
              </w:rPr>
              <w:t>Aké sú  vplyvy na zamestnanosť ?</w:t>
            </w:r>
          </w:p>
          <w:p w:rsidR="000B0AB8" w:rsidRPr="0084290D" w:rsidP="000B0AB8">
            <w:pPr>
              <w:bidi w:val="0"/>
              <w:rPr>
                <w:rFonts w:ascii="Times New Roman" w:hAnsi="Times New Roman"/>
              </w:rPr>
            </w:pPr>
            <w:r w:rsidRPr="0084290D">
              <w:rPr>
                <w:rFonts w:ascii="Times New Roman" w:hAnsi="Times New Roman"/>
                <w:bCs/>
              </w:rPr>
              <w:t>Ktoré skupiny zamestnancov budú ohrozené schválením predkladaného materiálu ?</w:t>
            </w:r>
          </w:p>
          <w:p w:rsidR="000B0AB8" w:rsidRPr="0084290D" w:rsidP="000B0AB8">
            <w:pPr>
              <w:bidi w:val="0"/>
              <w:rPr>
                <w:rFonts w:ascii="Times New Roman" w:hAnsi="Times New Roman"/>
                <w:bCs/>
              </w:rPr>
            </w:pPr>
            <w:r w:rsidRPr="0084290D">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0AB8" w:rsidP="000B0AB8">
            <w:pPr>
              <w:bidi w:val="0"/>
              <w:rPr>
                <w:rFonts w:ascii="Times New Roman" w:hAnsi="Times New Roman"/>
              </w:rPr>
            </w:pPr>
            <w:r w:rsidRPr="0084290D">
              <w:rPr>
                <w:rFonts w:ascii="Times New Roman" w:hAnsi="Times New Roman"/>
              </w:rPr>
              <w:t>Schválením tohto zákona nebudú nijako ohrozené žiadne skupiny obyvateľstva a nepredpokladá sa žiadne hromadné prepúšťanie zamestnancov.</w:t>
            </w:r>
          </w:p>
          <w:p w:rsidR="003B27E6" w:rsidP="000B0AB8">
            <w:pPr>
              <w:bidi w:val="0"/>
              <w:rPr>
                <w:rFonts w:ascii="Times New Roman" w:hAnsi="Times New Roman"/>
              </w:rPr>
            </w:pPr>
          </w:p>
          <w:p w:rsidR="000B0AB8" w:rsidRPr="0084290D" w:rsidP="003B27E6">
            <w:pPr>
              <w:bidi w:val="0"/>
              <w:rPr>
                <w:rFonts w:ascii="Times New Roman" w:hAnsi="Times New Roman"/>
              </w:rPr>
            </w:pPr>
            <w:r w:rsidR="003B27E6">
              <w:rPr>
                <w:rFonts w:ascii="Times New Roman" w:hAnsi="Times New Roman"/>
              </w:rPr>
              <w:t>Predpokladá sa, že zavedením novej činnosti Úradu pre dohľad nad zdravotnou starostlivosťou – Národného kontaktného miesta na zabezpečovanie cezhraničnej zdravotnej starostlivosti sa vytvorí cca 5 pracovných miest.</w:t>
            </w:r>
          </w:p>
        </w:tc>
      </w:tr>
    </w:tbl>
    <w:p w:rsidR="00E465F3" w:rsidRPr="0084290D" w:rsidP="000B0AB8">
      <w:pPr>
        <w:pStyle w:val="NormalWeb"/>
        <w:bidi w:val="0"/>
        <w:spacing w:before="0" w:beforeAutospacing="0" w:after="0" w:afterAutospacing="0"/>
        <w:jc w:val="center"/>
        <w:rPr>
          <w:rFonts w:ascii="Times New Roman" w:hAnsi="Times New Roman"/>
          <w:b/>
          <w:bCs/>
        </w:rPr>
      </w:pPr>
      <w:r w:rsidRPr="0084290D">
        <w:rPr>
          <w:rFonts w:ascii="Times New Roman" w:hAnsi="Times New Roman"/>
        </w:rPr>
        <w:br w:type="page"/>
      </w:r>
      <w:r w:rsidRPr="0084290D">
        <w:rPr>
          <w:rFonts w:ascii="Times New Roman" w:hAnsi="Times New Roman"/>
          <w:b/>
          <w:bCs/>
        </w:rPr>
        <w:t>Vplyvy na informatizáciu spoločnosti</w:t>
      </w:r>
    </w:p>
    <w:p w:rsidR="00E465F3" w:rsidRPr="0084290D" w:rsidP="000B0AB8">
      <w:pPr>
        <w:pStyle w:val="NormalWeb"/>
        <w:bidi w:val="0"/>
        <w:spacing w:before="0" w:beforeAutospacing="0" w:after="0" w:afterAutospacing="0"/>
        <w:jc w:val="both"/>
        <w:rPr>
          <w:rFonts w:ascii="Times New Roman" w:hAnsi="Times New Roman"/>
          <w:bCs/>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465F3" w:rsidRPr="0084290D" w:rsidP="000B0AB8">
            <w:pPr>
              <w:bidi w:val="0"/>
              <w:rPr>
                <w:rFonts w:ascii="Times New Roman" w:hAnsi="Times New Roman"/>
                <w:b/>
              </w:rPr>
            </w:pPr>
            <w:r w:rsidRPr="0084290D">
              <w:rPr>
                <w:rFonts w:ascii="Times New Roman" w:hAnsi="Times New Roman"/>
                <w:b/>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465F3" w:rsidRPr="0084290D" w:rsidP="000B0AB8">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465F3" w:rsidRPr="0084290D" w:rsidP="000B0AB8">
            <w:pPr>
              <w:bidi w:val="0"/>
              <w:rPr>
                <w:rFonts w:ascii="Times New Roman" w:hAnsi="Times New Roman"/>
                <w:b/>
              </w:rPr>
            </w:pPr>
            <w:r w:rsidRPr="0084290D">
              <w:rPr>
                <w:rFonts w:ascii="Times New Roman" w:hAnsi="Times New Roman"/>
                <w:b/>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465F3" w:rsidRPr="0084290D" w:rsidP="000B0AB8">
            <w:pPr>
              <w:bidi w:val="0"/>
              <w:rPr>
                <w:rFonts w:ascii="Times New Roman" w:hAnsi="Times New Roman"/>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6.1.</w:t>
            </w:r>
            <w:r w:rsidRPr="0084290D">
              <w:rPr>
                <w:rFonts w:ascii="Times New Roman" w:hAnsi="Times New Roman"/>
              </w:rPr>
              <w:t xml:space="preserve"> Rozširujú alebo inovujú sa existujúce alebo vytvárajú sa či zavádzajú sa nové elektronické služby?</w:t>
            </w:r>
          </w:p>
          <w:p w:rsidR="00E465F3" w:rsidRPr="0084290D" w:rsidP="000B0AB8">
            <w:pPr>
              <w:bidi w:val="0"/>
              <w:rPr>
                <w:rFonts w:ascii="Times New Roman" w:hAnsi="Times New Roman"/>
              </w:rPr>
            </w:pPr>
            <w:r w:rsidRPr="0084290D">
              <w:rPr>
                <w:rFonts w:ascii="Times New Roman" w:hAnsi="Times New Roman"/>
                <w:i/>
                <w:iCs/>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32213" w:rsidRPr="0084290D" w:rsidP="00B32213">
            <w:pPr>
              <w:bidi w:val="0"/>
              <w:rPr>
                <w:rFonts w:ascii="Times New Roman" w:hAnsi="Times New Roman"/>
              </w:rPr>
            </w:pPr>
            <w:r w:rsidRPr="0084290D">
              <w:rPr>
                <w:rFonts w:ascii="Times New Roman" w:hAnsi="Times New Roman"/>
                <w:b/>
                <w:bCs/>
              </w:rPr>
              <w:t>Áno</w:t>
            </w:r>
          </w:p>
          <w:p w:rsidR="00E465F3" w:rsidRPr="0084290D" w:rsidP="00B32213">
            <w:pPr>
              <w:bidi w:val="0"/>
              <w:rPr>
                <w:rFonts w:ascii="Times New Roman" w:hAnsi="Times New Roman"/>
                <w:iCs/>
              </w:rPr>
            </w:pPr>
            <w:r w:rsidRPr="0084290D" w:rsidR="00B32213">
              <w:rPr>
                <w:rFonts w:ascii="Times New Roman" w:hAnsi="Times New Roman"/>
              </w:rPr>
              <w:t xml:space="preserve">Úrad pre dohľad nad zdravotnou starostlivosťou sprístupňuje informácie o cezhraničnej zdravotnej starostlivosti na webovom sídle, čím </w:t>
            </w:r>
            <w:r w:rsidRPr="0084290D" w:rsidR="00087D75">
              <w:rPr>
                <w:rFonts w:ascii="Times New Roman" w:hAnsi="Times New Roman"/>
              </w:rPr>
              <w:t>sa zavádza nová elektronická služba s úrovňou I. (informatívna úroveň).</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6.2.</w:t>
            </w:r>
            <w:r w:rsidRPr="0084290D">
              <w:rPr>
                <w:rFonts w:ascii="Times New Roman" w:hAnsi="Times New Roman"/>
              </w:rPr>
              <w:t xml:space="preserve"> Vytvárajú sa podmienky pre sémantickú interoperabilitu?</w:t>
            </w:r>
          </w:p>
          <w:p w:rsidR="00E465F3" w:rsidRPr="0084290D" w:rsidP="000B0AB8">
            <w:pPr>
              <w:bidi w:val="0"/>
              <w:rPr>
                <w:rFonts w:ascii="Times New Roman" w:hAnsi="Times New Roman"/>
              </w:rPr>
            </w:pPr>
            <w:r w:rsidRPr="0084290D">
              <w:rPr>
                <w:rFonts w:ascii="Times New Roman" w:hAnsi="Times New Roman"/>
                <w:i/>
                <w:iCs/>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32213" w:rsidRPr="0084290D" w:rsidP="00B32213">
            <w:pPr>
              <w:bidi w:val="0"/>
              <w:rPr>
                <w:rFonts w:ascii="Times New Roman" w:hAnsi="Times New Roman"/>
                <w:bCs/>
              </w:rPr>
            </w:pPr>
            <w:r w:rsidRPr="0084290D">
              <w:rPr>
                <w:rFonts w:ascii="Times New Roman" w:hAnsi="Times New Roman"/>
                <w:bCs/>
              </w:rPr>
              <w:t>Áno</w:t>
            </w:r>
          </w:p>
          <w:p w:rsidR="00E465F3" w:rsidRPr="0084290D" w:rsidP="00B32213">
            <w:pPr>
              <w:bidi w:val="0"/>
              <w:rPr>
                <w:rFonts w:ascii="Times New Roman" w:hAnsi="Times New Roman"/>
                <w:bCs/>
              </w:rPr>
            </w:pPr>
            <w:r w:rsidRPr="0084290D" w:rsidR="00B32213">
              <w:rPr>
                <w:rFonts w:ascii="Times New Roman" w:hAnsi="Times New Roman"/>
                <w:bCs/>
              </w:rPr>
              <w:t>V nadväznosti na zámer smernice stanoviť pravidlá pre uľahčenie prístupu k bezpečnej vysoko kvalitnej cezhraničnej zdravotnej starostlivosti v EÚ, uľahčiť mobilitu pacientov a podporovať spoluprácu členských štátov v tejto oblasti sa vytvárajú predpoklady aj pre rozvoj sémantickej interoperability.</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465F3" w:rsidRPr="0084290D" w:rsidP="000B0AB8">
            <w:pPr>
              <w:bidi w:val="0"/>
              <w:rPr>
                <w:rFonts w:ascii="Times New Roman" w:hAnsi="Times New Roman"/>
                <w:b/>
              </w:rPr>
            </w:pPr>
            <w:r w:rsidRPr="0084290D">
              <w:rPr>
                <w:rFonts w:ascii="Times New Roman" w:hAnsi="Times New Roman"/>
                <w:b/>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465F3" w:rsidRPr="0084290D" w:rsidP="000B0AB8">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6.3.</w:t>
            </w:r>
            <w:r w:rsidRPr="0084290D">
              <w:rPr>
                <w:rFonts w:ascii="Times New Roman" w:hAnsi="Times New Roman"/>
              </w:rPr>
              <w:t xml:space="preserve"> Zabezpečuje sa vzdelávanie v oblasti počítačovej gramotnosti a rozširovanie vedomostí o IKT?</w:t>
            </w:r>
          </w:p>
          <w:p w:rsidR="00E465F3" w:rsidRPr="0084290D" w:rsidP="000B0AB8">
            <w:pPr>
              <w:bidi w:val="0"/>
              <w:rPr>
                <w:rFonts w:ascii="Times New Roman" w:hAnsi="Times New Roman"/>
              </w:rPr>
            </w:pPr>
            <w:r w:rsidRPr="0084290D">
              <w:rPr>
                <w:rFonts w:ascii="Times New Roman" w:hAnsi="Times New Roman"/>
                <w:i/>
                <w:iCs/>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E465F3" w:rsidRPr="0084290D" w:rsidP="000B0AB8">
            <w:pPr>
              <w:bidi w:val="0"/>
              <w:jc w:val="center"/>
              <w:rPr>
                <w:rFonts w:ascii="Times New Roman" w:hAnsi="Times New Roman"/>
                <w:iCs/>
              </w:rPr>
            </w:pPr>
            <w:r w:rsidRPr="0084290D">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6.4.</w:t>
            </w:r>
            <w:r w:rsidRPr="0084290D">
              <w:rPr>
                <w:rFonts w:ascii="Times New Roman" w:hAnsi="Times New Roman"/>
              </w:rPr>
              <w:t xml:space="preserve"> Zabezpečuje sa rozvoj elektronického vzdelávania?</w:t>
            </w:r>
          </w:p>
          <w:p w:rsidR="00E465F3" w:rsidRPr="0084290D" w:rsidP="000B0AB8">
            <w:pPr>
              <w:bidi w:val="0"/>
              <w:rPr>
                <w:rFonts w:ascii="Times New Roman" w:hAnsi="Times New Roman"/>
              </w:rPr>
            </w:pPr>
            <w:r w:rsidRPr="0084290D">
              <w:rPr>
                <w:rFonts w:ascii="Times New Roman" w:hAnsi="Times New Roman"/>
                <w:i/>
                <w:iCs/>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jc w:val="center"/>
              <w:rPr>
                <w:rFonts w:ascii="Times New Roman" w:hAnsi="Times New Roman"/>
                <w:iCs/>
              </w:rPr>
            </w:pPr>
          </w:p>
          <w:p w:rsidR="00E465F3" w:rsidRPr="0084290D" w:rsidP="000B0AB8">
            <w:pPr>
              <w:bidi w:val="0"/>
              <w:jc w:val="center"/>
              <w:rPr>
                <w:rFonts w:ascii="Times New Roman" w:hAnsi="Times New Roman"/>
                <w:i/>
                <w:iCs/>
              </w:rPr>
            </w:pPr>
            <w:r w:rsidRPr="0084290D">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6.5.</w:t>
            </w:r>
            <w:r w:rsidRPr="0084290D">
              <w:rPr>
                <w:rFonts w:ascii="Times New Roman" w:hAnsi="Times New Roman"/>
              </w:rPr>
              <w:t xml:space="preserve"> Zabezpečuje sa podporná a propagačná aktivita zameraná na zvyšovanie povedomia o informatizácii a IKT?</w:t>
            </w:r>
          </w:p>
          <w:p w:rsidR="00E465F3" w:rsidRPr="0084290D" w:rsidP="000B0AB8">
            <w:pPr>
              <w:bidi w:val="0"/>
              <w:rPr>
                <w:rFonts w:ascii="Times New Roman" w:hAnsi="Times New Roman"/>
              </w:rPr>
            </w:pPr>
            <w:r w:rsidRPr="0084290D">
              <w:rPr>
                <w:rFonts w:ascii="Times New Roman" w:hAnsi="Times New Roman"/>
                <w:i/>
                <w:iCs/>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jc w:val="center"/>
              <w:rPr>
                <w:rFonts w:ascii="Times New Roman" w:hAnsi="Times New Roman"/>
                <w:iCs/>
              </w:rPr>
            </w:pPr>
          </w:p>
          <w:p w:rsidR="00E465F3" w:rsidRPr="0084290D" w:rsidP="000B0AB8">
            <w:pPr>
              <w:bidi w:val="0"/>
              <w:jc w:val="center"/>
              <w:rPr>
                <w:rFonts w:ascii="Times New Roman" w:hAnsi="Times New Roman"/>
                <w:iCs/>
              </w:rPr>
            </w:pPr>
          </w:p>
          <w:p w:rsidR="00E465F3" w:rsidRPr="0084290D" w:rsidP="000B0AB8">
            <w:pPr>
              <w:bidi w:val="0"/>
              <w:jc w:val="center"/>
              <w:rPr>
                <w:rFonts w:ascii="Times New Roman" w:hAnsi="Times New Roman"/>
                <w:iCs/>
              </w:rPr>
            </w:pPr>
            <w:r w:rsidRPr="0084290D">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6.6.</w:t>
            </w:r>
            <w:r w:rsidRPr="0084290D">
              <w:rPr>
                <w:rFonts w:ascii="Times New Roman" w:hAnsi="Times New Roman"/>
              </w:rPr>
              <w:t xml:space="preserve"> Zabezpečuje/zohľadňuje/zlepšuje sa prístup znevýhodnených osôb k službám informačnej spoločnosti?</w:t>
            </w:r>
          </w:p>
          <w:p w:rsidR="00E465F3" w:rsidRPr="0084290D" w:rsidP="000B0AB8">
            <w:pPr>
              <w:bidi w:val="0"/>
              <w:rPr>
                <w:rFonts w:ascii="Times New Roman" w:hAnsi="Times New Roman"/>
              </w:rPr>
            </w:pPr>
            <w:r w:rsidRPr="0084290D">
              <w:rPr>
                <w:rFonts w:ascii="Times New Roman" w:hAnsi="Times New Roman"/>
                <w:i/>
                <w:iCs/>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jc w:val="center"/>
              <w:rPr>
                <w:rFonts w:ascii="Times New Roman" w:hAnsi="Times New Roman"/>
                <w:iCs/>
              </w:rPr>
            </w:pPr>
          </w:p>
          <w:p w:rsidR="00E465F3" w:rsidRPr="0084290D" w:rsidP="000B0AB8">
            <w:pPr>
              <w:bidi w:val="0"/>
              <w:jc w:val="center"/>
              <w:rPr>
                <w:rFonts w:ascii="Times New Roman" w:hAnsi="Times New Roman"/>
                <w:iCs/>
              </w:rPr>
            </w:pPr>
          </w:p>
          <w:p w:rsidR="00E465F3" w:rsidRPr="0084290D" w:rsidP="000B0AB8">
            <w:pPr>
              <w:bidi w:val="0"/>
              <w:jc w:val="center"/>
              <w:rPr>
                <w:rFonts w:ascii="Times New Roman" w:hAnsi="Times New Roman"/>
                <w:iCs/>
              </w:rPr>
            </w:pPr>
            <w:r w:rsidRPr="0084290D">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465F3" w:rsidRPr="0084290D" w:rsidP="000B0AB8">
            <w:pPr>
              <w:bidi w:val="0"/>
              <w:rPr>
                <w:rFonts w:ascii="Times New Roman" w:hAnsi="Times New Roman"/>
                <w:b/>
              </w:rPr>
            </w:pPr>
            <w:r w:rsidRPr="0084290D">
              <w:rPr>
                <w:rFonts w:ascii="Times New Roman" w:hAnsi="Times New Roman"/>
                <w:b/>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465F3" w:rsidRPr="0084290D" w:rsidP="000B0AB8">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6.7.</w:t>
            </w:r>
            <w:r w:rsidRPr="0084290D">
              <w:rPr>
                <w:rFonts w:ascii="Times New Roman" w:hAnsi="Times New Roman"/>
              </w:rPr>
              <w:t xml:space="preserve"> Rozširuje, inovuje, vytvára alebo zavádza sa nový informačný systém?</w:t>
            </w:r>
          </w:p>
          <w:p w:rsidR="00E465F3" w:rsidRPr="0084290D" w:rsidP="000B0AB8">
            <w:pPr>
              <w:bidi w:val="0"/>
              <w:rPr>
                <w:rFonts w:ascii="Times New Roman" w:hAnsi="Times New Roman"/>
              </w:rPr>
            </w:pPr>
            <w:r w:rsidRPr="0084290D">
              <w:rPr>
                <w:rFonts w:ascii="Times New Roman" w:hAnsi="Times New Roman"/>
                <w:i/>
                <w:iCs/>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32213" w:rsidRPr="0084290D" w:rsidP="00B32213">
            <w:pPr>
              <w:bidi w:val="0"/>
              <w:rPr>
                <w:rFonts w:ascii="Times New Roman" w:hAnsi="Times New Roman"/>
                <w:b/>
              </w:rPr>
            </w:pPr>
            <w:r w:rsidRPr="0084290D">
              <w:rPr>
                <w:rFonts w:ascii="Times New Roman" w:hAnsi="Times New Roman"/>
                <w:b/>
              </w:rPr>
              <w:t>Áno</w:t>
            </w:r>
          </w:p>
          <w:p w:rsidR="00B32213" w:rsidRPr="0084290D" w:rsidP="00B32213">
            <w:pPr>
              <w:bidi w:val="0"/>
              <w:rPr>
                <w:rFonts w:ascii="Times New Roman" w:hAnsi="Times New Roman"/>
              </w:rPr>
            </w:pPr>
            <w:r w:rsidRPr="0084290D">
              <w:rPr>
                <w:rFonts w:ascii="Times New Roman" w:hAnsi="Times New Roman"/>
              </w:rPr>
              <w:t>Rozširuje sa informačný systém v správe Úradu pre dohľad nad zdravotnou starostlivosťou v súvislosti s poskytovaním informácií o cezhraničnej zdravotnej starostlivosti na webovom portáli.</w:t>
            </w:r>
          </w:p>
          <w:p w:rsidR="00B32213" w:rsidRPr="0084290D" w:rsidP="00B32213">
            <w:pPr>
              <w:bidi w:val="0"/>
              <w:rPr>
                <w:rFonts w:ascii="Times New Roman" w:hAnsi="Times New Roman"/>
                <w:b/>
                <w:iCs/>
              </w:rPr>
            </w:pPr>
            <w:r w:rsidRPr="0084290D">
              <w:rPr>
                <w:rFonts w:ascii="Times New Roman" w:hAnsi="Times New Roman"/>
                <w:b/>
              </w:rPr>
              <w:t>Áno</w:t>
            </w:r>
          </w:p>
          <w:p w:rsidR="00E465F3" w:rsidRPr="0084290D" w:rsidP="00E32079">
            <w:pPr>
              <w:bidi w:val="0"/>
              <w:rPr>
                <w:rFonts w:ascii="Times New Roman" w:hAnsi="Times New Roman"/>
                <w:iCs/>
              </w:rPr>
            </w:pPr>
            <w:r w:rsidRPr="0084290D">
              <w:rPr>
                <w:rFonts w:ascii="Times New Roman" w:hAnsi="Times New Roman"/>
                <w:iCs/>
              </w:rPr>
              <w:t>Zákon si vyžiada zmenu (inováciu) v informačných systémoch organizácií zamestnávajúcich lekárov zabezpečujúcich spracovanie odmeňovanie zamestnancov (nové sadzby základných platov a príplatkov pre povolanie lekárov)</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6.8.</w:t>
            </w:r>
            <w:r w:rsidRPr="0084290D">
              <w:rPr>
                <w:rFonts w:ascii="Times New Roman" w:hAnsi="Times New Roman"/>
              </w:rPr>
              <w:t xml:space="preserve"> Rozširuje sa prístupnosť k internetu?</w:t>
            </w:r>
          </w:p>
          <w:p w:rsidR="00E465F3" w:rsidRPr="0084290D" w:rsidP="000B0AB8">
            <w:pPr>
              <w:bidi w:val="0"/>
              <w:rPr>
                <w:rFonts w:ascii="Times New Roman" w:hAnsi="Times New Roman"/>
              </w:rPr>
            </w:pPr>
            <w:r w:rsidRPr="0084290D">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32213" w:rsidRPr="0084290D" w:rsidP="00B32213">
            <w:pPr>
              <w:bidi w:val="0"/>
              <w:rPr>
                <w:rFonts w:ascii="Times New Roman" w:hAnsi="Times New Roman"/>
                <w:b/>
                <w:bCs/>
              </w:rPr>
            </w:pPr>
            <w:r w:rsidRPr="0084290D">
              <w:rPr>
                <w:rFonts w:ascii="Times New Roman" w:hAnsi="Times New Roman"/>
                <w:b/>
                <w:bCs/>
              </w:rPr>
              <w:t>Áno</w:t>
            </w:r>
          </w:p>
          <w:p w:rsidR="00E465F3" w:rsidRPr="0084290D" w:rsidP="00B32213">
            <w:pPr>
              <w:bidi w:val="0"/>
              <w:rPr>
                <w:rFonts w:ascii="Times New Roman" w:hAnsi="Times New Roman"/>
                <w:iCs/>
              </w:rPr>
            </w:pPr>
            <w:r w:rsidRPr="0084290D" w:rsidR="00B32213">
              <w:rPr>
                <w:rFonts w:ascii="Times New Roman" w:hAnsi="Times New Roman"/>
              </w:rPr>
              <w:t>Prostredníctvom webového portálu Úradu pre dohľad na zdravotnou starostlivosťou sa poskytujú informácie týkajúce sa čerpania cezhraničnej zdravotnej starostlivosti.</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6.9.</w:t>
            </w:r>
            <w:r w:rsidRPr="0084290D">
              <w:rPr>
                <w:rFonts w:ascii="Times New Roman" w:hAnsi="Times New Roman"/>
              </w:rPr>
              <w:t xml:space="preserve"> Rozširuje sa prístupnosť k elektronickým službám?</w:t>
            </w:r>
          </w:p>
          <w:p w:rsidR="00E465F3" w:rsidRPr="0084290D" w:rsidP="000B0AB8">
            <w:pPr>
              <w:bidi w:val="0"/>
              <w:rPr>
                <w:rFonts w:ascii="Times New Roman" w:hAnsi="Times New Roman"/>
              </w:rPr>
            </w:pPr>
            <w:r w:rsidRPr="0084290D">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B32213" w:rsidRPr="0084290D" w:rsidP="00B32213">
            <w:pPr>
              <w:bidi w:val="0"/>
              <w:rPr>
                <w:rFonts w:ascii="Times New Roman" w:hAnsi="Times New Roman"/>
                <w:b/>
                <w:bCs/>
              </w:rPr>
            </w:pPr>
            <w:r w:rsidRPr="0084290D">
              <w:rPr>
                <w:rFonts w:ascii="Times New Roman" w:hAnsi="Times New Roman"/>
                <w:b/>
                <w:bCs/>
              </w:rPr>
              <w:t>Áno</w:t>
            </w:r>
          </w:p>
          <w:p w:rsidR="00B32213" w:rsidRPr="0084290D" w:rsidP="00B32213">
            <w:pPr>
              <w:bidi w:val="0"/>
              <w:rPr>
                <w:rFonts w:ascii="Times New Roman" w:hAnsi="Times New Roman"/>
                <w:bCs/>
              </w:rPr>
            </w:pPr>
            <w:r w:rsidRPr="0084290D">
              <w:rPr>
                <w:rFonts w:ascii="Times New Roman" w:hAnsi="Times New Roman"/>
                <w:bCs/>
              </w:rPr>
              <w:t>Prostredníctvom slovenského Národného kontaktného miesta pre cezhraničnú zdravotnú starostlivosť je možné aj elektronickou formou získať informácie týkajúce sa čerpania cezhraničnej zdravotnej starostlivosti u nás alebo v krajinách EÚ.</w:t>
            </w:r>
          </w:p>
          <w:p w:rsidR="00E465F3" w:rsidRPr="0084290D" w:rsidP="00B32213">
            <w:pPr>
              <w:bidi w:val="0"/>
              <w:rPr>
                <w:rFonts w:ascii="Times New Roman" w:hAnsi="Times New Roman"/>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6.10.</w:t>
            </w:r>
            <w:r w:rsidRPr="0084290D">
              <w:rPr>
                <w:rFonts w:ascii="Times New Roman" w:hAnsi="Times New Roman"/>
              </w:rPr>
              <w:t xml:space="preserve"> Zabezpečuje sa technická interoperabilita?</w:t>
            </w:r>
          </w:p>
          <w:p w:rsidR="00E465F3" w:rsidRPr="0084290D" w:rsidP="000B0AB8">
            <w:pPr>
              <w:bidi w:val="0"/>
              <w:rPr>
                <w:rFonts w:ascii="Times New Roman" w:hAnsi="Times New Roman"/>
              </w:rPr>
            </w:pPr>
            <w:r w:rsidRPr="0084290D">
              <w:rPr>
                <w:rFonts w:ascii="Times New Roman" w:hAnsi="Times New Roman"/>
                <w:i/>
                <w:iCs/>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jc w:val="center"/>
              <w:rPr>
                <w:rFonts w:ascii="Times New Roman" w:hAnsi="Times New Roman"/>
                <w:iCs/>
              </w:rPr>
            </w:pPr>
            <w:r w:rsidRPr="0084290D">
              <w:rPr>
                <w:rFonts w:ascii="Times New Roman" w:hAnsi="Times New Roman"/>
                <w:iCs/>
              </w:rPr>
              <w:t>Bez zmien</w:t>
            </w:r>
          </w:p>
          <w:p w:rsidR="00E465F3" w:rsidRPr="0084290D" w:rsidP="000B0AB8">
            <w:pPr>
              <w:bidi w:val="0"/>
              <w:jc w:val="center"/>
              <w:rPr>
                <w:rFonts w:ascii="Times New Roman" w:hAnsi="Times New Roman"/>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6.11.</w:t>
            </w:r>
            <w:r w:rsidRPr="0084290D">
              <w:rPr>
                <w:rFonts w:ascii="Times New Roman" w:hAnsi="Times New Roman"/>
              </w:rPr>
              <w:t xml:space="preserve"> Zvyšuje sa bezpečnosť IT?</w:t>
            </w:r>
          </w:p>
          <w:p w:rsidR="00E465F3" w:rsidRPr="0084290D" w:rsidP="000B0AB8">
            <w:pPr>
              <w:bidi w:val="0"/>
              <w:rPr>
                <w:rFonts w:ascii="Times New Roman" w:hAnsi="Times New Roman"/>
              </w:rPr>
            </w:pPr>
            <w:r w:rsidRPr="0084290D">
              <w:rPr>
                <w:rFonts w:ascii="Times New Roman" w:hAnsi="Times New Roman"/>
              </w:rPr>
              <w:t>(</w:t>
            </w:r>
            <w:r w:rsidRPr="0084290D">
              <w:rPr>
                <w:rFonts w:ascii="Times New Roman" w:hAnsi="Times New Roman"/>
                <w:i/>
                <w:iCs/>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jc w:val="center"/>
              <w:rPr>
                <w:rFonts w:ascii="Times New Roman" w:hAnsi="Times New Roman"/>
                <w:iCs/>
              </w:rPr>
            </w:pPr>
            <w:r w:rsidRPr="0084290D">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6.12.</w:t>
            </w:r>
            <w:r w:rsidRPr="0084290D">
              <w:rPr>
                <w:rFonts w:ascii="Times New Roman" w:hAnsi="Times New Roman"/>
              </w:rPr>
              <w:t xml:space="preserve"> Rozširuje sa technická infraštruktúra?</w:t>
            </w:r>
          </w:p>
          <w:p w:rsidR="00E465F3" w:rsidRPr="0084290D" w:rsidP="000B0AB8">
            <w:pPr>
              <w:bidi w:val="0"/>
              <w:rPr>
                <w:rFonts w:ascii="Times New Roman" w:hAnsi="Times New Roman"/>
                <w:i/>
                <w:iCs/>
              </w:rPr>
            </w:pPr>
            <w:r w:rsidRPr="0084290D">
              <w:rPr>
                <w:rFonts w:ascii="Times New Roman" w:hAnsi="Times New Roman"/>
              </w:rPr>
              <w:t>(</w:t>
            </w:r>
            <w:r w:rsidRPr="0084290D">
              <w:rPr>
                <w:rFonts w:ascii="Times New Roman" w:hAnsi="Times New Roman"/>
                <w:i/>
                <w:iCs/>
              </w:rPr>
              <w:t>Uveďte stručný popis zavádzanej infraštruktúry.)</w:t>
            </w:r>
          </w:p>
          <w:p w:rsidR="00E465F3" w:rsidRPr="0084290D" w:rsidP="000B0AB8">
            <w:pPr>
              <w:bidi w:val="0"/>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C37BF" w:rsidRPr="0084290D" w:rsidP="002C37BF">
            <w:pPr>
              <w:bidi w:val="0"/>
              <w:rPr>
                <w:rFonts w:ascii="Times New Roman" w:hAnsi="Times New Roman"/>
              </w:rPr>
            </w:pPr>
            <w:r w:rsidRPr="0084290D">
              <w:rPr>
                <w:rFonts w:ascii="Times New Roman" w:hAnsi="Times New Roman"/>
                <w:b/>
                <w:bCs/>
              </w:rPr>
              <w:t>Áno</w:t>
            </w:r>
          </w:p>
          <w:p w:rsidR="00E465F3" w:rsidRPr="0084290D" w:rsidP="002C37BF">
            <w:pPr>
              <w:bidi w:val="0"/>
              <w:rPr>
                <w:rFonts w:ascii="Times New Roman" w:hAnsi="Times New Roman"/>
                <w:iCs/>
              </w:rPr>
            </w:pPr>
            <w:r w:rsidRPr="0084290D" w:rsidR="002C37BF">
              <w:rPr>
                <w:rFonts w:ascii="Times New Roman" w:hAnsi="Times New Roman"/>
              </w:rPr>
              <w:t>Rozširuje sa technická infraštruktúra v súvislosti s rozširovaním informačného systému formou portálu ÚDZS ako aj NCZI v nadväznosti na informovanosť a štatistické spracovanie údajov požadovaných smernicou 2011/24/EÚ.</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465F3" w:rsidRPr="0084290D" w:rsidP="000B0AB8">
            <w:pPr>
              <w:bidi w:val="0"/>
              <w:rPr>
                <w:rFonts w:ascii="Times New Roman" w:hAnsi="Times New Roman"/>
                <w:b/>
              </w:rPr>
            </w:pPr>
            <w:r w:rsidRPr="0084290D">
              <w:rPr>
                <w:rFonts w:ascii="Times New Roman" w:hAnsi="Times New Roman"/>
                <w:b/>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465F3" w:rsidRPr="0084290D" w:rsidP="000B0AB8">
            <w:pPr>
              <w:bidi w:val="0"/>
              <w:jc w:val="center"/>
              <w:rPr>
                <w:rFonts w:ascii="Times New Roman" w:hAnsi="Times New Roman"/>
                <w:b/>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6.13.</w:t>
            </w:r>
            <w:r w:rsidRPr="0084290D">
              <w:rPr>
                <w:rFonts w:ascii="Times New Roman" w:hAnsi="Times New Roman"/>
              </w:rPr>
              <w:t xml:space="preserve"> Predpokladajú sa zmeny v riadení procesu informatizácie?</w:t>
            </w:r>
          </w:p>
          <w:p w:rsidR="00E465F3" w:rsidRPr="0084290D" w:rsidP="000B0AB8">
            <w:pPr>
              <w:bidi w:val="0"/>
              <w:rPr>
                <w:rFonts w:ascii="Times New Roman" w:hAnsi="Times New Roman"/>
              </w:rPr>
            </w:pPr>
            <w:r w:rsidRPr="0084290D">
              <w:rPr>
                <w:rFonts w:ascii="Times New Roman" w:hAnsi="Times New Roman"/>
                <w:i/>
                <w:iCs/>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jc w:val="center"/>
              <w:rPr>
                <w:rFonts w:ascii="Times New Roman" w:hAnsi="Times New Roman"/>
                <w:iCs/>
              </w:rPr>
            </w:pPr>
          </w:p>
          <w:p w:rsidR="00E465F3" w:rsidRPr="0084290D" w:rsidP="000B0AB8">
            <w:pPr>
              <w:bidi w:val="0"/>
              <w:jc w:val="center"/>
              <w:rPr>
                <w:rFonts w:ascii="Times New Roman" w:hAnsi="Times New Roman"/>
                <w:iCs/>
              </w:rPr>
            </w:pPr>
            <w:r w:rsidRPr="0084290D">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465F3" w:rsidRPr="0084290D" w:rsidP="000B0AB8">
            <w:pPr>
              <w:bidi w:val="0"/>
              <w:rPr>
                <w:rFonts w:ascii="Times New Roman" w:hAnsi="Times New Roman"/>
                <w:b/>
              </w:rPr>
            </w:pPr>
            <w:r w:rsidRPr="0084290D">
              <w:rPr>
                <w:rFonts w:ascii="Times New Roman" w:hAnsi="Times New Roman"/>
                <w:b/>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465F3" w:rsidRPr="0084290D" w:rsidP="000B0AB8">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6.14.</w:t>
            </w:r>
            <w:r w:rsidRPr="0084290D">
              <w:rPr>
                <w:rFonts w:ascii="Times New Roman" w:hAnsi="Times New Roman"/>
              </w:rPr>
              <w:t xml:space="preserve"> Vyžaduje si proces informatizácie  finančné investície?</w:t>
            </w:r>
          </w:p>
          <w:p w:rsidR="00E465F3" w:rsidRPr="0084290D" w:rsidP="000B0AB8">
            <w:pPr>
              <w:bidi w:val="0"/>
              <w:rPr>
                <w:rFonts w:ascii="Times New Roman" w:hAnsi="Times New Roman"/>
              </w:rPr>
            </w:pPr>
            <w:r w:rsidRPr="0084290D">
              <w:rPr>
                <w:rFonts w:ascii="Times New Roman" w:hAnsi="Times New Roman"/>
                <w:i/>
                <w:iCs/>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C37BF" w:rsidRPr="0084290D" w:rsidP="002C37BF">
            <w:pPr>
              <w:bidi w:val="0"/>
              <w:rPr>
                <w:rFonts w:ascii="Times New Roman" w:hAnsi="Times New Roman"/>
              </w:rPr>
            </w:pPr>
            <w:r w:rsidRPr="0084290D">
              <w:rPr>
                <w:rFonts w:ascii="Times New Roman" w:hAnsi="Times New Roman"/>
                <w:b/>
                <w:bCs/>
              </w:rPr>
              <w:t>Áno</w:t>
            </w:r>
          </w:p>
          <w:p w:rsidR="00E465F3" w:rsidRPr="0084290D" w:rsidP="002C37BF">
            <w:pPr>
              <w:bidi w:val="0"/>
              <w:rPr>
                <w:rFonts w:ascii="Times New Roman" w:hAnsi="Times New Roman"/>
                <w:iCs/>
              </w:rPr>
            </w:pPr>
            <w:r w:rsidRPr="0084290D" w:rsidR="002C37BF">
              <w:rPr>
                <w:rFonts w:ascii="Times New Roman" w:hAnsi="Times New Roman"/>
              </w:rPr>
              <w:t>Je potrebné rozšírenie a aktualizácia IS modulu vedenia zoznamov poskytovateľov zdravotnej starostlivosti v SR, vytvorenie webového portálu Národného kontaktného miesta pre cezhraničnú zdravotnú starostlivosť ako aj aktualizácia štatistických informačných systémov potrebných na štatistické spracovanie údajov požadovaných v zmysle Smernice 2011/24/EÚ.</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465F3" w:rsidRPr="0084290D" w:rsidP="000B0AB8">
            <w:pPr>
              <w:bidi w:val="0"/>
              <w:rPr>
                <w:rFonts w:ascii="Times New Roman" w:hAnsi="Times New Roman"/>
                <w:b/>
              </w:rPr>
            </w:pPr>
            <w:r w:rsidRPr="0084290D">
              <w:rPr>
                <w:rFonts w:ascii="Times New Roman" w:hAnsi="Times New Roman"/>
                <w:b/>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465F3" w:rsidRPr="0084290D" w:rsidP="000B0AB8">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rPr>
                <w:rFonts w:ascii="Times New Roman" w:hAnsi="Times New Roman"/>
              </w:rPr>
            </w:pPr>
            <w:r w:rsidRPr="0084290D">
              <w:rPr>
                <w:rFonts w:ascii="Times New Roman" w:hAnsi="Times New Roman"/>
                <w:b/>
              </w:rPr>
              <w:t>6.15.</w:t>
            </w:r>
            <w:r w:rsidRPr="0084290D">
              <w:rPr>
                <w:rFonts w:ascii="Times New Roman" w:hAnsi="Times New Roman"/>
              </w:rPr>
              <w:t xml:space="preserve"> Predpokladá nelegislatívny materiál potrebu úpravy legislatívneho prostredia  procesu informatizácie?</w:t>
            </w:r>
          </w:p>
          <w:p w:rsidR="00E465F3" w:rsidRPr="0084290D" w:rsidP="000B0AB8">
            <w:pPr>
              <w:bidi w:val="0"/>
              <w:rPr>
                <w:rFonts w:ascii="Times New Roman" w:hAnsi="Times New Roman"/>
              </w:rPr>
            </w:pPr>
            <w:r w:rsidRPr="0084290D">
              <w:rPr>
                <w:rFonts w:ascii="Times New Roman" w:hAnsi="Times New Roman"/>
                <w:i/>
                <w:iCs/>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465F3" w:rsidRPr="0084290D" w:rsidP="000B0AB8">
            <w:pPr>
              <w:bidi w:val="0"/>
              <w:jc w:val="center"/>
              <w:rPr>
                <w:rFonts w:ascii="Times New Roman" w:hAnsi="Times New Roman"/>
                <w:iCs/>
              </w:rPr>
            </w:pPr>
          </w:p>
          <w:p w:rsidR="00E465F3" w:rsidRPr="0084290D" w:rsidP="000B0AB8">
            <w:pPr>
              <w:bidi w:val="0"/>
              <w:jc w:val="center"/>
              <w:rPr>
                <w:rFonts w:ascii="Times New Roman" w:hAnsi="Times New Roman"/>
                <w:iCs/>
              </w:rPr>
            </w:pPr>
            <w:r w:rsidRPr="0084290D">
              <w:rPr>
                <w:rFonts w:ascii="Times New Roman" w:hAnsi="Times New Roman"/>
                <w:iCs/>
              </w:rPr>
              <w:t>Nie</w:t>
            </w:r>
          </w:p>
        </w:tc>
      </w:tr>
    </w:tbl>
    <w:p w:rsidR="00E465F3" w:rsidRPr="0084290D" w:rsidP="000B0AB8">
      <w:pPr>
        <w:bidi w:val="0"/>
        <w:jc w:val="center"/>
        <w:rPr>
          <w:rFonts w:ascii="Times New Roman" w:hAnsi="Times New Roman"/>
          <w:b/>
        </w:rPr>
      </w:pPr>
    </w:p>
    <w:p w:rsidR="00EF4CDD" w:rsidRPr="0084290D" w:rsidP="000B0AB8">
      <w:pPr>
        <w:bidi w:val="0"/>
        <w:rPr>
          <w:rFonts w:ascii="Times New Roman" w:hAnsi="Times New Roman"/>
        </w:rPr>
      </w:pPr>
    </w:p>
    <w:p w:rsidR="00903223" w:rsidRPr="0084290D" w:rsidP="00903223">
      <w:pPr>
        <w:bidi w:val="0"/>
        <w:rPr>
          <w:rFonts w:ascii="Times New Roman" w:hAnsi="Times New Roman"/>
        </w:rPr>
      </w:pPr>
    </w:p>
    <w:p w:rsidR="00903223" w:rsidRPr="0084290D" w:rsidP="000B0AB8">
      <w:pPr>
        <w:bidi w:val="0"/>
        <w:rPr>
          <w:rFonts w:ascii="Times New Roman" w:hAnsi="Times New Roman"/>
        </w:rPr>
      </w:pPr>
    </w:p>
    <w:p w:rsidR="009B72C3" w:rsidRPr="0084290D" w:rsidP="000B0AB8">
      <w:pPr>
        <w:bidi w:val="0"/>
        <w:rPr>
          <w:rFonts w:ascii="Times New Roman" w:hAnsi="Times New Roman"/>
        </w:rPr>
      </w:pPr>
    </w:p>
    <w:p w:rsidR="009B72C3" w:rsidRPr="0084290D" w:rsidP="000B0AB8">
      <w:pPr>
        <w:bidi w:val="0"/>
        <w:rPr>
          <w:rFonts w:ascii="Times New Roman" w:hAnsi="Times New Roman"/>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75">
    <w:pPr>
      <w:pStyle w:val="Footer"/>
      <w:bidi w:val="0"/>
      <w:jc w:val="center"/>
      <w:rPr>
        <w:rFonts w:ascii="Times New Roman" w:hAnsi="Times New Roman"/>
      </w:rPr>
    </w:pPr>
    <w:r w:rsidR="00C87EF6">
      <w:rPr>
        <w:rFonts w:ascii="Times New Roman" w:hAnsi="Times New Roman"/>
      </w:rPr>
      <w:fldChar w:fldCharType="begin"/>
    </w:r>
    <w:r w:rsidR="00C87EF6">
      <w:rPr>
        <w:rFonts w:ascii="Times New Roman" w:hAnsi="Times New Roman"/>
      </w:rPr>
      <w:instrText>PAGE   \* MERGEFORMAT</w:instrText>
    </w:r>
    <w:r w:rsidR="00C87EF6">
      <w:rPr>
        <w:rFonts w:ascii="Times New Roman" w:hAnsi="Times New Roman"/>
      </w:rPr>
      <w:fldChar w:fldCharType="separate"/>
    </w:r>
    <w:r w:rsidR="00607333">
      <w:rPr>
        <w:rFonts w:ascii="Times New Roman" w:hAnsi="Times New Roman"/>
        <w:noProof/>
      </w:rPr>
      <w:t>1</w:t>
    </w:r>
    <w:r w:rsidR="00C87EF6">
      <w:rPr>
        <w:rFonts w:ascii="Times New Roman" w:hAnsi="Times New Roman"/>
      </w:rPr>
      <w:fldChar w:fldCharType="end"/>
    </w:r>
  </w:p>
  <w:p w:rsidR="00087D7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7D75"/>
    <w:multiLevelType w:val="hybridMultilevel"/>
    <w:tmpl w:val="43FED7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770720A"/>
    <w:multiLevelType w:val="hybridMultilevel"/>
    <w:tmpl w:val="1A86DDA0"/>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5966189"/>
    <w:multiLevelType w:val="hybridMultilevel"/>
    <w:tmpl w:val="E280DD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9B67DC4"/>
    <w:multiLevelType w:val="hybridMultilevel"/>
    <w:tmpl w:val="B6B259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E29576C"/>
    <w:multiLevelType w:val="hybridMultilevel"/>
    <w:tmpl w:val="3D28BC90"/>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97240C"/>
    <w:rsid w:val="00017142"/>
    <w:rsid w:val="00087D75"/>
    <w:rsid w:val="000B0AB8"/>
    <w:rsid w:val="000B5817"/>
    <w:rsid w:val="00150F4F"/>
    <w:rsid w:val="00160E8A"/>
    <w:rsid w:val="00183D7B"/>
    <w:rsid w:val="001D5860"/>
    <w:rsid w:val="001E439E"/>
    <w:rsid w:val="0025137D"/>
    <w:rsid w:val="002743BE"/>
    <w:rsid w:val="002825EE"/>
    <w:rsid w:val="00286680"/>
    <w:rsid w:val="002878B4"/>
    <w:rsid w:val="002C37BF"/>
    <w:rsid w:val="002F2767"/>
    <w:rsid w:val="00301E00"/>
    <w:rsid w:val="0034222B"/>
    <w:rsid w:val="00347644"/>
    <w:rsid w:val="00395DF9"/>
    <w:rsid w:val="003B27E6"/>
    <w:rsid w:val="003F6E93"/>
    <w:rsid w:val="00463FBA"/>
    <w:rsid w:val="0047052D"/>
    <w:rsid w:val="00481846"/>
    <w:rsid w:val="004D458C"/>
    <w:rsid w:val="005249AB"/>
    <w:rsid w:val="00534500"/>
    <w:rsid w:val="0055635F"/>
    <w:rsid w:val="00576BE4"/>
    <w:rsid w:val="0059453D"/>
    <w:rsid w:val="005D61FD"/>
    <w:rsid w:val="005E0E06"/>
    <w:rsid w:val="005E22B7"/>
    <w:rsid w:val="00602824"/>
    <w:rsid w:val="00607333"/>
    <w:rsid w:val="00647F9F"/>
    <w:rsid w:val="006D2BA9"/>
    <w:rsid w:val="00710FA6"/>
    <w:rsid w:val="00770D78"/>
    <w:rsid w:val="007F433E"/>
    <w:rsid w:val="0080780D"/>
    <w:rsid w:val="00811726"/>
    <w:rsid w:val="0082684A"/>
    <w:rsid w:val="00830C04"/>
    <w:rsid w:val="0084290D"/>
    <w:rsid w:val="00871EC2"/>
    <w:rsid w:val="00877D52"/>
    <w:rsid w:val="008A7699"/>
    <w:rsid w:val="008B53F6"/>
    <w:rsid w:val="00903223"/>
    <w:rsid w:val="00950C5E"/>
    <w:rsid w:val="009539AD"/>
    <w:rsid w:val="00960DA7"/>
    <w:rsid w:val="0097240C"/>
    <w:rsid w:val="009B0E4A"/>
    <w:rsid w:val="009B72C3"/>
    <w:rsid w:val="009F6F3E"/>
    <w:rsid w:val="00A0728D"/>
    <w:rsid w:val="00A179E3"/>
    <w:rsid w:val="00A25DFA"/>
    <w:rsid w:val="00A30F77"/>
    <w:rsid w:val="00A56E26"/>
    <w:rsid w:val="00A95F8F"/>
    <w:rsid w:val="00AB5595"/>
    <w:rsid w:val="00AE213D"/>
    <w:rsid w:val="00B0507B"/>
    <w:rsid w:val="00B11A92"/>
    <w:rsid w:val="00B14F58"/>
    <w:rsid w:val="00B32213"/>
    <w:rsid w:val="00B36BEB"/>
    <w:rsid w:val="00B9159D"/>
    <w:rsid w:val="00B97FF3"/>
    <w:rsid w:val="00BB093D"/>
    <w:rsid w:val="00BB0D46"/>
    <w:rsid w:val="00BE5411"/>
    <w:rsid w:val="00C03F7D"/>
    <w:rsid w:val="00C14A22"/>
    <w:rsid w:val="00C14D7D"/>
    <w:rsid w:val="00C306BC"/>
    <w:rsid w:val="00C83C38"/>
    <w:rsid w:val="00C87EF6"/>
    <w:rsid w:val="00D10DD2"/>
    <w:rsid w:val="00D23656"/>
    <w:rsid w:val="00D340EC"/>
    <w:rsid w:val="00D569D3"/>
    <w:rsid w:val="00D57BA3"/>
    <w:rsid w:val="00D6203E"/>
    <w:rsid w:val="00DC4513"/>
    <w:rsid w:val="00E07BD2"/>
    <w:rsid w:val="00E32079"/>
    <w:rsid w:val="00E40F13"/>
    <w:rsid w:val="00E430CC"/>
    <w:rsid w:val="00E465F3"/>
    <w:rsid w:val="00E54B7C"/>
    <w:rsid w:val="00ED73B7"/>
    <w:rsid w:val="00ED75BA"/>
    <w:rsid w:val="00EF4CDD"/>
    <w:rsid w:val="00EF67AB"/>
    <w:rsid w:val="00F07649"/>
    <w:rsid w:val="00F17890"/>
    <w:rsid w:val="00F24518"/>
    <w:rsid w:val="00F75EB0"/>
    <w:rsid w:val="00FB018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DA7"/>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72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463FBA"/>
    <w:rPr>
      <w:sz w:val="16"/>
    </w:rPr>
  </w:style>
  <w:style w:type="paragraph" w:styleId="CommentText">
    <w:name w:val="annotation text"/>
    <w:basedOn w:val="Normal"/>
    <w:link w:val="CommentTextChar"/>
    <w:uiPriority w:val="99"/>
    <w:rsid w:val="00463FBA"/>
    <w:pPr>
      <w:jc w:val="both"/>
    </w:pPr>
    <w:rPr>
      <w:sz w:val="20"/>
      <w:szCs w:val="20"/>
    </w:rPr>
  </w:style>
  <w:style w:type="character" w:customStyle="1" w:styleId="CommentTextChar">
    <w:name w:val="Comment Text Char"/>
    <w:link w:val="CommentText"/>
    <w:uiPriority w:val="99"/>
    <w:locked/>
    <w:rsid w:val="00463FBA"/>
  </w:style>
  <w:style w:type="paragraph" w:styleId="CommentSubject">
    <w:name w:val="annotation subject"/>
    <w:basedOn w:val="CommentText"/>
    <w:next w:val="CommentText"/>
    <w:link w:val="CommentSubjectChar"/>
    <w:uiPriority w:val="99"/>
    <w:rsid w:val="00463FBA"/>
    <w:pPr>
      <w:jc w:val="both"/>
    </w:pPr>
    <w:rPr>
      <w:b/>
      <w:bCs/>
    </w:rPr>
  </w:style>
  <w:style w:type="character" w:customStyle="1" w:styleId="CommentSubjectChar">
    <w:name w:val="Comment Subject Char"/>
    <w:link w:val="CommentSubject"/>
    <w:uiPriority w:val="99"/>
    <w:locked/>
    <w:rsid w:val="00463FBA"/>
    <w:rPr>
      <w:b/>
    </w:rPr>
  </w:style>
  <w:style w:type="paragraph" w:styleId="BalloonText">
    <w:name w:val="Balloon Text"/>
    <w:basedOn w:val="Normal"/>
    <w:link w:val="BalloonTextChar"/>
    <w:uiPriority w:val="99"/>
    <w:rsid w:val="00463FBA"/>
    <w:pPr>
      <w:jc w:val="both"/>
    </w:pPr>
    <w:rPr>
      <w:rFonts w:ascii="Tahoma" w:hAnsi="Tahoma" w:cs="Tahoma"/>
      <w:sz w:val="16"/>
      <w:szCs w:val="16"/>
    </w:rPr>
  </w:style>
  <w:style w:type="character" w:customStyle="1" w:styleId="BalloonTextChar">
    <w:name w:val="Balloon Text Char"/>
    <w:link w:val="BalloonText"/>
    <w:uiPriority w:val="99"/>
    <w:locked/>
    <w:rsid w:val="00463FBA"/>
    <w:rPr>
      <w:rFonts w:ascii="Tahoma" w:hAnsi="Tahoma" w:cs="Tahoma"/>
      <w:sz w:val="16"/>
    </w:rPr>
  </w:style>
  <w:style w:type="paragraph" w:styleId="NormalWeb">
    <w:name w:val="Normal (Web)"/>
    <w:aliases w:val="webb"/>
    <w:basedOn w:val="Normal"/>
    <w:uiPriority w:val="99"/>
    <w:rsid w:val="00E40F13"/>
    <w:pPr>
      <w:spacing w:before="100" w:beforeAutospacing="1" w:after="100" w:afterAutospacing="1"/>
      <w:jc w:val="left"/>
    </w:pPr>
  </w:style>
  <w:style w:type="paragraph" w:customStyle="1" w:styleId="Odsekzoznamu2">
    <w:name w:val="Odsek zoznamu2"/>
    <w:basedOn w:val="Normal"/>
    <w:uiPriority w:val="99"/>
    <w:rsid w:val="00E40F13"/>
    <w:pPr>
      <w:ind w:left="708"/>
      <w:jc w:val="left"/>
    </w:pPr>
  </w:style>
  <w:style w:type="paragraph" w:styleId="ListParagraph">
    <w:name w:val="List Paragraph"/>
    <w:basedOn w:val="Normal"/>
    <w:uiPriority w:val="34"/>
    <w:qFormat/>
    <w:rsid w:val="00E40F13"/>
    <w:pPr>
      <w:ind w:left="708"/>
      <w:jc w:val="both"/>
    </w:pPr>
  </w:style>
  <w:style w:type="character" w:customStyle="1" w:styleId="Textzstupnhosymbolu2">
    <w:name w:val="Text zástupného symbolu2"/>
    <w:semiHidden/>
    <w:rsid w:val="009F6F3E"/>
    <w:rPr>
      <w:rFonts w:ascii="Times New Roman" w:hAnsi="Times New Roman" w:cs="Times New Roman"/>
      <w:color w:val="808080"/>
    </w:rPr>
  </w:style>
  <w:style w:type="paragraph" w:styleId="BodyText">
    <w:name w:val="Body Text"/>
    <w:basedOn w:val="Normal"/>
    <w:link w:val="BodyTextChar"/>
    <w:uiPriority w:val="99"/>
    <w:rsid w:val="000B0AB8"/>
    <w:pPr>
      <w:spacing w:after="120"/>
      <w:jc w:val="left"/>
    </w:pPr>
  </w:style>
  <w:style w:type="character" w:customStyle="1" w:styleId="BodyTextChar">
    <w:name w:val="Body Text Char"/>
    <w:link w:val="BodyText"/>
    <w:uiPriority w:val="99"/>
    <w:locked/>
    <w:rsid w:val="000B0AB8"/>
    <w:rPr>
      <w:sz w:val="24"/>
    </w:rPr>
  </w:style>
  <w:style w:type="paragraph" w:styleId="Header">
    <w:name w:val="header"/>
    <w:basedOn w:val="Normal"/>
    <w:link w:val="HeaderChar"/>
    <w:uiPriority w:val="99"/>
    <w:rsid w:val="00087D75"/>
    <w:pPr>
      <w:tabs>
        <w:tab w:val="center" w:pos="4536"/>
        <w:tab w:val="right" w:pos="9072"/>
      </w:tabs>
      <w:jc w:val="both"/>
    </w:pPr>
  </w:style>
  <w:style w:type="character" w:customStyle="1" w:styleId="HeaderChar">
    <w:name w:val="Header Char"/>
    <w:link w:val="Header"/>
    <w:uiPriority w:val="99"/>
    <w:locked/>
    <w:rsid w:val="00087D75"/>
    <w:rPr>
      <w:sz w:val="24"/>
    </w:rPr>
  </w:style>
  <w:style w:type="paragraph" w:styleId="Footer">
    <w:name w:val="footer"/>
    <w:basedOn w:val="Normal"/>
    <w:link w:val="FooterChar"/>
    <w:uiPriority w:val="99"/>
    <w:rsid w:val="00087D75"/>
    <w:pPr>
      <w:tabs>
        <w:tab w:val="center" w:pos="4536"/>
        <w:tab w:val="right" w:pos="9072"/>
      </w:tabs>
      <w:jc w:val="both"/>
    </w:pPr>
  </w:style>
  <w:style w:type="character" w:customStyle="1" w:styleId="FooterChar">
    <w:name w:val="Footer Char"/>
    <w:link w:val="Footer"/>
    <w:uiPriority w:val="99"/>
    <w:locked/>
    <w:rsid w:val="00087D75"/>
    <w:rPr>
      <w:sz w:val="24"/>
    </w:rPr>
  </w:style>
  <w:style w:type="character" w:customStyle="1" w:styleId="apple-converted-space">
    <w:name w:val="apple-converted-space"/>
    <w:basedOn w:val="DefaultParagraphFont"/>
    <w:rsid w:val="0059453D"/>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F86E1-A3C3-43D3-9CD4-15F98B2C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17</Pages>
  <Words>5382</Words>
  <Characters>30679</Characters>
  <Application>Microsoft Office Word</Application>
  <DocSecurity>0</DocSecurity>
  <Lines>0</Lines>
  <Paragraphs>0</Paragraphs>
  <ScaleCrop>false</ScaleCrop>
  <Company>MZ SR</Company>
  <LinksUpToDate>false</LinksUpToDate>
  <CharactersWithSpaces>35990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Janiš Marián</dc:creator>
  <cp:lastModifiedBy>Gašparíková, Jarmila</cp:lastModifiedBy>
  <cp:revision>2</cp:revision>
  <cp:lastPrinted>2013-04-17T11:36:00Z</cp:lastPrinted>
  <dcterms:created xsi:type="dcterms:W3CDTF">2013-04-25T14:55:00Z</dcterms:created>
  <dcterms:modified xsi:type="dcterms:W3CDTF">2013-04-25T14:55:00Z</dcterms:modified>
</cp:coreProperties>
</file>