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Dô</w:t>
      </w:r>
      <w:r w:rsidRPr="00015954">
        <w:rPr>
          <w:rFonts w:ascii="Times New Roman" w:hAnsi="Times New Roman" w:hint="default"/>
          <w:b/>
          <w:sz w:val="24"/>
          <w:szCs w:val="24"/>
        </w:rPr>
        <w:t>vodová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15954">
        <w:rPr>
          <w:rFonts w:ascii="Times New Roman" w:hAnsi="Times New Roman" w:hint="default"/>
          <w:b/>
          <w:sz w:val="24"/>
          <w:szCs w:val="24"/>
        </w:rPr>
        <w:t>va</w:t>
      </w:r>
    </w:p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Style w:val="Textzstupnhosymbolu1"/>
          <w:rFonts w:hint="default"/>
          <w:color w:val="000000"/>
          <w:sz w:val="24"/>
          <w:szCs w:val="24"/>
        </w:rPr>
        <w:t>Poslanec 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rodnej rady Slovenskej republiky predkladá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vrh zá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kona, </w:t>
      </w:r>
      <w:r w:rsidRPr="00015954">
        <w:rPr>
          <w:rFonts w:ascii="Times New Roman" w:hAnsi="Times New Roman" w:hint="default"/>
          <w:bCs/>
          <w:sz w:val="24"/>
          <w:szCs w:val="24"/>
        </w:rPr>
        <w:t>ktorý</w:t>
      </w:r>
      <w:r w:rsidRPr="00015954">
        <w:rPr>
          <w:rFonts w:ascii="Times New Roman" w:hAnsi="Times New Roman" w:hint="default"/>
          <w:bCs/>
          <w:sz w:val="24"/>
          <w:szCs w:val="24"/>
        </w:rPr>
        <w:t>m sa mení</w:t>
      </w:r>
      <w:r w:rsidRPr="00015954">
        <w:rPr>
          <w:rFonts w:ascii="Times New Roman" w:hAnsi="Times New Roman" w:hint="default"/>
          <w:bCs/>
          <w:sz w:val="24"/>
          <w:szCs w:val="24"/>
        </w:rPr>
        <w:t xml:space="preserve"> a dopĺň</w:t>
      </w:r>
      <w:r w:rsidRPr="00015954">
        <w:rPr>
          <w:rFonts w:ascii="Times New Roman" w:hAnsi="Times New Roman" w:hint="default"/>
          <w:bCs/>
          <w:sz w:val="24"/>
          <w:szCs w:val="24"/>
        </w:rPr>
        <w:t>a zá</w:t>
      </w:r>
      <w:r w:rsidRPr="00015954">
        <w:rPr>
          <w:rFonts w:ascii="Times New Roman" w:hAnsi="Times New Roman" w:hint="default"/>
          <w:bCs/>
          <w:sz w:val="24"/>
          <w:szCs w:val="24"/>
        </w:rPr>
        <w:t>ko</w:t>
      </w:r>
      <w:r w:rsidRPr="00015954">
        <w:rPr>
          <w:rFonts w:ascii="Times New Roman" w:hAnsi="Times New Roman" w:hint="default"/>
          <w:sz w:val="24"/>
          <w:szCs w:val="24"/>
        </w:rPr>
        <w:t>n č. </w:t>
      </w:r>
      <w:r w:rsidRPr="00015954">
        <w:rPr>
          <w:rFonts w:ascii="Times New Roman" w:hAnsi="Times New Roman" w:hint="default"/>
          <w:sz w:val="24"/>
          <w:szCs w:val="24"/>
        </w:rPr>
        <w:t>581/2004 Z. z. o </w:t>
      </w:r>
      <w:r w:rsidRPr="00015954">
        <w:rPr>
          <w:rFonts w:ascii="Times New Roman" w:hAnsi="Times New Roman" w:hint="default"/>
          <w:sz w:val="24"/>
          <w:szCs w:val="24"/>
        </w:rPr>
        <w:t>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ovniach, dohľ</w:t>
      </w:r>
      <w:r w:rsidRPr="00015954">
        <w:rPr>
          <w:rFonts w:ascii="Times New Roman" w:hAnsi="Times New Roman" w:hint="default"/>
          <w:sz w:val="24"/>
          <w:szCs w:val="24"/>
        </w:rPr>
        <w:t>ade nad zdravotnou starostlivosť</w:t>
      </w:r>
      <w:r w:rsidRPr="00015954">
        <w:rPr>
          <w:rFonts w:ascii="Times New Roman" w:hAnsi="Times New Roman" w:hint="default"/>
          <w:sz w:val="24"/>
          <w:szCs w:val="24"/>
        </w:rPr>
        <w:t>ou a o zmene a </w:t>
      </w:r>
      <w:r w:rsidRPr="00015954">
        <w:rPr>
          <w:rFonts w:ascii="Times New Roman" w:hAnsi="Times New Roman" w:hint="default"/>
          <w:sz w:val="24"/>
          <w:szCs w:val="24"/>
        </w:rPr>
        <w:t>doplnení</w:t>
      </w:r>
      <w:r w:rsidRPr="00015954">
        <w:rPr>
          <w:rFonts w:ascii="Times New Roman" w:hAnsi="Times New Roman" w:hint="default"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sz w:val="24"/>
          <w:szCs w:val="24"/>
        </w:rPr>
        <w:t>ch zá</w:t>
      </w:r>
      <w:r w:rsidRPr="00015954">
        <w:rPr>
          <w:rFonts w:ascii="Times New Roman" w:hAnsi="Times New Roman" w:hint="default"/>
          <w:sz w:val="24"/>
          <w:szCs w:val="24"/>
        </w:rPr>
        <w:t>konov v </w:t>
      </w:r>
      <w:r w:rsidRPr="00015954">
        <w:rPr>
          <w:rFonts w:ascii="Times New Roman" w:hAnsi="Times New Roman" w:hint="default"/>
          <w:sz w:val="24"/>
          <w:szCs w:val="24"/>
        </w:rPr>
        <w:t>znení</w:t>
      </w:r>
      <w:r w:rsidRPr="00015954">
        <w:rPr>
          <w:rFonts w:ascii="Times New Roman" w:hAnsi="Times New Roman" w:hint="default"/>
          <w:sz w:val="24"/>
          <w:szCs w:val="24"/>
        </w:rPr>
        <w:t xml:space="preserve"> neskorší</w:t>
      </w:r>
      <w:r w:rsidRPr="00015954">
        <w:rPr>
          <w:rFonts w:ascii="Times New Roman" w:hAnsi="Times New Roman" w:hint="default"/>
          <w:sz w:val="24"/>
          <w:szCs w:val="24"/>
        </w:rPr>
        <w:t xml:space="preserve">ch predpisov. </w:t>
      </w:r>
    </w:p>
    <w:p w:rsidR="00C0327A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Cieľ</w:t>
      </w:r>
      <w:r w:rsidRPr="00015954" w:rsidR="004A63DA">
        <w:rPr>
          <w:rFonts w:ascii="Times New Roman" w:hAnsi="Times New Roman" w:hint="default"/>
          <w:sz w:val="24"/>
          <w:szCs w:val="24"/>
        </w:rPr>
        <w:t>om zá</w:t>
      </w:r>
      <w:r w:rsidRPr="00015954" w:rsidR="004A63DA">
        <w:rPr>
          <w:rFonts w:ascii="Times New Roman" w:hAnsi="Times New Roman" w:hint="default"/>
          <w:sz w:val="24"/>
          <w:szCs w:val="24"/>
        </w:rPr>
        <w:t>kona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je </w:t>
      </w:r>
      <w:r>
        <w:rPr>
          <w:rFonts w:ascii="Times New Roman" w:hAnsi="Times New Roman" w:hint="default"/>
          <w:sz w:val="24"/>
          <w:szCs w:val="24"/>
        </w:rPr>
        <w:t>rozší</w:t>
      </w:r>
      <w:r>
        <w:rPr>
          <w:rFonts w:ascii="Times New Roman" w:hAnsi="Times New Roman" w:hint="default"/>
          <w:sz w:val="24"/>
          <w:szCs w:val="24"/>
        </w:rPr>
        <w:t>renie osobné</w:t>
      </w:r>
      <w:r>
        <w:rPr>
          <w:rFonts w:ascii="Times New Roman" w:hAnsi="Times New Roman" w:hint="default"/>
          <w:sz w:val="24"/>
          <w:szCs w:val="24"/>
        </w:rPr>
        <w:t>ho</w:t>
      </w:r>
      <w:r w:rsidRPr="00015954">
        <w:rPr>
          <w:rFonts w:ascii="Times New Roman" w:hAnsi="Times New Roman"/>
          <w:sz w:val="24"/>
          <w:szCs w:val="24"/>
        </w:rPr>
        <w:t xml:space="preserve"> rozsah</w:t>
      </w:r>
      <w:r>
        <w:rPr>
          <w:rFonts w:ascii="Times New Roman" w:hAnsi="Times New Roman"/>
          <w:sz w:val="24"/>
          <w:szCs w:val="24"/>
        </w:rPr>
        <w:t>u</w:t>
      </w:r>
      <w:r w:rsidRPr="00015954">
        <w:rPr>
          <w:rFonts w:ascii="Times New Roman" w:hAnsi="Times New Roman" w:hint="default"/>
          <w:sz w:val="24"/>
          <w:szCs w:val="24"/>
        </w:rPr>
        <w:t xml:space="preserve"> zdravotné</w:t>
      </w:r>
      <w:r w:rsidRPr="00015954">
        <w:rPr>
          <w:rFonts w:ascii="Times New Roman" w:hAnsi="Times New Roman" w:hint="default"/>
          <w:sz w:val="24"/>
          <w:szCs w:val="24"/>
        </w:rPr>
        <w:t>ho poistenia stanovení</w:t>
      </w:r>
      <w:r w:rsidRPr="00015954">
        <w:rPr>
          <w:rFonts w:ascii="Times New Roman" w:hAnsi="Times New Roman" w:hint="default"/>
          <w:sz w:val="24"/>
          <w:szCs w:val="24"/>
        </w:rPr>
        <w:t>m okruhu poistencov, na ktorý</w:t>
      </w:r>
      <w:r w:rsidRPr="00015954">
        <w:rPr>
          <w:rFonts w:ascii="Times New Roman" w:hAnsi="Times New Roman" w:hint="default"/>
          <w:sz w:val="24"/>
          <w:szCs w:val="24"/>
        </w:rPr>
        <w:t>ch sa vzť</w:t>
      </w:r>
      <w:r w:rsidRPr="00015954">
        <w:rPr>
          <w:rFonts w:ascii="Times New Roman" w:hAnsi="Times New Roman" w:hint="default"/>
          <w:sz w:val="24"/>
          <w:szCs w:val="24"/>
        </w:rPr>
        <w:t>ahuje limit spoluúč</w:t>
      </w:r>
      <w:r w:rsidRPr="00015954">
        <w:rPr>
          <w:rFonts w:ascii="Times New Roman" w:hAnsi="Times New Roman" w:hint="default"/>
          <w:sz w:val="24"/>
          <w:szCs w:val="24"/>
        </w:rPr>
        <w:t xml:space="preserve">asti. 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0327A">
        <w:rPr>
          <w:rFonts w:ascii="Times New Roman" w:hAnsi="Times New Roman"/>
          <w:sz w:val="24"/>
          <w:szCs w:val="24"/>
        </w:rPr>
        <w:t>Ide o</w:t>
      </w:r>
      <w:r w:rsidRPr="00015954">
        <w:rPr>
          <w:rFonts w:ascii="Times New Roman" w:hAnsi="Times New Roman"/>
          <w:sz w:val="24"/>
          <w:szCs w:val="24"/>
        </w:rPr>
        <w:t xml:space="preserve"> o</w:t>
      </w:r>
      <w:r w:rsidRPr="00015954">
        <w:rPr>
          <w:rFonts w:ascii="Times New Roman" w:hAnsi="Times New Roman"/>
          <w:bCs/>
          <w:sz w:val="24"/>
          <w:szCs w:val="24"/>
        </w:rPr>
        <w:t>patreni</w:t>
      </w:r>
      <w:r w:rsidR="00C0327A">
        <w:rPr>
          <w:rFonts w:ascii="Times New Roman" w:hAnsi="Times New Roman"/>
          <w:bCs/>
          <w:sz w:val="24"/>
          <w:szCs w:val="24"/>
        </w:rPr>
        <w:t>e</w:t>
      </w:r>
      <w:r w:rsidRPr="00015954">
        <w:rPr>
          <w:rFonts w:ascii="Times New Roman" w:hAnsi="Times New Roman"/>
          <w:bCs/>
          <w:sz w:val="24"/>
          <w:szCs w:val="24"/>
        </w:rPr>
        <w:t xml:space="preserve"> v prospech pacientov, tzv. </w:t>
      </w:r>
      <w:r w:rsidRPr="00015954">
        <w:rPr>
          <w:rFonts w:ascii="Times New Roman" w:hAnsi="Times New Roman" w:hint="default"/>
          <w:iCs/>
          <w:sz w:val="24"/>
          <w:szCs w:val="24"/>
        </w:rPr>
        <w:t>ochranný</w:t>
      </w:r>
      <w:r w:rsidRPr="00015954">
        <w:rPr>
          <w:rFonts w:ascii="Times New Roman" w:hAnsi="Times New Roman" w:hint="default"/>
          <w:iCs/>
          <w:sz w:val="24"/>
          <w:szCs w:val="24"/>
        </w:rPr>
        <w:t xml:space="preserve"> limit na doplatky za lieky</w:t>
      </w:r>
      <w:r w:rsidRPr="00015954">
        <w:rPr>
          <w:rFonts w:ascii="Times New Roman" w:hAnsi="Times New Roman"/>
          <w:bCs/>
          <w:sz w:val="24"/>
          <w:szCs w:val="24"/>
        </w:rPr>
        <w:t xml:space="preserve">. </w:t>
      </w:r>
      <w:r w:rsidRPr="00015954">
        <w:rPr>
          <w:rFonts w:ascii="Times New Roman" w:hAnsi="Times New Roman" w:hint="default"/>
          <w:sz w:val="24"/>
          <w:szCs w:val="24"/>
        </w:rPr>
        <w:t>Zdravotne postihnutí</w:t>
      </w:r>
      <w:r w:rsidRPr="00015954">
        <w:rPr>
          <w:rFonts w:ascii="Times New Roman" w:hAnsi="Times New Roman" w:hint="default"/>
          <w:sz w:val="24"/>
          <w:szCs w:val="24"/>
        </w:rPr>
        <w:t xml:space="preserve"> pacienti zaplatia </w:t>
      </w:r>
      <w:r w:rsidR="00C0327A">
        <w:rPr>
          <w:rFonts w:ascii="Times New Roman" w:hAnsi="Times New Roman"/>
          <w:sz w:val="24"/>
          <w:szCs w:val="24"/>
        </w:rPr>
        <w:t xml:space="preserve">dnes </w:t>
      </w:r>
      <w:r w:rsidRPr="00015954">
        <w:rPr>
          <w:rFonts w:ascii="Times New Roman" w:hAnsi="Times New Roman" w:hint="default"/>
          <w:sz w:val="24"/>
          <w:szCs w:val="24"/>
        </w:rPr>
        <w:t>na doplatkoch za lieky maximá</w:t>
      </w:r>
      <w:r w:rsidRPr="00015954">
        <w:rPr>
          <w:rFonts w:ascii="Times New Roman" w:hAnsi="Times New Roman" w:hint="default"/>
          <w:sz w:val="24"/>
          <w:szCs w:val="24"/>
        </w:rPr>
        <w:t>lne 30 eur za š</w:t>
      </w:r>
      <w:r w:rsidRPr="00015954">
        <w:rPr>
          <w:rFonts w:ascii="Times New Roman" w:hAnsi="Times New Roman" w:hint="default"/>
          <w:sz w:val="24"/>
          <w:szCs w:val="24"/>
        </w:rPr>
        <w:t>tvrť</w:t>
      </w:r>
      <w:r w:rsidRPr="00015954">
        <w:rPr>
          <w:rFonts w:ascii="Times New Roman" w:hAnsi="Times New Roman" w:hint="default"/>
          <w:sz w:val="24"/>
          <w:szCs w:val="24"/>
        </w:rPr>
        <w:t>rok a </w:t>
      </w:r>
      <w:r w:rsidRPr="00015954">
        <w:rPr>
          <w:rFonts w:ascii="Times New Roman" w:hAnsi="Times New Roman" w:hint="default"/>
          <w:sz w:val="24"/>
          <w:szCs w:val="24"/>
        </w:rPr>
        <w:t>dô</w:t>
      </w:r>
      <w:r w:rsidRPr="00015954">
        <w:rPr>
          <w:rFonts w:ascii="Times New Roman" w:hAnsi="Times New Roman" w:hint="default"/>
          <w:sz w:val="24"/>
          <w:szCs w:val="24"/>
        </w:rPr>
        <w:t>chodcovia maximá</w:t>
      </w:r>
      <w:r w:rsidRPr="00015954">
        <w:rPr>
          <w:rFonts w:ascii="Times New Roman" w:hAnsi="Times New Roman" w:hint="default"/>
          <w:sz w:val="24"/>
          <w:szCs w:val="24"/>
        </w:rPr>
        <w:t>lne 45 eur za š</w:t>
      </w:r>
      <w:r w:rsidRPr="00015954">
        <w:rPr>
          <w:rFonts w:ascii="Times New Roman" w:hAnsi="Times New Roman" w:hint="default"/>
          <w:sz w:val="24"/>
          <w:szCs w:val="24"/>
        </w:rPr>
        <w:t>tvrť</w:t>
      </w:r>
      <w:r w:rsidRPr="00015954">
        <w:rPr>
          <w:rFonts w:ascii="Times New Roman" w:hAnsi="Times New Roman" w:hint="default"/>
          <w:sz w:val="24"/>
          <w:szCs w:val="24"/>
        </w:rPr>
        <w:t>rok. Aké</w:t>
      </w:r>
      <w:r w:rsidRPr="00015954">
        <w:rPr>
          <w:rFonts w:ascii="Times New Roman" w:hAnsi="Times New Roman" w:hint="default"/>
          <w:sz w:val="24"/>
          <w:szCs w:val="24"/>
        </w:rPr>
        <w:t>koľ</w:t>
      </w:r>
      <w:r w:rsidRPr="00015954">
        <w:rPr>
          <w:rFonts w:ascii="Times New Roman" w:hAnsi="Times New Roman" w:hint="default"/>
          <w:sz w:val="24"/>
          <w:szCs w:val="24"/>
        </w:rPr>
        <w:t>vek ď</w:t>
      </w:r>
      <w:r w:rsidRPr="00015954">
        <w:rPr>
          <w:rFonts w:ascii="Times New Roman" w:hAnsi="Times New Roman" w:hint="default"/>
          <w:sz w:val="24"/>
          <w:szCs w:val="24"/>
        </w:rPr>
        <w:t>alš</w:t>
      </w:r>
      <w:r w:rsidRPr="00015954">
        <w:rPr>
          <w:rFonts w:ascii="Times New Roman" w:hAnsi="Times New Roman" w:hint="default"/>
          <w:sz w:val="24"/>
          <w:szCs w:val="24"/>
        </w:rPr>
        <w:t>ie doplatky im zaplatí</w:t>
      </w:r>
      <w:r w:rsidRPr="00015954">
        <w:rPr>
          <w:rFonts w:ascii="Times New Roman" w:hAnsi="Times New Roman" w:hint="default"/>
          <w:sz w:val="24"/>
          <w:szCs w:val="24"/>
        </w:rPr>
        <w:t xml:space="preserve"> zdravotná</w:t>
      </w:r>
      <w:r w:rsidRPr="00015954">
        <w:rPr>
          <w:rFonts w:ascii="Times New Roman" w:hAnsi="Times New Roman" w:hint="default"/>
          <w:sz w:val="24"/>
          <w:szCs w:val="24"/>
        </w:rPr>
        <w:t xml:space="preserve"> poisť</w:t>
      </w:r>
      <w:r w:rsidRPr="00015954">
        <w:rPr>
          <w:rFonts w:ascii="Times New Roman" w:hAnsi="Times New Roman" w:hint="default"/>
          <w:sz w:val="24"/>
          <w:szCs w:val="24"/>
        </w:rPr>
        <w:t>ovň</w:t>
      </w:r>
      <w:r w:rsidRPr="00015954">
        <w:rPr>
          <w:rFonts w:ascii="Times New Roman" w:hAnsi="Times New Roman" w:hint="default"/>
          <w:sz w:val="24"/>
          <w:szCs w:val="24"/>
        </w:rPr>
        <w:t>a.</w:t>
      </w:r>
      <w:r w:rsidR="00C0327A">
        <w:rPr>
          <w:rFonts w:ascii="Times New Roman" w:hAnsi="Times New Roman" w:hint="default"/>
          <w:sz w:val="24"/>
          <w:szCs w:val="24"/>
        </w:rPr>
        <w:t xml:space="preserve"> Okruh osô</w:t>
      </w:r>
      <w:r w:rsidR="00C0327A">
        <w:rPr>
          <w:rFonts w:ascii="Times New Roman" w:hAnsi="Times New Roman" w:hint="default"/>
          <w:sz w:val="24"/>
          <w:szCs w:val="24"/>
        </w:rPr>
        <w:t>b, na ktoré</w:t>
      </w:r>
      <w:r w:rsidR="00C0327A">
        <w:rPr>
          <w:rFonts w:ascii="Times New Roman" w:hAnsi="Times New Roman" w:hint="default"/>
          <w:sz w:val="24"/>
          <w:szCs w:val="24"/>
        </w:rPr>
        <w:t xml:space="preserve"> sa bude vzť</w:t>
      </w:r>
      <w:r w:rsidR="00C0327A">
        <w:rPr>
          <w:rFonts w:ascii="Times New Roman" w:hAnsi="Times New Roman" w:hint="default"/>
          <w:sz w:val="24"/>
          <w:szCs w:val="24"/>
        </w:rPr>
        <w:t>ahovať</w:t>
      </w:r>
      <w:r w:rsidR="00C0327A">
        <w:rPr>
          <w:rFonts w:ascii="Times New Roman" w:hAnsi="Times New Roman" w:hint="default"/>
          <w:sz w:val="24"/>
          <w:szCs w:val="24"/>
        </w:rPr>
        <w:t xml:space="preserve"> limit doplatkov, ktorí</w:t>
      </w:r>
      <w:r w:rsidR="00C0327A">
        <w:rPr>
          <w:rFonts w:ascii="Times New Roman" w:hAnsi="Times New Roman" w:hint="default"/>
          <w:sz w:val="24"/>
          <w:szCs w:val="24"/>
        </w:rPr>
        <w:t xml:space="preserve"> zaplatia maximá</w:t>
      </w:r>
      <w:r w:rsidR="00C0327A">
        <w:rPr>
          <w:rFonts w:ascii="Times New Roman" w:hAnsi="Times New Roman" w:hint="default"/>
          <w:sz w:val="24"/>
          <w:szCs w:val="24"/>
        </w:rPr>
        <w:t>lne 45 za š</w:t>
      </w:r>
      <w:r w:rsidR="00C0327A">
        <w:rPr>
          <w:rFonts w:ascii="Times New Roman" w:hAnsi="Times New Roman" w:hint="default"/>
          <w:sz w:val="24"/>
          <w:szCs w:val="24"/>
        </w:rPr>
        <w:t>tvrť</w:t>
      </w:r>
      <w:r w:rsidR="00C0327A">
        <w:rPr>
          <w:rFonts w:ascii="Times New Roman" w:hAnsi="Times New Roman" w:hint="default"/>
          <w:sz w:val="24"/>
          <w:szCs w:val="24"/>
        </w:rPr>
        <w:t>rok sa roz</w:t>
      </w:r>
      <w:r w:rsidR="00C0327A">
        <w:rPr>
          <w:rFonts w:ascii="Times New Roman" w:hAnsi="Times New Roman" w:hint="default"/>
          <w:sz w:val="24"/>
          <w:szCs w:val="24"/>
        </w:rPr>
        <w:t>š</w:t>
      </w:r>
      <w:r w:rsidR="00C0327A">
        <w:rPr>
          <w:rFonts w:ascii="Times New Roman" w:hAnsi="Times New Roman" w:hint="default"/>
          <w:sz w:val="24"/>
          <w:szCs w:val="24"/>
        </w:rPr>
        <w:t xml:space="preserve">iruje o </w:t>
      </w:r>
      <w:r w:rsidRPr="00015954" w:rsidR="00C0327A">
        <w:rPr>
          <w:rFonts w:ascii="Times New Roman" w:hAnsi="Times New Roman"/>
          <w:sz w:val="24"/>
          <w:szCs w:val="24"/>
        </w:rPr>
        <w:t>osob</w:t>
      </w:r>
      <w:r w:rsidR="00C0327A">
        <w:rPr>
          <w:rFonts w:ascii="Times New Roman" w:hAnsi="Times New Roman"/>
          <w:sz w:val="24"/>
          <w:szCs w:val="24"/>
        </w:rPr>
        <w:t>u</w:t>
      </w:r>
      <w:r w:rsidRPr="00015954" w:rsidR="00C0327A">
        <w:rPr>
          <w:rFonts w:ascii="Times New Roman" w:hAnsi="Times New Roman"/>
          <w:sz w:val="24"/>
          <w:szCs w:val="24"/>
        </w:rPr>
        <w:t>, ktorá je poberateľom vdovského dôchodku, vdoveckého dôchodku alebo sirotského dôchodku,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6a</w:t>
      </w:r>
      <w:r w:rsidRPr="00015954" w:rsidR="00C0327A">
        <w:rPr>
          <w:rFonts w:ascii="Times New Roman" w:hAnsi="Times New Roman"/>
          <w:sz w:val="24"/>
          <w:szCs w:val="24"/>
        </w:rPr>
        <w:t>) je poberateľom rodičovského príspevku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6b</w:t>
      </w:r>
      <w:r w:rsidRPr="00015954" w:rsidR="00C0327A">
        <w:rPr>
          <w:rFonts w:ascii="Times New Roman" w:hAnsi="Times New Roman"/>
          <w:sz w:val="24"/>
          <w:szCs w:val="24"/>
        </w:rPr>
        <w:t>) alebo rodičovského príspevku z iného členského štátu, je poberateľom peňažného príspevku za opatrovanie,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6c</w:t>
      </w:r>
      <w:r w:rsidRPr="00015954" w:rsidR="00C0327A">
        <w:rPr>
          <w:rFonts w:ascii="Times New Roman" w:hAnsi="Times New Roman"/>
          <w:sz w:val="24"/>
          <w:szCs w:val="24"/>
        </w:rPr>
        <w:t>) osobne celodenne a riadne sa stará o dieťa vo veku do šiestich rokov, opatruje fyzickú osobu s ťažkým zdravotným postihnutím odkázaného podľa posudku vydaného podľa osobitného predpisu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6d</w:t>
      </w:r>
      <w:r w:rsidRPr="00015954" w:rsidR="00C0327A">
        <w:rPr>
          <w:rFonts w:ascii="Times New Roman" w:hAnsi="Times New Roman"/>
          <w:sz w:val="24"/>
          <w:szCs w:val="24"/>
        </w:rPr>
        <w:t>) alebo opatruje blízku osobu,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6e</w:t>
      </w:r>
      <w:r w:rsidRPr="00015954" w:rsidR="00C0327A">
        <w:rPr>
          <w:rFonts w:ascii="Times New Roman" w:hAnsi="Times New Roman"/>
          <w:sz w:val="24"/>
          <w:szCs w:val="24"/>
        </w:rPr>
        <w:t>) ktorá je staršia ako 80 rokov a nie je umiestnená v zariadení sociálnych služieb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6f</w:t>
      </w:r>
      <w:r w:rsidRPr="00015954" w:rsidR="00C0327A">
        <w:rPr>
          <w:rFonts w:ascii="Times New Roman" w:hAnsi="Times New Roman"/>
          <w:sz w:val="24"/>
          <w:szCs w:val="24"/>
        </w:rPr>
        <w:t>) alebo v zdravotníckom zariadení;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6g</w:t>
      </w:r>
      <w:r w:rsidRPr="00015954" w:rsidR="00C0327A">
        <w:rPr>
          <w:rFonts w:ascii="Times New Roman" w:hAnsi="Times New Roman"/>
          <w:sz w:val="24"/>
          <w:szCs w:val="24"/>
        </w:rPr>
        <w:t>) poberá dávku v hmotnej núdzi alebo príspevok k dávke v hmotnej núdzi, alebo ktorý sa spoločne posudzuje na účely posudzovania hmotnej núdze,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6h</w:t>
      </w:r>
      <w:r w:rsidRPr="00015954" w:rsidR="00C0327A">
        <w:rPr>
          <w:rFonts w:ascii="Times New Roman" w:hAnsi="Times New Roman"/>
          <w:sz w:val="24"/>
          <w:szCs w:val="24"/>
        </w:rPr>
        <w:t>) je vedený v evidencii uchádzačov o zamestnanie,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6i</w:t>
      </w:r>
      <w:r w:rsidRPr="00015954" w:rsidR="00C0327A">
        <w:rPr>
          <w:rFonts w:ascii="Times New Roman" w:hAnsi="Times New Roman"/>
          <w:sz w:val="24"/>
          <w:szCs w:val="24"/>
        </w:rPr>
        <w:t>) vykonáva osobnú asistenciu fyzickej osobe s ťažkým zdravotným postihnutím podľa osobitného predpisu.</w:t>
      </w:r>
      <w:r w:rsidRPr="00015954" w:rsidR="00C0327A">
        <w:rPr>
          <w:rFonts w:ascii="Times New Roman" w:hAnsi="Times New Roman"/>
          <w:sz w:val="24"/>
          <w:szCs w:val="24"/>
          <w:vertAlign w:val="superscript"/>
        </w:rPr>
        <w:t>6j</w:t>
      </w:r>
      <w:r w:rsidRPr="00015954" w:rsidR="00C0327A">
        <w:rPr>
          <w:rFonts w:ascii="Times New Roman" w:hAnsi="Times New Roman"/>
          <w:sz w:val="24"/>
          <w:szCs w:val="24"/>
        </w:rPr>
        <w:t>)</w:t>
      </w:r>
      <w:r w:rsidR="00C0327A">
        <w:rPr>
          <w:rFonts w:ascii="Times New Roman" w:hAnsi="Times New Roman"/>
          <w:sz w:val="24"/>
          <w:szCs w:val="24"/>
        </w:rPr>
        <w:t xml:space="preserve"> Týmto krokom sa pomôže ľuďom, ktorí sú tzv. nízkopríjmoví a majú vyššiu spotrebu liekov.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Style w:val="Textzstupnhosymbolu1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Vplyv na rozpoč</w:t>
      </w:r>
      <w:r w:rsidRPr="00015954">
        <w:rPr>
          <w:rFonts w:ascii="Times New Roman" w:hAnsi="Times New Roman" w:hint="default"/>
          <w:sz w:val="24"/>
          <w:szCs w:val="24"/>
        </w:rPr>
        <w:t>et verejnej sprá</w:t>
      </w:r>
      <w:r w:rsidRPr="00015954">
        <w:rPr>
          <w:rFonts w:ascii="Times New Roman" w:hAnsi="Times New Roman" w:hint="default"/>
          <w:sz w:val="24"/>
          <w:szCs w:val="24"/>
        </w:rPr>
        <w:t>vy a n</w:t>
      </w:r>
      <w:r w:rsidRPr="00015954">
        <w:rPr>
          <w:rFonts w:ascii="Times New Roman" w:hAnsi="Times New Roman" w:hint="default"/>
          <w:sz w:val="24"/>
          <w:szCs w:val="24"/>
        </w:rPr>
        <w:t>a podnikateľ</w:t>
      </w:r>
      <w:r w:rsidRPr="00015954">
        <w:rPr>
          <w:rFonts w:ascii="Times New Roman" w:hAnsi="Times New Roman" w:hint="default"/>
          <w:sz w:val="24"/>
          <w:szCs w:val="24"/>
        </w:rPr>
        <w:t>ské</w:t>
      </w:r>
      <w:r w:rsidRPr="00015954">
        <w:rPr>
          <w:rFonts w:ascii="Times New Roman" w:hAnsi="Times New Roman" w:hint="default"/>
          <w:sz w:val="24"/>
          <w:szCs w:val="24"/>
        </w:rPr>
        <w:t xml:space="preserve"> prostredie 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je uvedený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v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dolož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ke vybraný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ch vplyvov</w:t>
      </w:r>
      <w:r w:rsidRPr="00015954">
        <w:rPr>
          <w:rFonts w:ascii="Times New Roman" w:hAnsi="Times New Roman" w:hint="default"/>
          <w:sz w:val="24"/>
          <w:szCs w:val="24"/>
        </w:rPr>
        <w:t>. Ná</w:t>
      </w:r>
      <w:r w:rsidRPr="00015954">
        <w:rPr>
          <w:rFonts w:ascii="Times New Roman" w:hAnsi="Times New Roman" w:hint="default"/>
          <w:sz w:val="24"/>
          <w:szCs w:val="24"/>
        </w:rPr>
        <w:t>vrh zá</w:t>
      </w:r>
      <w:r w:rsidRPr="00015954">
        <w:rPr>
          <w:rFonts w:ascii="Times New Roman" w:hAnsi="Times New Roman" w:hint="default"/>
          <w:sz w:val="24"/>
          <w:szCs w:val="24"/>
        </w:rPr>
        <w:t>kona  </w:t>
      </w:r>
      <w:r w:rsidRPr="00015954">
        <w:rPr>
          <w:rFonts w:ascii="Times New Roman" w:hAnsi="Times New Roman" w:hint="default"/>
          <w:sz w:val="24"/>
          <w:szCs w:val="24"/>
        </w:rPr>
        <w:t>má</w:t>
      </w:r>
      <w:r w:rsidRPr="00015954">
        <w:rPr>
          <w:rFonts w:ascii="Times New Roman" w:hAnsi="Times New Roman" w:hint="default"/>
          <w:sz w:val="24"/>
          <w:szCs w:val="24"/>
        </w:rPr>
        <w:t xml:space="preserve"> </w:t>
      </w:r>
      <w:r w:rsidR="00C0327A">
        <w:rPr>
          <w:rFonts w:ascii="Times New Roman" w:hAnsi="Times New Roman" w:hint="default"/>
          <w:sz w:val="24"/>
          <w:szCs w:val="24"/>
        </w:rPr>
        <w:t>pozití</w:t>
      </w:r>
      <w:r w:rsidR="00C0327A">
        <w:rPr>
          <w:rFonts w:ascii="Times New Roman" w:hAnsi="Times New Roman" w:hint="default"/>
          <w:sz w:val="24"/>
          <w:szCs w:val="24"/>
        </w:rPr>
        <w:t xml:space="preserve">vne </w:t>
      </w:r>
      <w:r w:rsidRPr="00015954">
        <w:rPr>
          <w:rFonts w:ascii="Times New Roman" w:hAnsi="Times New Roman" w:hint="default"/>
          <w:sz w:val="24"/>
          <w:szCs w:val="24"/>
        </w:rPr>
        <w:t>sociá</w:t>
      </w:r>
      <w:r w:rsidRPr="00015954">
        <w:rPr>
          <w:rFonts w:ascii="Times New Roman" w:hAnsi="Times New Roman" w:hint="default"/>
          <w:sz w:val="24"/>
          <w:szCs w:val="24"/>
        </w:rPr>
        <w:t xml:space="preserve">lne vplyvy, </w:t>
      </w:r>
      <w:r w:rsidR="00C0327A">
        <w:rPr>
          <w:rFonts w:ascii="Times New Roman" w:hAnsi="Times New Roman" w:hint="default"/>
          <w:sz w:val="24"/>
          <w:szCs w:val="24"/>
        </w:rPr>
        <w:t>ktoré</w:t>
      </w:r>
      <w:r w:rsidR="00C0327A">
        <w:rPr>
          <w:rFonts w:ascii="Times New Roman" w:hAnsi="Times New Roman" w:hint="default"/>
          <w:sz w:val="24"/>
          <w:szCs w:val="24"/>
        </w:rPr>
        <w:t xml:space="preserve"> sú</w:t>
      </w:r>
      <w:r w:rsidR="00C0327A">
        <w:rPr>
          <w:rFonts w:ascii="Times New Roman" w:hAnsi="Times New Roman" w:hint="default"/>
          <w:sz w:val="24"/>
          <w:szCs w:val="24"/>
        </w:rPr>
        <w:t xml:space="preserve"> uvedené</w:t>
      </w:r>
      <w:r w:rsidR="00C0327A">
        <w:rPr>
          <w:rFonts w:ascii="Times New Roman" w:hAnsi="Times New Roman" w:hint="default"/>
          <w:sz w:val="24"/>
          <w:szCs w:val="24"/>
        </w:rPr>
        <w:t xml:space="preserve"> v </w:t>
      </w:r>
      <w:r w:rsidR="00C0327A">
        <w:rPr>
          <w:rFonts w:ascii="Times New Roman" w:hAnsi="Times New Roman" w:hint="default"/>
          <w:sz w:val="24"/>
          <w:szCs w:val="24"/>
        </w:rPr>
        <w:t>dolož</w:t>
      </w:r>
      <w:r w:rsidR="00C0327A">
        <w:rPr>
          <w:rFonts w:ascii="Times New Roman" w:hAnsi="Times New Roman" w:hint="default"/>
          <w:sz w:val="24"/>
          <w:szCs w:val="24"/>
        </w:rPr>
        <w:t>ke vplyvov, nemá</w:t>
      </w:r>
      <w:r w:rsidR="00C0327A">
        <w:rPr>
          <w:rFonts w:ascii="Times New Roman" w:hAnsi="Times New Roman" w:hint="default"/>
          <w:sz w:val="24"/>
          <w:szCs w:val="24"/>
        </w:rPr>
        <w:t xml:space="preserve"> </w:t>
      </w:r>
      <w:r w:rsidRPr="00015954">
        <w:rPr>
          <w:rFonts w:ascii="Times New Roman" w:hAnsi="Times New Roman" w:hint="default"/>
          <w:sz w:val="24"/>
          <w:szCs w:val="24"/>
        </w:rPr>
        <w:t>vplyvy na ž</w:t>
      </w:r>
      <w:r w:rsidRPr="00015954">
        <w:rPr>
          <w:rFonts w:ascii="Times New Roman" w:hAnsi="Times New Roman" w:hint="default"/>
          <w:sz w:val="24"/>
          <w:szCs w:val="24"/>
        </w:rPr>
        <w:t>ivotné</w:t>
      </w:r>
      <w:r w:rsidRPr="00015954">
        <w:rPr>
          <w:rFonts w:ascii="Times New Roman" w:hAnsi="Times New Roman" w:hint="default"/>
          <w:sz w:val="24"/>
          <w:szCs w:val="24"/>
        </w:rPr>
        <w:t xml:space="preserve"> prostredie a ani vplyvy na informatizá</w:t>
      </w:r>
      <w:r w:rsidRPr="00015954">
        <w:rPr>
          <w:rFonts w:ascii="Times New Roman" w:hAnsi="Times New Roman" w:hint="default"/>
          <w:sz w:val="24"/>
          <w:szCs w:val="24"/>
        </w:rPr>
        <w:t>ciu spoloč</w:t>
      </w:r>
      <w:r w:rsidRPr="00015954">
        <w:rPr>
          <w:rFonts w:ascii="Times New Roman" w:hAnsi="Times New Roman" w:hint="default"/>
          <w:sz w:val="24"/>
          <w:szCs w:val="24"/>
        </w:rPr>
        <w:t>nosti.</w:t>
      </w:r>
    </w:p>
    <w:p w:rsidR="004A63DA" w:rsidRPr="00015954" w:rsidP="00015954">
      <w:pPr>
        <w:bidi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15954">
        <w:rPr>
          <w:rStyle w:val="Textzstupnhosymbolu1"/>
          <w:rFonts w:hint="default"/>
          <w:color w:val="000000"/>
          <w:sz w:val="24"/>
          <w:szCs w:val="24"/>
        </w:rPr>
        <w:t>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vrh zá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kona je v sú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lade s 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sta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vou Slovenskej republiky, so zá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konmi ako aj s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medziná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rodný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mi zmluvami, ktorý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mi je Slovenská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republika viazaná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 xml:space="preserve"> a 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prá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vnymi predpismi Euró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pskej ú</w:t>
      </w:r>
      <w:r w:rsidRPr="00015954">
        <w:rPr>
          <w:rStyle w:val="Textzstupnhosymbolu1"/>
          <w:rFonts w:hint="default"/>
          <w:color w:val="000000"/>
          <w:sz w:val="24"/>
          <w:szCs w:val="24"/>
        </w:rPr>
        <w:t>nie.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015954">
        <w:rPr>
          <w:rFonts w:ascii="Times New Roman" w:hAnsi="Times New Roman"/>
          <w:b/>
          <w:caps/>
          <w:spacing w:val="30"/>
          <w:sz w:val="24"/>
          <w:szCs w:val="24"/>
        </w:rPr>
        <w:br w:type="page"/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231F20"/>
          <w:sz w:val="24"/>
          <w:szCs w:val="24"/>
        </w:rPr>
      </w:pP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>Osobitná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 xml:space="preserve"> č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</w:rPr>
        <w:t>asť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color w:val="231F20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1276" w:hanging="1275"/>
        <w:jc w:val="both"/>
        <w:rPr>
          <w:rFonts w:ascii="Times New Roman" w:hAnsi="Times New Roman" w:hint="default"/>
          <w:b/>
          <w:color w:val="231F20"/>
          <w:sz w:val="24"/>
          <w:szCs w:val="24"/>
          <w:u w:val="single"/>
        </w:rPr>
      </w:pPr>
      <w:r w:rsidRPr="00015954">
        <w:rPr>
          <w:rFonts w:ascii="Times New Roman" w:hAnsi="Times New Roman" w:hint="default"/>
          <w:b/>
          <w:color w:val="231F20"/>
          <w:sz w:val="24"/>
          <w:szCs w:val="24"/>
          <w:u w:val="single"/>
        </w:rPr>
        <w:t>Č</w:t>
      </w:r>
      <w:r w:rsidRPr="00015954">
        <w:rPr>
          <w:rFonts w:ascii="Times New Roman" w:hAnsi="Times New Roman" w:hint="default"/>
          <w:b/>
          <w:color w:val="231F20"/>
          <w:sz w:val="24"/>
          <w:szCs w:val="24"/>
          <w:u w:val="single"/>
        </w:rPr>
        <w:t>l. I</w:t>
      </w:r>
    </w:p>
    <w:p w:rsidR="004A63DA" w:rsidRPr="00015954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015954">
        <w:rPr>
          <w:rFonts w:ascii="Times New Roman" w:hAnsi="Times New Roman"/>
          <w:b/>
          <w:color w:val="231F20"/>
          <w:sz w:val="24"/>
          <w:szCs w:val="24"/>
        </w:rPr>
        <w:t>K bodu 1</w:t>
      </w:r>
    </w:p>
    <w:p w:rsidR="00C0327A" w:rsidP="00C032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Okruh osô</w:t>
      </w:r>
      <w:r>
        <w:rPr>
          <w:rFonts w:ascii="Times New Roman" w:hAnsi="Times New Roman" w:hint="default"/>
          <w:sz w:val="24"/>
          <w:szCs w:val="24"/>
        </w:rPr>
        <w:t>b, na ktoré</w:t>
      </w:r>
      <w:r>
        <w:rPr>
          <w:rFonts w:ascii="Times New Roman" w:hAnsi="Times New Roman" w:hint="default"/>
          <w:sz w:val="24"/>
          <w:szCs w:val="24"/>
        </w:rPr>
        <w:t xml:space="preserve"> sa bude vzť</w:t>
      </w:r>
      <w:r>
        <w:rPr>
          <w:rFonts w:ascii="Times New Roman" w:hAnsi="Times New Roman" w:hint="default"/>
          <w:sz w:val="24"/>
          <w:szCs w:val="24"/>
        </w:rPr>
        <w:t>ahovať</w:t>
      </w:r>
      <w:r>
        <w:rPr>
          <w:rFonts w:ascii="Times New Roman" w:hAnsi="Times New Roman" w:hint="default"/>
          <w:sz w:val="24"/>
          <w:szCs w:val="24"/>
        </w:rPr>
        <w:t xml:space="preserve"> limit doplatkov, ktorí</w:t>
      </w:r>
      <w:r>
        <w:rPr>
          <w:rFonts w:ascii="Times New Roman" w:hAnsi="Times New Roman" w:hint="default"/>
          <w:sz w:val="24"/>
          <w:szCs w:val="24"/>
        </w:rPr>
        <w:t xml:space="preserve"> zaplatia maxim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lne 45 za š</w:t>
      </w:r>
      <w:r>
        <w:rPr>
          <w:rFonts w:ascii="Times New Roman" w:hAnsi="Times New Roman" w:hint="default"/>
          <w:sz w:val="24"/>
          <w:szCs w:val="24"/>
        </w:rPr>
        <w:t>tvrť</w:t>
      </w:r>
      <w:r>
        <w:rPr>
          <w:rFonts w:ascii="Times New Roman" w:hAnsi="Times New Roman" w:hint="default"/>
          <w:sz w:val="24"/>
          <w:szCs w:val="24"/>
        </w:rPr>
        <w:t>rok sa rozš</w:t>
      </w:r>
      <w:r>
        <w:rPr>
          <w:rFonts w:ascii="Times New Roman" w:hAnsi="Times New Roman" w:hint="default"/>
          <w:sz w:val="24"/>
          <w:szCs w:val="24"/>
        </w:rPr>
        <w:t xml:space="preserve">iruje o </w:t>
      </w:r>
      <w:r w:rsidRPr="00015954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u</w:t>
      </w:r>
      <w:r w:rsidRPr="00015954">
        <w:rPr>
          <w:rFonts w:ascii="Times New Roman" w:hAnsi="Times New Roman"/>
          <w:sz w:val="24"/>
          <w:szCs w:val="24"/>
        </w:rPr>
        <w:t>, ktorá je poberateľom vdovského dôchodku, vdoveckého dôchodku alebo sirotského dôchodku,</w:t>
      </w:r>
      <w:r w:rsidRPr="00015954">
        <w:rPr>
          <w:rFonts w:ascii="Times New Roman" w:hAnsi="Times New Roman"/>
          <w:sz w:val="24"/>
          <w:szCs w:val="24"/>
          <w:vertAlign w:val="superscript"/>
        </w:rPr>
        <w:t>6a</w:t>
      </w:r>
      <w:r w:rsidRPr="00015954">
        <w:rPr>
          <w:rFonts w:ascii="Times New Roman" w:hAnsi="Times New Roman"/>
          <w:sz w:val="24"/>
          <w:szCs w:val="24"/>
        </w:rPr>
        <w:t>) je poberateľom rodičovského príspevku</w:t>
      </w:r>
      <w:r w:rsidRPr="00015954">
        <w:rPr>
          <w:rFonts w:ascii="Times New Roman" w:hAnsi="Times New Roman"/>
          <w:sz w:val="24"/>
          <w:szCs w:val="24"/>
          <w:vertAlign w:val="superscript"/>
        </w:rPr>
        <w:t>6b</w:t>
      </w:r>
      <w:r w:rsidRPr="00015954">
        <w:rPr>
          <w:rFonts w:ascii="Times New Roman" w:hAnsi="Times New Roman"/>
          <w:sz w:val="24"/>
          <w:szCs w:val="24"/>
        </w:rPr>
        <w:t>) alebo rodičovského príspevku z iného členského štátu, je poberateľom peňažného príspevku za opatrovanie,</w:t>
      </w:r>
      <w:r w:rsidRPr="00015954">
        <w:rPr>
          <w:rFonts w:ascii="Times New Roman" w:hAnsi="Times New Roman"/>
          <w:sz w:val="24"/>
          <w:szCs w:val="24"/>
          <w:vertAlign w:val="superscript"/>
        </w:rPr>
        <w:t>6c</w:t>
      </w:r>
      <w:r w:rsidRPr="00015954">
        <w:rPr>
          <w:rFonts w:ascii="Times New Roman" w:hAnsi="Times New Roman"/>
          <w:sz w:val="24"/>
          <w:szCs w:val="24"/>
        </w:rPr>
        <w:t>) osobne celodenne a riadne sa stará o dieťa vo veku do šiestich rokov, opatruje fyzickú osobu s ťažkým zdravotným postihnutím odkázaného podľa posudku vydaného podľa osobitného predpisu</w:t>
      </w:r>
      <w:r w:rsidRPr="00015954">
        <w:rPr>
          <w:rFonts w:ascii="Times New Roman" w:hAnsi="Times New Roman"/>
          <w:sz w:val="24"/>
          <w:szCs w:val="24"/>
          <w:vertAlign w:val="superscript"/>
        </w:rPr>
        <w:t>6d</w:t>
      </w:r>
      <w:r w:rsidRPr="00015954">
        <w:rPr>
          <w:rFonts w:ascii="Times New Roman" w:hAnsi="Times New Roman"/>
          <w:sz w:val="24"/>
          <w:szCs w:val="24"/>
        </w:rPr>
        <w:t>) alebo opatruje blízku osobu,</w:t>
      </w:r>
      <w:r w:rsidRPr="00015954">
        <w:rPr>
          <w:rFonts w:ascii="Times New Roman" w:hAnsi="Times New Roman"/>
          <w:sz w:val="24"/>
          <w:szCs w:val="24"/>
          <w:vertAlign w:val="superscript"/>
        </w:rPr>
        <w:t>6e</w:t>
      </w:r>
      <w:r w:rsidRPr="00015954">
        <w:rPr>
          <w:rFonts w:ascii="Times New Roman" w:hAnsi="Times New Roman"/>
          <w:sz w:val="24"/>
          <w:szCs w:val="24"/>
        </w:rPr>
        <w:t>) ktorá je staršia ako 80 rokov a nie je umiestnená v zariadení sociálnych služieb</w:t>
      </w:r>
      <w:r w:rsidRPr="00015954">
        <w:rPr>
          <w:rFonts w:ascii="Times New Roman" w:hAnsi="Times New Roman"/>
          <w:sz w:val="24"/>
          <w:szCs w:val="24"/>
          <w:vertAlign w:val="superscript"/>
        </w:rPr>
        <w:t>6f</w:t>
      </w:r>
      <w:r w:rsidRPr="00015954">
        <w:rPr>
          <w:rFonts w:ascii="Times New Roman" w:hAnsi="Times New Roman"/>
          <w:sz w:val="24"/>
          <w:szCs w:val="24"/>
        </w:rPr>
        <w:t>) alebo v zdravotníckom zariadení;</w:t>
      </w:r>
      <w:r w:rsidRPr="00015954">
        <w:rPr>
          <w:rFonts w:ascii="Times New Roman" w:hAnsi="Times New Roman"/>
          <w:sz w:val="24"/>
          <w:szCs w:val="24"/>
          <w:vertAlign w:val="superscript"/>
        </w:rPr>
        <w:t>6g</w:t>
      </w:r>
      <w:r w:rsidRPr="00015954">
        <w:rPr>
          <w:rFonts w:ascii="Times New Roman" w:hAnsi="Times New Roman"/>
          <w:sz w:val="24"/>
          <w:szCs w:val="24"/>
        </w:rPr>
        <w:t>) poberá dávku v hmotnej núdzi alebo príspevok k dávke v hmotnej núdzi, alebo ktorý sa spoločne posudzuje na účely posudzovania hmotnej núdze,</w:t>
      </w:r>
      <w:r w:rsidRPr="00015954">
        <w:rPr>
          <w:rFonts w:ascii="Times New Roman" w:hAnsi="Times New Roman"/>
          <w:sz w:val="24"/>
          <w:szCs w:val="24"/>
          <w:vertAlign w:val="superscript"/>
        </w:rPr>
        <w:t>6h</w:t>
      </w:r>
      <w:r w:rsidRPr="00015954">
        <w:rPr>
          <w:rFonts w:ascii="Times New Roman" w:hAnsi="Times New Roman"/>
          <w:sz w:val="24"/>
          <w:szCs w:val="24"/>
        </w:rPr>
        <w:t>) je vedený v evidencii uchádzačov o zamestnanie,</w:t>
      </w:r>
      <w:r w:rsidRPr="00015954">
        <w:rPr>
          <w:rFonts w:ascii="Times New Roman" w:hAnsi="Times New Roman"/>
          <w:sz w:val="24"/>
          <w:szCs w:val="24"/>
          <w:vertAlign w:val="superscript"/>
        </w:rPr>
        <w:t>6i</w:t>
      </w:r>
      <w:r w:rsidRPr="00015954">
        <w:rPr>
          <w:rFonts w:ascii="Times New Roman" w:hAnsi="Times New Roman"/>
          <w:sz w:val="24"/>
          <w:szCs w:val="24"/>
        </w:rPr>
        <w:t>) vykonáva osobnú asistenciu fyzickej osobe s ťažkým zdravotným postihnutím podľa osobitného predpisu.</w:t>
      </w:r>
      <w:r w:rsidRPr="00015954">
        <w:rPr>
          <w:rFonts w:ascii="Times New Roman" w:hAnsi="Times New Roman"/>
          <w:sz w:val="24"/>
          <w:szCs w:val="24"/>
          <w:vertAlign w:val="superscript"/>
        </w:rPr>
        <w:t>6j</w:t>
      </w:r>
      <w:r w:rsidRPr="0001595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Týmto krokom sa pomôže ľuďom, ktorí sú tzv. nízkopríjmoví a majú vyššiu spotrebu liekov.</w:t>
      </w:r>
    </w:p>
    <w:p w:rsidR="00C0327A" w:rsidP="00C032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sz w:val="24"/>
          <w:szCs w:val="24"/>
        </w:rPr>
        <w:t>Ustanovenie up</w:t>
      </w:r>
      <w:r w:rsidRPr="00015954" w:rsidR="004A63DA">
        <w:rPr>
          <w:rFonts w:ascii="Times New Roman" w:hAnsi="Times New Roman" w:hint="default"/>
          <w:sz w:val="24"/>
          <w:szCs w:val="24"/>
        </w:rPr>
        <w:t>ravuje osobný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rozsah zdravotné</w:t>
      </w:r>
      <w:r w:rsidRPr="00015954" w:rsidR="004A63DA">
        <w:rPr>
          <w:rFonts w:ascii="Times New Roman" w:hAnsi="Times New Roman" w:hint="default"/>
          <w:sz w:val="24"/>
          <w:szCs w:val="24"/>
        </w:rPr>
        <w:t>ho poistenia stanovení</w:t>
      </w:r>
      <w:r w:rsidRPr="00015954" w:rsidR="004A63DA">
        <w:rPr>
          <w:rFonts w:ascii="Times New Roman" w:hAnsi="Times New Roman" w:hint="default"/>
          <w:sz w:val="24"/>
          <w:szCs w:val="24"/>
        </w:rPr>
        <w:t>m okruhu poistencov, na ktorý</w:t>
      </w:r>
      <w:r w:rsidRPr="00015954" w:rsidR="004A63DA">
        <w:rPr>
          <w:rFonts w:ascii="Times New Roman" w:hAnsi="Times New Roman" w:hint="default"/>
          <w:sz w:val="24"/>
          <w:szCs w:val="24"/>
        </w:rPr>
        <w:t>ch sa vzť</w:t>
      </w:r>
      <w:r w:rsidRPr="00015954" w:rsidR="004A63DA">
        <w:rPr>
          <w:rFonts w:ascii="Times New Roman" w:hAnsi="Times New Roman" w:hint="default"/>
          <w:sz w:val="24"/>
          <w:szCs w:val="24"/>
        </w:rPr>
        <w:t>ahuje limit spoluúč</w:t>
      </w:r>
      <w:r w:rsidRPr="00015954" w:rsidR="004A63DA">
        <w:rPr>
          <w:rFonts w:ascii="Times New Roman" w:hAnsi="Times New Roman" w:hint="default"/>
          <w:sz w:val="24"/>
          <w:szCs w:val="24"/>
        </w:rPr>
        <w:t>asti.</w:t>
      </w:r>
    </w:p>
    <w:p w:rsidR="004A63DA" w:rsidRPr="00015954" w:rsidP="00C0327A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Ustanovenie</w:t>
      </w:r>
      <w:r w:rsidR="00C0327A">
        <w:rPr>
          <w:rFonts w:ascii="Times New Roman" w:hAnsi="Times New Roman" w:hint="default"/>
          <w:sz w:val="24"/>
          <w:szCs w:val="24"/>
        </w:rPr>
        <w:t>, ktoré</w:t>
      </w:r>
      <w:r w:rsidR="00C0327A">
        <w:rPr>
          <w:rFonts w:ascii="Times New Roman" w:hAnsi="Times New Roman" w:hint="default"/>
          <w:sz w:val="24"/>
          <w:szCs w:val="24"/>
        </w:rPr>
        <w:t xml:space="preserve"> </w:t>
      </w:r>
      <w:r w:rsidRPr="00015954">
        <w:rPr>
          <w:rFonts w:ascii="Times New Roman" w:hAnsi="Times New Roman" w:hint="default"/>
          <w:sz w:val="24"/>
          <w:szCs w:val="24"/>
        </w:rPr>
        <w:t>zahŕň</w:t>
      </w:r>
      <w:r w:rsidRPr="00015954">
        <w:rPr>
          <w:rFonts w:ascii="Times New Roman" w:hAnsi="Times New Roman" w:hint="default"/>
          <w:sz w:val="24"/>
          <w:szCs w:val="24"/>
        </w:rPr>
        <w:t>a do ú</w:t>
      </w:r>
      <w:r w:rsidRPr="00015954">
        <w:rPr>
          <w:rFonts w:ascii="Times New Roman" w:hAnsi="Times New Roman" w:hint="default"/>
          <w:sz w:val="24"/>
          <w:szCs w:val="24"/>
        </w:rPr>
        <w:t>hrnu ú</w:t>
      </w:r>
      <w:r w:rsidRPr="00015954">
        <w:rPr>
          <w:rFonts w:ascii="Times New Roman" w:hAnsi="Times New Roman" w:hint="default"/>
          <w:sz w:val="24"/>
          <w:szCs w:val="24"/>
        </w:rPr>
        <w:t>hrad výš</w:t>
      </w:r>
      <w:r w:rsidRPr="00015954">
        <w:rPr>
          <w:rFonts w:ascii="Times New Roman" w:hAnsi="Times New Roman" w:hint="default"/>
          <w:sz w:val="24"/>
          <w:szCs w:val="24"/>
        </w:rPr>
        <w:t>ku doplatku za najlacnejší</w:t>
      </w:r>
      <w:r w:rsidRPr="00015954">
        <w:rPr>
          <w:rFonts w:ascii="Times New Roman" w:hAnsi="Times New Roman" w:hint="default"/>
          <w:sz w:val="24"/>
          <w:szCs w:val="24"/>
        </w:rPr>
        <w:t xml:space="preserve"> generický</w:t>
      </w:r>
      <w:r w:rsidRPr="00015954">
        <w:rPr>
          <w:rFonts w:ascii="Times New Roman" w:hAnsi="Times New Roman" w:hint="default"/>
          <w:sz w:val="24"/>
          <w:szCs w:val="24"/>
        </w:rPr>
        <w:t xml:space="preserve"> liek, aby sa zabrá</w:t>
      </w:r>
      <w:r w:rsidRPr="00015954">
        <w:rPr>
          <w:rFonts w:ascii="Times New Roman" w:hAnsi="Times New Roman" w:hint="default"/>
          <w:sz w:val="24"/>
          <w:szCs w:val="24"/>
        </w:rPr>
        <w:t>nilo zneuž</w:t>
      </w:r>
      <w:r w:rsidRPr="00015954">
        <w:rPr>
          <w:rFonts w:ascii="Times New Roman" w:hAnsi="Times New Roman" w:hint="default"/>
          <w:sz w:val="24"/>
          <w:szCs w:val="24"/>
        </w:rPr>
        <w:t>itiu limitu spoluúč</w:t>
      </w:r>
      <w:r w:rsidRPr="00015954">
        <w:rPr>
          <w:rFonts w:ascii="Times New Roman" w:hAnsi="Times New Roman" w:hint="default"/>
          <w:sz w:val="24"/>
          <w:szCs w:val="24"/>
        </w:rPr>
        <w:t>asti na prest</w:t>
      </w:r>
      <w:r w:rsidRPr="00015954">
        <w:rPr>
          <w:rFonts w:ascii="Times New Roman" w:hAnsi="Times New Roman" w:hint="default"/>
          <w:sz w:val="24"/>
          <w:szCs w:val="24"/>
        </w:rPr>
        <w:t>avenie pacientov z </w:t>
      </w:r>
      <w:r w:rsidRPr="00015954">
        <w:rPr>
          <w:rFonts w:ascii="Times New Roman" w:hAnsi="Times New Roman" w:hint="default"/>
          <w:sz w:val="24"/>
          <w:szCs w:val="24"/>
        </w:rPr>
        <w:t>lacnejš</w:t>
      </w:r>
      <w:r w:rsidRPr="00015954">
        <w:rPr>
          <w:rFonts w:ascii="Times New Roman" w:hAnsi="Times New Roman" w:hint="default"/>
          <w:sz w:val="24"/>
          <w:szCs w:val="24"/>
        </w:rPr>
        <w:t>ej na drahš</w:t>
      </w:r>
      <w:r w:rsidRPr="00015954">
        <w:rPr>
          <w:rFonts w:ascii="Times New Roman" w:hAnsi="Times New Roman" w:hint="default"/>
          <w:sz w:val="24"/>
          <w:szCs w:val="24"/>
        </w:rPr>
        <w:t>iu farmakoterapiu pri použ</w:t>
      </w:r>
      <w:r w:rsidRPr="00015954">
        <w:rPr>
          <w:rFonts w:ascii="Times New Roman" w:hAnsi="Times New Roman" w:hint="default"/>
          <w:sz w:val="24"/>
          <w:szCs w:val="24"/>
        </w:rPr>
        <w:t>ití</w:t>
      </w:r>
      <w:r w:rsidRPr="00015954">
        <w:rPr>
          <w:rFonts w:ascii="Times New Roman" w:hAnsi="Times New Roman" w:hint="default"/>
          <w:sz w:val="24"/>
          <w:szCs w:val="24"/>
        </w:rPr>
        <w:t xml:space="preserve"> rovnaký</w:t>
      </w:r>
      <w:r w:rsidRPr="00015954">
        <w:rPr>
          <w:rFonts w:ascii="Times New Roman" w:hAnsi="Times New Roman" w:hint="default"/>
          <w:sz w:val="24"/>
          <w:szCs w:val="24"/>
        </w:rPr>
        <w:t>ch úč</w:t>
      </w:r>
      <w:r w:rsidRPr="00015954">
        <w:rPr>
          <w:rFonts w:ascii="Times New Roman" w:hAnsi="Times New Roman" w:hint="default"/>
          <w:sz w:val="24"/>
          <w:szCs w:val="24"/>
        </w:rPr>
        <w:t>inný</w:t>
      </w:r>
      <w:r w:rsidRPr="00015954">
        <w:rPr>
          <w:rFonts w:ascii="Times New Roman" w:hAnsi="Times New Roman" w:hint="default"/>
          <w:sz w:val="24"/>
          <w:szCs w:val="24"/>
        </w:rPr>
        <w:t>ch lá</w:t>
      </w:r>
      <w:r w:rsidRPr="00015954">
        <w:rPr>
          <w:rFonts w:ascii="Times New Roman" w:hAnsi="Times New Roman" w:hint="default"/>
          <w:sz w:val="24"/>
          <w:szCs w:val="24"/>
        </w:rPr>
        <w:t>tok (lieč</w:t>
      </w:r>
      <w:r w:rsidRPr="00015954">
        <w:rPr>
          <w:rFonts w:ascii="Times New Roman" w:hAnsi="Times New Roman" w:hint="default"/>
          <w:sz w:val="24"/>
          <w:szCs w:val="24"/>
        </w:rPr>
        <w:t>iv)</w:t>
      </w:r>
      <w:r w:rsidR="00C0327A">
        <w:rPr>
          <w:rFonts w:ascii="Times New Roman" w:hAnsi="Times New Roman" w:hint="default"/>
          <w:sz w:val="24"/>
          <w:szCs w:val="24"/>
        </w:rPr>
        <w:t>, ostá</w:t>
      </w:r>
      <w:r w:rsidR="00C0327A">
        <w:rPr>
          <w:rFonts w:ascii="Times New Roman" w:hAnsi="Times New Roman" w:hint="default"/>
          <w:sz w:val="24"/>
          <w:szCs w:val="24"/>
        </w:rPr>
        <w:t>va zachované</w:t>
      </w:r>
      <w:r w:rsidRPr="00015954">
        <w:rPr>
          <w:rFonts w:ascii="Times New Roman" w:hAnsi="Times New Roman"/>
          <w:sz w:val="24"/>
          <w:szCs w:val="24"/>
        </w:rPr>
        <w:t xml:space="preserve">. </w:t>
      </w:r>
      <w:r w:rsidR="00C0327A">
        <w:rPr>
          <w:rFonts w:ascii="Times New Roman" w:hAnsi="Times New Roman"/>
          <w:sz w:val="24"/>
          <w:szCs w:val="24"/>
        </w:rPr>
        <w:t>Z</w:t>
      </w: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 w:hint="default"/>
          <w:sz w:val="24"/>
          <w:szCs w:val="24"/>
        </w:rPr>
        <w:t>limitu spoluúč</w:t>
      </w:r>
      <w:r w:rsidRPr="00015954">
        <w:rPr>
          <w:rFonts w:ascii="Times New Roman" w:hAnsi="Times New Roman" w:hint="default"/>
          <w:sz w:val="24"/>
          <w:szCs w:val="24"/>
        </w:rPr>
        <w:t xml:space="preserve">asti </w:t>
      </w:r>
      <w:r w:rsidR="00C0327A">
        <w:rPr>
          <w:rFonts w:ascii="Times New Roman" w:hAnsi="Times New Roman" w:hint="default"/>
          <w:sz w:val="24"/>
          <w:szCs w:val="24"/>
        </w:rPr>
        <w:t>sa vyní</w:t>
      </w:r>
      <w:r w:rsidR="00C0327A">
        <w:rPr>
          <w:rFonts w:ascii="Times New Roman" w:hAnsi="Times New Roman" w:hint="default"/>
          <w:sz w:val="24"/>
          <w:szCs w:val="24"/>
        </w:rPr>
        <w:t>majú</w:t>
      </w:r>
      <w:r w:rsidR="00C0327A">
        <w:rPr>
          <w:rFonts w:ascii="Times New Roman" w:hAnsi="Times New Roman" w:hint="default"/>
          <w:sz w:val="24"/>
          <w:szCs w:val="24"/>
        </w:rPr>
        <w:t xml:space="preserve"> </w:t>
      </w:r>
      <w:r w:rsidRPr="00015954">
        <w:rPr>
          <w:rFonts w:ascii="Times New Roman" w:hAnsi="Times New Roman"/>
          <w:sz w:val="24"/>
          <w:szCs w:val="24"/>
        </w:rPr>
        <w:t>doplatky za lieky s </w:t>
      </w:r>
      <w:r w:rsidRPr="00015954">
        <w:rPr>
          <w:rFonts w:ascii="Times New Roman" w:hAnsi="Times New Roman" w:hint="default"/>
          <w:sz w:val="24"/>
          <w:szCs w:val="24"/>
        </w:rPr>
        <w:t>ní</w:t>
      </w:r>
      <w:r w:rsidRPr="00015954">
        <w:rPr>
          <w:rFonts w:ascii="Times New Roman" w:hAnsi="Times New Roman" w:hint="default"/>
          <w:sz w:val="24"/>
          <w:szCs w:val="24"/>
        </w:rPr>
        <w:t>zkou mierou ú</w:t>
      </w:r>
      <w:r w:rsidRPr="00015954">
        <w:rPr>
          <w:rFonts w:ascii="Times New Roman" w:hAnsi="Times New Roman" w:hint="default"/>
          <w:sz w:val="24"/>
          <w:szCs w:val="24"/>
        </w:rPr>
        <w:t>hrady zo strany zdravotnej poisť</w:t>
      </w:r>
      <w:r w:rsidRPr="00015954">
        <w:rPr>
          <w:rFonts w:ascii="Times New Roman" w:hAnsi="Times New Roman" w:hint="default"/>
          <w:sz w:val="24"/>
          <w:szCs w:val="24"/>
        </w:rPr>
        <w:t>ovne (menej ako 75 % z </w:t>
      </w:r>
      <w:r w:rsidRPr="00015954">
        <w:rPr>
          <w:rFonts w:ascii="Times New Roman" w:hAnsi="Times New Roman" w:hint="default"/>
          <w:sz w:val="24"/>
          <w:szCs w:val="24"/>
        </w:rPr>
        <w:t>maximá</w:t>
      </w:r>
      <w:r w:rsidRPr="00015954">
        <w:rPr>
          <w:rFonts w:ascii="Times New Roman" w:hAnsi="Times New Roman" w:hint="default"/>
          <w:sz w:val="24"/>
          <w:szCs w:val="24"/>
        </w:rPr>
        <w:t>lnej ce</w:t>
      </w:r>
      <w:r w:rsidRPr="00015954">
        <w:rPr>
          <w:rFonts w:ascii="Times New Roman" w:hAnsi="Times New Roman" w:hint="default"/>
          <w:sz w:val="24"/>
          <w:szCs w:val="24"/>
        </w:rPr>
        <w:t>ny). Taká</w:t>
      </w:r>
      <w:r w:rsidRPr="00015954">
        <w:rPr>
          <w:rFonts w:ascii="Times New Roman" w:hAnsi="Times New Roman" w:hint="default"/>
          <w:sz w:val="24"/>
          <w:szCs w:val="24"/>
        </w:rPr>
        <w:t>to výš</w:t>
      </w:r>
      <w:r w:rsidRPr="00015954">
        <w:rPr>
          <w:rFonts w:ascii="Times New Roman" w:hAnsi="Times New Roman" w:hint="default"/>
          <w:sz w:val="24"/>
          <w:szCs w:val="24"/>
        </w:rPr>
        <w:t>ka spoluúč</w:t>
      </w:r>
      <w:r w:rsidRPr="00015954">
        <w:rPr>
          <w:rFonts w:ascii="Times New Roman" w:hAnsi="Times New Roman" w:hint="default"/>
          <w:sz w:val="24"/>
          <w:szCs w:val="24"/>
        </w:rPr>
        <w:t>asti je nastavená</w:t>
      </w:r>
      <w:r w:rsidRPr="00015954">
        <w:rPr>
          <w:rFonts w:ascii="Times New Roman" w:hAnsi="Times New Roman" w:hint="default"/>
          <w:sz w:val="24"/>
          <w:szCs w:val="24"/>
        </w:rPr>
        <w:t xml:space="preserve"> pri liekoch, ktoré</w:t>
      </w:r>
      <w:r w:rsidRPr="00015954">
        <w:rPr>
          <w:rFonts w:ascii="Times New Roman" w:hAnsi="Times New Roman" w:hint="default"/>
          <w:sz w:val="24"/>
          <w:szCs w:val="24"/>
        </w:rPr>
        <w:t xml:space="preserve"> neslúž</w:t>
      </w:r>
      <w:r w:rsidRPr="00015954">
        <w:rPr>
          <w:rFonts w:ascii="Times New Roman" w:hAnsi="Times New Roman" w:hint="default"/>
          <w:sz w:val="24"/>
          <w:szCs w:val="24"/>
        </w:rPr>
        <w:t>ia ako lieky prvej voľ</w:t>
      </w:r>
      <w:r w:rsidRPr="00015954">
        <w:rPr>
          <w:rFonts w:ascii="Times New Roman" w:hAnsi="Times New Roman" w:hint="default"/>
          <w:sz w:val="24"/>
          <w:szCs w:val="24"/>
        </w:rPr>
        <w:t>by, sú</w:t>
      </w:r>
      <w:r w:rsidRPr="00015954">
        <w:rPr>
          <w:rFonts w:ascii="Times New Roman" w:hAnsi="Times New Roman" w:hint="default"/>
          <w:sz w:val="24"/>
          <w:szCs w:val="24"/>
        </w:rPr>
        <w:t xml:space="preserve"> doplnkovou terapiou, nemajú</w:t>
      </w:r>
      <w:r w:rsidRPr="00015954">
        <w:rPr>
          <w:rFonts w:ascii="Times New Roman" w:hAnsi="Times New Roman" w:hint="default"/>
          <w:sz w:val="24"/>
          <w:szCs w:val="24"/>
        </w:rPr>
        <w:t xml:space="preserve"> jednoznač</w:t>
      </w:r>
      <w:r w:rsidRPr="00015954">
        <w:rPr>
          <w:rFonts w:ascii="Times New Roman" w:hAnsi="Times New Roman" w:hint="default"/>
          <w:sz w:val="24"/>
          <w:szCs w:val="24"/>
        </w:rPr>
        <w:t>ne preuká</w:t>
      </w:r>
      <w:r w:rsidRPr="00015954">
        <w:rPr>
          <w:rFonts w:ascii="Times New Roman" w:hAnsi="Times New Roman" w:hint="default"/>
          <w:sz w:val="24"/>
          <w:szCs w:val="24"/>
        </w:rPr>
        <w:t>zaný</w:t>
      </w:r>
      <w:r w:rsidRPr="00015954">
        <w:rPr>
          <w:rFonts w:ascii="Times New Roman" w:hAnsi="Times New Roman" w:hint="default"/>
          <w:sz w:val="24"/>
          <w:szCs w:val="24"/>
        </w:rPr>
        <w:t xml:space="preserve"> ná</w:t>
      </w:r>
      <w:r w:rsidRPr="00015954">
        <w:rPr>
          <w:rFonts w:ascii="Times New Roman" w:hAnsi="Times New Roman" w:hint="default"/>
          <w:sz w:val="24"/>
          <w:szCs w:val="24"/>
        </w:rPr>
        <w:t>kladovo-efektí</w:t>
      </w:r>
      <w:r w:rsidRPr="00015954">
        <w:rPr>
          <w:rFonts w:ascii="Times New Roman" w:hAnsi="Times New Roman" w:hint="default"/>
          <w:sz w:val="24"/>
          <w:szCs w:val="24"/>
        </w:rPr>
        <w:t>vny úč</w:t>
      </w:r>
      <w:r w:rsidRPr="00015954">
        <w:rPr>
          <w:rFonts w:ascii="Times New Roman" w:hAnsi="Times New Roman" w:hint="default"/>
          <w:sz w:val="24"/>
          <w:szCs w:val="24"/>
        </w:rPr>
        <w:t>inok prí</w:t>
      </w:r>
      <w:r w:rsidRPr="00015954">
        <w:rPr>
          <w:rFonts w:ascii="Times New Roman" w:hAnsi="Times New Roman" w:hint="default"/>
          <w:sz w:val="24"/>
          <w:szCs w:val="24"/>
        </w:rPr>
        <w:t>padne nepredstavujú</w:t>
      </w:r>
      <w:r w:rsidRPr="00015954">
        <w:rPr>
          <w:rFonts w:ascii="Times New Roman" w:hAnsi="Times New Roman" w:hint="default"/>
          <w:sz w:val="24"/>
          <w:szCs w:val="24"/>
        </w:rPr>
        <w:t xml:space="preserve"> prioritu z </w:t>
      </w:r>
      <w:r w:rsidRPr="00015954">
        <w:rPr>
          <w:rFonts w:ascii="Times New Roman" w:hAnsi="Times New Roman" w:hint="default"/>
          <w:sz w:val="24"/>
          <w:szCs w:val="24"/>
        </w:rPr>
        <w:t>hľ</w:t>
      </w:r>
      <w:r w:rsidRPr="00015954">
        <w:rPr>
          <w:rFonts w:ascii="Times New Roman" w:hAnsi="Times New Roman" w:hint="default"/>
          <w:sz w:val="24"/>
          <w:szCs w:val="24"/>
        </w:rPr>
        <w:t>adiska spoloč</w:t>
      </w:r>
      <w:r w:rsidRPr="00015954">
        <w:rPr>
          <w:rFonts w:ascii="Times New Roman" w:hAnsi="Times New Roman" w:hint="default"/>
          <w:sz w:val="24"/>
          <w:szCs w:val="24"/>
        </w:rPr>
        <w:t>enskej hodnoty. Spoluúč</w:t>
      </w:r>
      <w:r w:rsidRPr="00015954">
        <w:rPr>
          <w:rFonts w:ascii="Times New Roman" w:hAnsi="Times New Roman" w:hint="default"/>
          <w:sz w:val="24"/>
          <w:szCs w:val="24"/>
        </w:rPr>
        <w:t>asť</w:t>
      </w:r>
      <w:r w:rsidRPr="00015954">
        <w:rPr>
          <w:rFonts w:ascii="Times New Roman" w:hAnsi="Times New Roman" w:hint="default"/>
          <w:sz w:val="24"/>
          <w:szCs w:val="24"/>
        </w:rPr>
        <w:t xml:space="preserve"> má</w:t>
      </w:r>
      <w:r w:rsidRPr="00015954">
        <w:rPr>
          <w:rFonts w:ascii="Times New Roman" w:hAnsi="Times New Roman" w:hint="default"/>
          <w:sz w:val="24"/>
          <w:szCs w:val="24"/>
        </w:rPr>
        <w:t xml:space="preserve"> v </w:t>
      </w:r>
      <w:r w:rsidRPr="00015954">
        <w:rPr>
          <w:rFonts w:ascii="Times New Roman" w:hAnsi="Times New Roman" w:hint="default"/>
          <w:sz w:val="24"/>
          <w:szCs w:val="24"/>
        </w:rPr>
        <w:t>taký</w:t>
      </w:r>
      <w:r w:rsidRPr="00015954">
        <w:rPr>
          <w:rFonts w:ascii="Times New Roman" w:hAnsi="Times New Roman" w:hint="default"/>
          <w:sz w:val="24"/>
          <w:szCs w:val="24"/>
        </w:rPr>
        <w:t>chto prí</w:t>
      </w:r>
      <w:r w:rsidRPr="00015954">
        <w:rPr>
          <w:rFonts w:ascii="Times New Roman" w:hAnsi="Times New Roman" w:hint="default"/>
          <w:sz w:val="24"/>
          <w:szCs w:val="24"/>
        </w:rPr>
        <w:t>padoch opodstatnené</w:t>
      </w:r>
      <w:r w:rsidRPr="00015954">
        <w:rPr>
          <w:rFonts w:ascii="Times New Roman" w:hAnsi="Times New Roman" w:hint="default"/>
          <w:sz w:val="24"/>
          <w:szCs w:val="24"/>
        </w:rPr>
        <w:t xml:space="preserve"> funkciu regulá</w:t>
      </w:r>
      <w:r w:rsidRPr="00015954">
        <w:rPr>
          <w:rFonts w:ascii="Times New Roman" w:hAnsi="Times New Roman" w:hint="default"/>
          <w:sz w:val="24"/>
          <w:szCs w:val="24"/>
        </w:rPr>
        <w:t>cie spotreby a </w:t>
      </w:r>
      <w:r w:rsidRPr="00015954">
        <w:rPr>
          <w:rFonts w:ascii="Times New Roman" w:hAnsi="Times New Roman" w:hint="default"/>
          <w:sz w:val="24"/>
          <w:szCs w:val="24"/>
        </w:rPr>
        <w:t>nie je ž</w:t>
      </w:r>
      <w:r w:rsidRPr="00015954">
        <w:rPr>
          <w:rFonts w:ascii="Times New Roman" w:hAnsi="Times New Roman" w:hint="default"/>
          <w:sz w:val="24"/>
          <w:szCs w:val="24"/>
        </w:rPr>
        <w:t>iaduce tento rež</w:t>
      </w:r>
      <w:r w:rsidRPr="00015954">
        <w:rPr>
          <w:rFonts w:ascii="Times New Roman" w:hAnsi="Times New Roman" w:hint="default"/>
          <w:sz w:val="24"/>
          <w:szCs w:val="24"/>
        </w:rPr>
        <w:t>im meniť.</w:t>
      </w:r>
    </w:p>
    <w:p w:rsidR="004A63DA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</w:p>
    <w:p w:rsidR="00C0327A" w:rsidP="00015954">
      <w:pPr>
        <w:bidi w:val="0"/>
        <w:spacing w:after="0" w:line="240" w:lineRule="auto"/>
        <w:ind w:left="1276" w:hanging="1276"/>
        <w:jc w:val="both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>K bodu 2</w:t>
      </w:r>
    </w:p>
    <w:p w:rsidR="00C0327A" w:rsidP="0086541B">
      <w:pPr>
        <w:bidi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 w:hint="default"/>
          <w:color w:val="231F20"/>
          <w:sz w:val="24"/>
          <w:szCs w:val="24"/>
        </w:rPr>
        <w:t>Okruh osô</w:t>
      </w:r>
      <w:r>
        <w:rPr>
          <w:rFonts w:ascii="Times New Roman" w:hAnsi="Times New Roman" w:hint="default"/>
          <w:color w:val="231F20"/>
          <w:sz w:val="24"/>
          <w:szCs w:val="24"/>
        </w:rPr>
        <w:t>b, na ktorý</w:t>
      </w:r>
      <w:r>
        <w:rPr>
          <w:rFonts w:ascii="Times New Roman" w:hAnsi="Times New Roman" w:hint="default"/>
          <w:color w:val="231F20"/>
          <w:sz w:val="24"/>
          <w:szCs w:val="24"/>
        </w:rPr>
        <w:t>ch sa vzť</w:t>
      </w:r>
      <w:r>
        <w:rPr>
          <w:rFonts w:ascii="Times New Roman" w:hAnsi="Times New Roman" w:hint="default"/>
          <w:color w:val="231F20"/>
          <w:sz w:val="24"/>
          <w:szCs w:val="24"/>
        </w:rPr>
        <w:t>ahuje limit doplatkov bol ohranič</w:t>
      </w:r>
      <w:r>
        <w:rPr>
          <w:rFonts w:ascii="Times New Roman" w:hAnsi="Times New Roman" w:hint="default"/>
          <w:color w:val="231F20"/>
          <w:sz w:val="24"/>
          <w:szCs w:val="24"/>
        </w:rPr>
        <w:t>ený</w:t>
      </w:r>
      <w:r>
        <w:rPr>
          <w:rFonts w:ascii="Times New Roman" w:hAnsi="Times New Roman" w:hint="default"/>
          <w:color w:val="231F20"/>
          <w:sz w:val="24"/>
          <w:szCs w:val="24"/>
        </w:rPr>
        <w:t xml:space="preserve"> 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prí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jmom z 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dô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chodku na 50% z 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priemernej mesač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nej mzdy z 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pred dvoch rokov. Nebolo tiež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jasné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, č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i sa to vzť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ahuje na kaž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dý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jednotlivý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dô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chodok, preto sa v 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zá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ujme jednoznač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nosti uvá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dza, ž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e sa spočí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tajú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vš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etky dô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chodky a 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porovnajú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na navrhovanú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sumu 100% z 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priemernej mesač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nej mzdy z 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pred dvoch rokov, t.j. pre rok 2013 sa bude vychá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dzať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z roku 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2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011, kedy priemerná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mesač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ná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 xml:space="preserve"> mzda bola vo výš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ke 786 eur mesač</w:t>
      </w:r>
      <w:r w:rsidR="0086541B">
        <w:rPr>
          <w:rFonts w:ascii="Times New Roman" w:hAnsi="Times New Roman" w:hint="default"/>
          <w:color w:val="231F20"/>
          <w:sz w:val="24"/>
          <w:szCs w:val="24"/>
        </w:rPr>
        <w:t>ne.</w:t>
      </w:r>
    </w:p>
    <w:p w:rsidR="0086541B" w:rsidP="0086541B">
      <w:pPr>
        <w:bidi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86541B" w:rsidRPr="0086541B" w:rsidP="0086541B">
      <w:pPr>
        <w:bidi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86541B">
        <w:rPr>
          <w:rFonts w:ascii="Times New Roman" w:hAnsi="Times New Roman"/>
          <w:b/>
          <w:color w:val="231F20"/>
          <w:sz w:val="24"/>
          <w:szCs w:val="24"/>
        </w:rPr>
        <w:t>K bodu 3</w:t>
      </w:r>
    </w:p>
    <w:p w:rsidR="0086541B" w:rsidP="0086541B">
      <w:pPr>
        <w:bidi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="00826286">
        <w:rPr>
          <w:rFonts w:ascii="Times New Roman" w:hAnsi="Times New Roman" w:hint="default"/>
          <w:color w:val="231F20"/>
          <w:sz w:val="24"/>
          <w:szCs w:val="24"/>
        </w:rPr>
        <w:t>Vzhľ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adom na to, ž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e v 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zá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kone je slovíč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ko „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vyšší“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 xml:space="preserve"> ú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plne nevhodné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 xml:space="preserve"> a 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nevystihuje podstatu doplatkov na lieky, nahrá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dza sa slovom „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vý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hodnejší“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, ktorý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 xml:space="preserve"> jasne stanovuje, ž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e keď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 xml:space="preserve"> sa na jednu osobu budú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 xml:space="preserve"> vzť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ahovať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 xml:space="preserve"> oba doplatky, bude pre osobu vž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dy vý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hodnejší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 xml:space="preserve"> doplatok vo výš</w:t>
      </w:r>
      <w:r w:rsidR="00826286">
        <w:rPr>
          <w:rFonts w:ascii="Times New Roman" w:hAnsi="Times New Roman" w:hint="default"/>
          <w:color w:val="231F20"/>
          <w:sz w:val="24"/>
          <w:szCs w:val="24"/>
        </w:rPr>
        <w:t>ka 30 eur.</w:t>
      </w:r>
    </w:p>
    <w:p w:rsidR="00826286" w:rsidP="0086541B">
      <w:pPr>
        <w:bidi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b/>
          <w:bCs/>
          <w:sz w:val="24"/>
          <w:szCs w:val="24"/>
          <w:u w:val="single"/>
        </w:rPr>
      </w:pPr>
      <w:r w:rsidRPr="00015954">
        <w:rPr>
          <w:rFonts w:ascii="Times New Roman" w:hAnsi="Times New Roman" w:hint="default"/>
          <w:b/>
          <w:bCs/>
          <w:sz w:val="24"/>
          <w:szCs w:val="24"/>
          <w:u w:val="single"/>
        </w:rPr>
        <w:t>Č</w:t>
      </w:r>
      <w:r w:rsidRPr="00015954">
        <w:rPr>
          <w:rFonts w:ascii="Times New Roman" w:hAnsi="Times New Roman" w:hint="default"/>
          <w:b/>
          <w:bCs/>
          <w:sz w:val="24"/>
          <w:szCs w:val="24"/>
          <w:u w:val="single"/>
        </w:rPr>
        <w:t>l. II</w:t>
      </w:r>
    </w:p>
    <w:p w:rsidR="00826286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b/>
          <w:bCs/>
        </w:rPr>
      </w:pPr>
    </w:p>
    <w:p w:rsidR="00826286" w:rsidRPr="00826286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b/>
          <w:bCs/>
        </w:rPr>
      </w:pPr>
      <w:r w:rsidRPr="00826286">
        <w:rPr>
          <w:b/>
          <w:bCs/>
        </w:rPr>
        <w:t>K bodu 1</w:t>
      </w:r>
    </w:p>
    <w:p w:rsidR="00B46072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rFonts w:hint="default"/>
          <w:bCs/>
        </w:rPr>
      </w:pPr>
      <w:r w:rsidRPr="00015954" w:rsidR="004A63DA">
        <w:rPr>
          <w:rFonts w:hint="default"/>
          <w:bCs/>
        </w:rPr>
        <w:t>Legislatí</w:t>
      </w:r>
      <w:r w:rsidRPr="00015954" w:rsidR="004A63DA">
        <w:rPr>
          <w:rFonts w:hint="default"/>
          <w:bCs/>
        </w:rPr>
        <w:t>vno-technická</w:t>
      </w:r>
      <w:r w:rsidRPr="00015954" w:rsidR="004A63DA">
        <w:rPr>
          <w:rFonts w:hint="default"/>
          <w:bCs/>
        </w:rPr>
        <w:t xml:space="preserve"> ú</w:t>
      </w:r>
      <w:r w:rsidRPr="00015954" w:rsidR="004A63DA">
        <w:rPr>
          <w:rFonts w:hint="default"/>
          <w:bCs/>
        </w:rPr>
        <w:t>prava v </w:t>
      </w:r>
      <w:r w:rsidRPr="00015954" w:rsidR="004A63DA">
        <w:rPr>
          <w:rFonts w:hint="default"/>
          <w:bCs/>
        </w:rPr>
        <w:t>nadvä</w:t>
      </w:r>
      <w:r w:rsidRPr="00015954" w:rsidR="004A63DA">
        <w:rPr>
          <w:rFonts w:hint="default"/>
          <w:bCs/>
        </w:rPr>
        <w:t xml:space="preserve">znosti na </w:t>
      </w:r>
      <w:r>
        <w:rPr>
          <w:rFonts w:hint="default"/>
          <w:bCs/>
        </w:rPr>
        <w:t>zvýš</w:t>
      </w:r>
      <w:r>
        <w:rPr>
          <w:rFonts w:hint="default"/>
          <w:bCs/>
        </w:rPr>
        <w:t>enie sumy priemernej mesač</w:t>
      </w:r>
      <w:r>
        <w:rPr>
          <w:rFonts w:hint="default"/>
          <w:bCs/>
        </w:rPr>
        <w:t>nej mzdy.</w:t>
      </w:r>
    </w:p>
    <w:p w:rsidR="00B46072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rFonts w:hint="default"/>
          <w:bCs/>
        </w:rPr>
      </w:pPr>
    </w:p>
    <w:p w:rsidR="00B46072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rFonts w:hint="default"/>
          <w:bCs/>
        </w:rPr>
      </w:pPr>
    </w:p>
    <w:p w:rsidR="00B46072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b/>
          <w:bCs/>
        </w:rPr>
      </w:pPr>
      <w:r w:rsidRPr="00B46072">
        <w:rPr>
          <w:b/>
          <w:bCs/>
        </w:rPr>
        <w:t>K bodu 2</w:t>
      </w:r>
    </w:p>
    <w:p w:rsidR="00B46072" w:rsidRPr="00B46072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rFonts w:hint="default"/>
          <w:bCs/>
        </w:rPr>
      </w:pPr>
      <w:r w:rsidRPr="00B46072">
        <w:rPr>
          <w:rFonts w:hint="default"/>
          <w:bCs/>
        </w:rPr>
        <w:t>Legislatí</w:t>
      </w:r>
      <w:r w:rsidRPr="00B46072">
        <w:rPr>
          <w:rFonts w:hint="default"/>
          <w:bCs/>
        </w:rPr>
        <w:t>vno-technická</w:t>
      </w:r>
      <w:r w:rsidRPr="00B46072">
        <w:rPr>
          <w:rFonts w:hint="default"/>
          <w:bCs/>
        </w:rPr>
        <w:t xml:space="preserve"> ú</w:t>
      </w:r>
      <w:r w:rsidRPr="00B46072">
        <w:rPr>
          <w:rFonts w:hint="default"/>
          <w:bCs/>
        </w:rPr>
        <w:t>prava.</w:t>
      </w:r>
    </w:p>
    <w:p w:rsidR="00B46072" w:rsidRPr="00B46072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b/>
          <w:bCs/>
        </w:rPr>
      </w:pPr>
    </w:p>
    <w:p w:rsidR="00B46072" w:rsidRPr="00B46072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b/>
          <w:bCs/>
        </w:rPr>
      </w:pPr>
      <w:r w:rsidRPr="00B46072">
        <w:rPr>
          <w:b/>
          <w:bCs/>
        </w:rPr>
        <w:t>K b</w:t>
      </w:r>
      <w:r w:rsidRPr="00B46072">
        <w:rPr>
          <w:b/>
          <w:bCs/>
        </w:rPr>
        <w:t>odu 3</w:t>
      </w:r>
    </w:p>
    <w:p w:rsidR="004A63DA" w:rsidRPr="00015954" w:rsidP="00015954">
      <w:pPr>
        <w:pStyle w:val="NormalWeb"/>
        <w:bidi w:val="0"/>
        <w:spacing w:before="0" w:beforeAutospacing="0" w:after="0" w:afterAutospacing="0"/>
        <w:ind w:right="-108"/>
        <w:jc w:val="both"/>
        <w:rPr>
          <w:bCs/>
        </w:rPr>
      </w:pPr>
      <w:r w:rsidRPr="00015954" w:rsidR="00B46072">
        <w:rPr>
          <w:rFonts w:hint="default"/>
          <w:bCs/>
        </w:rPr>
        <w:t>Legislatí</w:t>
      </w:r>
      <w:r w:rsidRPr="00015954" w:rsidR="00B46072">
        <w:rPr>
          <w:rFonts w:hint="default"/>
          <w:bCs/>
        </w:rPr>
        <w:t>vno-technická</w:t>
      </w:r>
      <w:r w:rsidRPr="00015954" w:rsidR="00B46072">
        <w:rPr>
          <w:rFonts w:hint="default"/>
          <w:bCs/>
        </w:rPr>
        <w:t xml:space="preserve"> ú</w:t>
      </w:r>
      <w:r w:rsidRPr="00015954" w:rsidR="00B46072">
        <w:rPr>
          <w:rFonts w:hint="default"/>
          <w:bCs/>
        </w:rPr>
        <w:t>prava v </w:t>
      </w:r>
      <w:r w:rsidRPr="00015954" w:rsidR="00B46072">
        <w:rPr>
          <w:rFonts w:hint="default"/>
          <w:bCs/>
        </w:rPr>
        <w:t>nadvä</w:t>
      </w:r>
      <w:r w:rsidRPr="00015954" w:rsidR="00B46072">
        <w:rPr>
          <w:rFonts w:hint="default"/>
          <w:bCs/>
        </w:rPr>
        <w:t xml:space="preserve">znosti </w:t>
      </w:r>
      <w:r w:rsidR="00826286">
        <w:rPr>
          <w:rFonts w:hint="default"/>
          <w:bCs/>
        </w:rPr>
        <w:t>rozší</w:t>
      </w:r>
      <w:r w:rsidR="00826286">
        <w:rPr>
          <w:rFonts w:hint="default"/>
          <w:bCs/>
        </w:rPr>
        <w:t>renie okruhu osô</w:t>
      </w:r>
      <w:r w:rsidR="00826286">
        <w:rPr>
          <w:rFonts w:hint="default"/>
          <w:bCs/>
        </w:rPr>
        <w:t>b za</w:t>
      </w:r>
      <w:r w:rsidRPr="00015954">
        <w:rPr>
          <w:rFonts w:hint="default"/>
          <w:bCs/>
        </w:rPr>
        <w:t xml:space="preserve"> ú</w:t>
      </w:r>
      <w:r w:rsidRPr="00015954">
        <w:rPr>
          <w:rFonts w:hint="default"/>
          <w:bCs/>
        </w:rPr>
        <w:t>hrady za lieky, kto</w:t>
      </w:r>
      <w:r w:rsidR="00B46072">
        <w:rPr>
          <w:rFonts w:hint="default"/>
          <w:bCs/>
        </w:rPr>
        <w:t>ré</w:t>
      </w:r>
      <w:r w:rsidR="00B46072">
        <w:rPr>
          <w:rFonts w:hint="default"/>
          <w:bCs/>
        </w:rPr>
        <w:t xml:space="preserve"> prekroč</w:t>
      </w:r>
      <w:r w:rsidR="00B46072">
        <w:rPr>
          <w:rFonts w:hint="default"/>
          <w:bCs/>
        </w:rPr>
        <w:t>ili limit spoluúč</w:t>
      </w:r>
      <w:r w:rsidR="00B46072">
        <w:rPr>
          <w:rFonts w:hint="default"/>
          <w:bCs/>
        </w:rPr>
        <w:t>asti, kde ú</w:t>
      </w:r>
      <w:r w:rsidR="00B46072">
        <w:rPr>
          <w:rFonts w:hint="default"/>
          <w:bCs/>
        </w:rPr>
        <w:t>stredie prá</w:t>
      </w:r>
      <w:r w:rsidR="00B46072">
        <w:rPr>
          <w:rFonts w:hint="default"/>
          <w:bCs/>
        </w:rPr>
        <w:t>ce odovzdá</w:t>
      </w:r>
      <w:r w:rsidR="00B46072">
        <w:rPr>
          <w:rFonts w:hint="default"/>
          <w:bCs/>
        </w:rPr>
        <w:t>va informá</w:t>
      </w:r>
      <w:r w:rsidR="00B46072">
        <w:rPr>
          <w:rFonts w:hint="default"/>
          <w:bCs/>
        </w:rPr>
        <w:t>cie o </w:t>
      </w:r>
      <w:r w:rsidR="00B46072">
        <w:rPr>
          <w:rFonts w:hint="default"/>
          <w:bCs/>
        </w:rPr>
        <w:t>osobá</w:t>
      </w:r>
      <w:r w:rsidR="00B46072">
        <w:rPr>
          <w:rFonts w:hint="default"/>
          <w:bCs/>
        </w:rPr>
        <w:t>ch, na ktoré</w:t>
      </w:r>
      <w:r w:rsidR="00B46072">
        <w:rPr>
          <w:rFonts w:hint="default"/>
          <w:bCs/>
        </w:rPr>
        <w:t xml:space="preserve"> sa rozší</w:t>
      </w:r>
      <w:r w:rsidR="00B46072">
        <w:rPr>
          <w:rFonts w:hint="default"/>
          <w:bCs/>
        </w:rPr>
        <w:t>ril limit spoluúč</w:t>
      </w:r>
      <w:r w:rsidR="00B46072">
        <w:rPr>
          <w:rFonts w:hint="default"/>
          <w:bCs/>
        </w:rPr>
        <w:t>asti.</w:t>
      </w:r>
    </w:p>
    <w:p w:rsidR="004A63DA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46072" w:rsidRPr="00B46072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6072">
        <w:rPr>
          <w:rFonts w:ascii="Times New Roman" w:hAnsi="Times New Roman"/>
          <w:b/>
          <w:bCs/>
          <w:sz w:val="24"/>
          <w:szCs w:val="24"/>
        </w:rPr>
        <w:t>K bodu 4</w:t>
      </w:r>
    </w:p>
    <w:p w:rsidR="00B46072" w:rsidRPr="00015954" w:rsidP="00B46072">
      <w:pPr>
        <w:pStyle w:val="NormalWeb"/>
        <w:bidi w:val="0"/>
        <w:spacing w:before="0" w:beforeAutospacing="0" w:after="0" w:afterAutospacing="0"/>
        <w:ind w:right="-108"/>
        <w:jc w:val="both"/>
        <w:rPr>
          <w:bCs/>
        </w:rPr>
      </w:pPr>
      <w:r w:rsidRPr="00015954">
        <w:rPr>
          <w:rFonts w:hint="default"/>
          <w:bCs/>
        </w:rPr>
        <w:t>Legislatí</w:t>
      </w:r>
      <w:r w:rsidRPr="00015954">
        <w:rPr>
          <w:rFonts w:hint="default"/>
          <w:bCs/>
        </w:rPr>
        <w:t>vno-technická</w:t>
      </w:r>
      <w:r w:rsidRPr="00015954">
        <w:rPr>
          <w:rFonts w:hint="default"/>
          <w:bCs/>
        </w:rPr>
        <w:t xml:space="preserve"> ú</w:t>
      </w:r>
      <w:r w:rsidRPr="00015954">
        <w:rPr>
          <w:rFonts w:hint="default"/>
          <w:bCs/>
        </w:rPr>
        <w:t>prava v </w:t>
      </w:r>
      <w:r w:rsidRPr="00015954">
        <w:rPr>
          <w:rFonts w:hint="default"/>
          <w:bCs/>
        </w:rPr>
        <w:t>nadvä</w:t>
      </w:r>
      <w:r w:rsidRPr="00015954">
        <w:rPr>
          <w:rFonts w:hint="default"/>
          <w:bCs/>
        </w:rPr>
        <w:t xml:space="preserve">znosti </w:t>
      </w:r>
      <w:r>
        <w:rPr>
          <w:rFonts w:hint="default"/>
          <w:bCs/>
        </w:rPr>
        <w:t>rozší</w:t>
      </w:r>
      <w:r>
        <w:rPr>
          <w:rFonts w:hint="default"/>
          <w:bCs/>
        </w:rPr>
        <w:t>renie okruhu osô</w:t>
      </w:r>
      <w:r>
        <w:rPr>
          <w:rFonts w:hint="default"/>
          <w:bCs/>
        </w:rPr>
        <w:t>b za</w:t>
      </w:r>
      <w:r w:rsidRPr="00015954">
        <w:rPr>
          <w:rFonts w:hint="default"/>
          <w:bCs/>
        </w:rPr>
        <w:t xml:space="preserve"> ú</w:t>
      </w:r>
      <w:r w:rsidRPr="00015954">
        <w:rPr>
          <w:rFonts w:hint="default"/>
          <w:bCs/>
        </w:rPr>
        <w:t>hrady za lieky, kto</w:t>
      </w:r>
      <w:r>
        <w:rPr>
          <w:rFonts w:hint="default"/>
          <w:bCs/>
        </w:rPr>
        <w:t>ré</w:t>
      </w:r>
      <w:r>
        <w:rPr>
          <w:rFonts w:hint="default"/>
          <w:bCs/>
        </w:rPr>
        <w:t xml:space="preserve"> prekroč</w:t>
      </w:r>
      <w:r>
        <w:rPr>
          <w:rFonts w:hint="default"/>
          <w:bCs/>
        </w:rPr>
        <w:t>ili limit spoluúč</w:t>
      </w:r>
      <w:r>
        <w:rPr>
          <w:rFonts w:hint="default"/>
          <w:bCs/>
        </w:rPr>
        <w:t>asti, kde ú</w:t>
      </w:r>
      <w:r>
        <w:rPr>
          <w:rFonts w:hint="default"/>
          <w:bCs/>
        </w:rPr>
        <w:t>stredie prá</w:t>
      </w:r>
      <w:r>
        <w:rPr>
          <w:rFonts w:hint="default"/>
          <w:bCs/>
        </w:rPr>
        <w:t>ce odovzdá</w:t>
      </w:r>
      <w:r>
        <w:rPr>
          <w:rFonts w:hint="default"/>
          <w:bCs/>
        </w:rPr>
        <w:t>va informá</w:t>
      </w:r>
      <w:r>
        <w:rPr>
          <w:rFonts w:hint="default"/>
          <w:bCs/>
        </w:rPr>
        <w:t>cie o </w:t>
      </w:r>
      <w:r>
        <w:rPr>
          <w:rFonts w:hint="default"/>
          <w:bCs/>
        </w:rPr>
        <w:t>osobá</w:t>
      </w:r>
      <w:r>
        <w:rPr>
          <w:rFonts w:hint="default"/>
          <w:bCs/>
        </w:rPr>
        <w:t>ch, na ktoré</w:t>
      </w:r>
      <w:r>
        <w:rPr>
          <w:rFonts w:hint="default"/>
          <w:bCs/>
        </w:rPr>
        <w:t xml:space="preserve"> sa rozší</w:t>
      </w:r>
      <w:r>
        <w:rPr>
          <w:rFonts w:hint="default"/>
          <w:bCs/>
        </w:rPr>
        <w:t>ril limit spoluúč</w:t>
      </w:r>
      <w:r>
        <w:rPr>
          <w:rFonts w:hint="default"/>
          <w:bCs/>
        </w:rPr>
        <w:t>asti.</w:t>
      </w:r>
    </w:p>
    <w:p w:rsidR="00B46072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46072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 </w:t>
      </w:r>
      <w:r>
        <w:rPr>
          <w:rFonts w:ascii="Times New Roman" w:hAnsi="Times New Roman" w:hint="default"/>
          <w:b/>
          <w:bCs/>
          <w:sz w:val="24"/>
          <w:szCs w:val="24"/>
          <w:u w:val="single"/>
        </w:rPr>
        <w:t>Č</w:t>
      </w:r>
      <w:r>
        <w:rPr>
          <w:rFonts w:ascii="Times New Roman" w:hAnsi="Times New Roman" w:hint="default"/>
          <w:b/>
          <w:bCs/>
          <w:sz w:val="24"/>
          <w:szCs w:val="24"/>
          <w:u w:val="single"/>
        </w:rPr>
        <w:t>l. III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Navrhuje sa úč</w:t>
      </w:r>
      <w:r w:rsidRPr="00015954">
        <w:rPr>
          <w:rFonts w:ascii="Times New Roman" w:hAnsi="Times New Roman" w:hint="default"/>
          <w:sz w:val="24"/>
          <w:szCs w:val="24"/>
        </w:rPr>
        <w:t>innosť</w:t>
      </w:r>
      <w:r w:rsidRPr="00015954">
        <w:rPr>
          <w:rFonts w:ascii="Times New Roman" w:hAnsi="Times New Roman" w:hint="default"/>
          <w:sz w:val="24"/>
          <w:szCs w:val="24"/>
        </w:rPr>
        <w:t xml:space="preserve"> vzhľ</w:t>
      </w:r>
      <w:r w:rsidRPr="00015954">
        <w:rPr>
          <w:rFonts w:ascii="Times New Roman" w:hAnsi="Times New Roman" w:hint="default"/>
          <w:sz w:val="24"/>
          <w:szCs w:val="24"/>
        </w:rPr>
        <w:t>adom na predpokladanú</w:t>
      </w:r>
      <w:r w:rsidRPr="00015954">
        <w:rPr>
          <w:rFonts w:ascii="Times New Roman" w:hAnsi="Times New Roman" w:hint="default"/>
          <w:sz w:val="24"/>
          <w:szCs w:val="24"/>
        </w:rPr>
        <w:t xml:space="preserve"> dĺž</w:t>
      </w:r>
      <w:r w:rsidRPr="00015954">
        <w:rPr>
          <w:rFonts w:ascii="Times New Roman" w:hAnsi="Times New Roman" w:hint="default"/>
          <w:sz w:val="24"/>
          <w:szCs w:val="24"/>
        </w:rPr>
        <w:t>ku le</w:t>
      </w:r>
      <w:r w:rsidRPr="00015954">
        <w:rPr>
          <w:rFonts w:ascii="Times New Roman" w:hAnsi="Times New Roman" w:hint="default"/>
          <w:sz w:val="24"/>
          <w:szCs w:val="24"/>
        </w:rPr>
        <w:t>gislatí</w:t>
      </w:r>
      <w:r w:rsidRPr="00015954">
        <w:rPr>
          <w:rFonts w:ascii="Times New Roman" w:hAnsi="Times New Roman" w:hint="default"/>
          <w:sz w:val="24"/>
          <w:szCs w:val="24"/>
        </w:rPr>
        <w:t>vneho procesu.</w:t>
      </w:r>
    </w:p>
    <w:p w:rsidR="004A63DA" w:rsidRPr="00015954" w:rsidP="00015954">
      <w:pPr>
        <w:bidi w:val="0"/>
        <w:spacing w:after="0" w:line="240" w:lineRule="auto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015954">
        <w:rPr>
          <w:rFonts w:ascii="Times New Roman" w:hAnsi="Times New Roman"/>
          <w:b/>
          <w:caps/>
          <w:spacing w:val="30"/>
          <w:sz w:val="24"/>
          <w:szCs w:val="24"/>
        </w:rPr>
        <w:br w:type="page"/>
      </w:r>
    </w:p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Dolož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ka zluč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iteľ</w:t>
      </w:r>
      <w:r w:rsidRPr="00015954">
        <w:rPr>
          <w:rFonts w:ascii="Times New Roman" w:hAnsi="Times New Roman" w:hint="default"/>
          <w:b/>
          <w:caps/>
          <w:spacing w:val="30"/>
          <w:sz w:val="24"/>
          <w:szCs w:val="24"/>
        </w:rPr>
        <w:t>nosti</w:t>
      </w:r>
    </w:p>
    <w:p w:rsidR="004A63DA" w:rsidRPr="00015954" w:rsidP="00015954">
      <w:pPr>
        <w:bidi w:val="0"/>
        <w:spacing w:after="0" w:line="240" w:lineRule="auto"/>
        <w:jc w:val="center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 s </w:t>
      </w: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vom 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1.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Predkladateľ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predpisu:</w:t>
      </w:r>
      <w:r w:rsidRPr="00015954">
        <w:rPr>
          <w:rFonts w:ascii="Times New Roman" w:hAnsi="Times New Roman" w:hint="default"/>
          <w:sz w:val="24"/>
          <w:szCs w:val="24"/>
        </w:rPr>
        <w:t xml:space="preserve"> poslanec Ná</w:t>
      </w:r>
      <w:r w:rsidRPr="00015954">
        <w:rPr>
          <w:rFonts w:ascii="Times New Roman" w:hAnsi="Times New Roman" w:hint="default"/>
          <w:sz w:val="24"/>
          <w:szCs w:val="24"/>
        </w:rPr>
        <w:t>rodnej rady Slovenskej republiky 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 </w:t>
      </w:r>
    </w:p>
    <w:p w:rsidR="004A63DA" w:rsidRPr="00015954" w:rsidP="00015954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2.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Ná</w:t>
      </w:r>
      <w:r w:rsidRPr="00015954">
        <w:rPr>
          <w:rFonts w:ascii="Times New Roman" w:hAnsi="Times New Roman" w:hint="default"/>
          <w:b/>
          <w:sz w:val="24"/>
          <w:szCs w:val="24"/>
        </w:rPr>
        <w:t>zov ná</w:t>
      </w:r>
      <w:r w:rsidRPr="00015954">
        <w:rPr>
          <w:rFonts w:ascii="Times New Roman" w:hAnsi="Times New Roman" w:hint="default"/>
          <w:b/>
          <w:sz w:val="24"/>
          <w:szCs w:val="24"/>
        </w:rPr>
        <w:t>vrhu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predpisu:</w:t>
      </w:r>
      <w:r w:rsidRPr="00015954">
        <w:rPr>
          <w:rFonts w:ascii="Times New Roman" w:hAnsi="Times New Roman" w:hint="default"/>
          <w:sz w:val="24"/>
          <w:szCs w:val="24"/>
        </w:rPr>
        <w:t xml:space="preserve"> Ná</w:t>
      </w:r>
      <w:r w:rsidRPr="00015954">
        <w:rPr>
          <w:rFonts w:ascii="Times New Roman" w:hAnsi="Times New Roman" w:hint="default"/>
          <w:sz w:val="24"/>
          <w:szCs w:val="24"/>
        </w:rPr>
        <w:t>vrh zá</w:t>
      </w:r>
      <w:r w:rsidRPr="00015954">
        <w:rPr>
          <w:rFonts w:ascii="Times New Roman" w:hAnsi="Times New Roman" w:hint="default"/>
          <w:sz w:val="24"/>
          <w:szCs w:val="24"/>
        </w:rPr>
        <w:t>kona,</w:t>
      </w:r>
      <w:r w:rsidRPr="00015954">
        <w:rPr>
          <w:rFonts w:ascii="Times New Roman" w:hAnsi="Times New Roman"/>
          <w:b/>
          <w:sz w:val="24"/>
          <w:szCs w:val="24"/>
        </w:rPr>
        <w:t xml:space="preserve"> </w:t>
      </w:r>
      <w:r w:rsidRPr="00015954">
        <w:rPr>
          <w:rFonts w:ascii="Times New Roman" w:hAnsi="Times New Roman" w:hint="default"/>
          <w:sz w:val="24"/>
          <w:szCs w:val="24"/>
        </w:rPr>
        <w:t>ktorý</w:t>
      </w:r>
      <w:r w:rsidRPr="00015954">
        <w:rPr>
          <w:rFonts w:ascii="Times New Roman" w:hAnsi="Times New Roman" w:hint="default"/>
          <w:sz w:val="24"/>
          <w:szCs w:val="24"/>
        </w:rPr>
        <w:t>m sa mení</w:t>
      </w:r>
      <w:r w:rsidRPr="00015954">
        <w:rPr>
          <w:rFonts w:ascii="Times New Roman" w:hAnsi="Times New Roman" w:hint="default"/>
          <w:sz w:val="24"/>
          <w:szCs w:val="24"/>
        </w:rPr>
        <w:t xml:space="preserve"> a </w:t>
      </w:r>
      <w:r w:rsidRPr="00015954">
        <w:rPr>
          <w:rFonts w:ascii="Times New Roman" w:hAnsi="Times New Roman" w:hint="default"/>
          <w:sz w:val="24"/>
          <w:szCs w:val="24"/>
        </w:rPr>
        <w:t>dopĺň</w:t>
      </w:r>
      <w:r w:rsidRPr="00015954">
        <w:rPr>
          <w:rFonts w:ascii="Times New Roman" w:hAnsi="Times New Roman" w:hint="default"/>
          <w:sz w:val="24"/>
          <w:szCs w:val="24"/>
        </w:rPr>
        <w:t>a zá</w:t>
      </w:r>
      <w:r w:rsidRPr="00015954">
        <w:rPr>
          <w:rFonts w:ascii="Times New Roman" w:hAnsi="Times New Roman" w:hint="default"/>
          <w:sz w:val="24"/>
          <w:szCs w:val="24"/>
        </w:rPr>
        <w:t>kon č</w:t>
      </w:r>
      <w:r w:rsidRPr="00015954">
        <w:rPr>
          <w:rFonts w:ascii="Times New Roman" w:hAnsi="Times New Roman" w:hint="default"/>
          <w:sz w:val="24"/>
          <w:szCs w:val="24"/>
        </w:rPr>
        <w:t>. 363/2011 Z. z. o rozsahu a podmienkach ú</w:t>
      </w:r>
      <w:r w:rsidRPr="00015954">
        <w:rPr>
          <w:rFonts w:ascii="Times New Roman" w:hAnsi="Times New Roman" w:hint="default"/>
          <w:sz w:val="24"/>
          <w:szCs w:val="24"/>
        </w:rPr>
        <w:t>hrady liekov, zdravotní</w:t>
      </w:r>
      <w:r w:rsidRPr="00015954">
        <w:rPr>
          <w:rFonts w:ascii="Times New Roman" w:hAnsi="Times New Roman" w:hint="default"/>
          <w:sz w:val="24"/>
          <w:szCs w:val="24"/>
        </w:rPr>
        <w:t>ckych pomô</w:t>
      </w:r>
      <w:r w:rsidRPr="00015954">
        <w:rPr>
          <w:rFonts w:ascii="Times New Roman" w:hAnsi="Times New Roman" w:hint="default"/>
          <w:sz w:val="24"/>
          <w:szCs w:val="24"/>
        </w:rPr>
        <w:t>cok a dietetický</w:t>
      </w:r>
      <w:r w:rsidRPr="00015954">
        <w:rPr>
          <w:rFonts w:ascii="Times New Roman" w:hAnsi="Times New Roman" w:hint="default"/>
          <w:sz w:val="24"/>
          <w:szCs w:val="24"/>
        </w:rPr>
        <w:t>ch potraví</w:t>
      </w:r>
      <w:r w:rsidRPr="00015954">
        <w:rPr>
          <w:rFonts w:ascii="Times New Roman" w:hAnsi="Times New Roman" w:hint="default"/>
          <w:sz w:val="24"/>
          <w:szCs w:val="24"/>
        </w:rPr>
        <w:t>n na zá</w:t>
      </w:r>
      <w:r w:rsidRPr="00015954">
        <w:rPr>
          <w:rFonts w:ascii="Times New Roman" w:hAnsi="Times New Roman" w:hint="default"/>
          <w:sz w:val="24"/>
          <w:szCs w:val="24"/>
        </w:rPr>
        <w:t>klade verejné</w:t>
      </w:r>
      <w:r w:rsidRPr="00015954">
        <w:rPr>
          <w:rFonts w:ascii="Times New Roman" w:hAnsi="Times New Roman" w:hint="default"/>
          <w:sz w:val="24"/>
          <w:szCs w:val="24"/>
        </w:rPr>
        <w:t>ho zdravotné</w:t>
      </w:r>
      <w:r w:rsidRPr="00015954">
        <w:rPr>
          <w:rFonts w:ascii="Times New Roman" w:hAnsi="Times New Roman" w:hint="default"/>
          <w:sz w:val="24"/>
          <w:szCs w:val="24"/>
        </w:rPr>
        <w:t>ho poistenia a o zmene a doplnení</w:t>
      </w:r>
      <w:r w:rsidRPr="00015954">
        <w:rPr>
          <w:rFonts w:ascii="Times New Roman" w:hAnsi="Times New Roman" w:hint="default"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sz w:val="24"/>
          <w:szCs w:val="24"/>
        </w:rPr>
        <w:t>ch zá</w:t>
      </w:r>
      <w:r w:rsidRPr="00015954">
        <w:rPr>
          <w:rFonts w:ascii="Times New Roman" w:hAnsi="Times New Roman" w:hint="default"/>
          <w:sz w:val="24"/>
          <w:szCs w:val="24"/>
        </w:rPr>
        <w:t>konov v </w:t>
      </w:r>
      <w:r w:rsidRPr="00015954">
        <w:rPr>
          <w:rFonts w:ascii="Times New Roman" w:hAnsi="Times New Roman" w:hint="default"/>
          <w:sz w:val="24"/>
          <w:szCs w:val="24"/>
        </w:rPr>
        <w:t>znení</w:t>
      </w:r>
      <w:r w:rsidRPr="00015954">
        <w:rPr>
          <w:rFonts w:ascii="Times New Roman" w:hAnsi="Times New Roman" w:hint="default"/>
          <w:sz w:val="24"/>
          <w:szCs w:val="24"/>
        </w:rPr>
        <w:t xml:space="preserve"> zá</w:t>
      </w:r>
      <w:r w:rsidRPr="00015954">
        <w:rPr>
          <w:rFonts w:ascii="Times New Roman" w:hAnsi="Times New Roman" w:hint="default"/>
          <w:sz w:val="24"/>
          <w:szCs w:val="24"/>
        </w:rPr>
        <w:t>kona č</w:t>
      </w:r>
      <w:r w:rsidRPr="00015954">
        <w:rPr>
          <w:rFonts w:ascii="Times New Roman" w:hAnsi="Times New Roman" w:hint="default"/>
          <w:sz w:val="24"/>
          <w:szCs w:val="24"/>
        </w:rPr>
        <w:t>. 460/2012 Z. z. a </w:t>
      </w:r>
      <w:r w:rsidRPr="00015954">
        <w:rPr>
          <w:rFonts w:ascii="Times New Roman" w:hAnsi="Times New Roman" w:hint="default"/>
          <w:sz w:val="24"/>
          <w:szCs w:val="24"/>
        </w:rPr>
        <w:t>ktorý</w:t>
      </w:r>
      <w:r w:rsidRPr="00015954">
        <w:rPr>
          <w:rFonts w:ascii="Times New Roman" w:hAnsi="Times New Roman" w:hint="default"/>
          <w:sz w:val="24"/>
          <w:szCs w:val="24"/>
        </w:rPr>
        <w:t>m sa mení</w:t>
      </w:r>
      <w:r w:rsidRPr="00015954">
        <w:rPr>
          <w:rFonts w:ascii="Times New Roman" w:hAnsi="Times New Roman" w:hint="default"/>
          <w:sz w:val="24"/>
          <w:szCs w:val="24"/>
        </w:rPr>
        <w:t xml:space="preserve"> zá</w:t>
      </w:r>
      <w:r w:rsidRPr="00015954">
        <w:rPr>
          <w:rFonts w:ascii="Times New Roman" w:hAnsi="Times New Roman" w:hint="default"/>
          <w:sz w:val="24"/>
          <w:szCs w:val="24"/>
        </w:rPr>
        <w:t>kon č</w:t>
      </w:r>
      <w:r w:rsidRPr="00015954">
        <w:rPr>
          <w:rFonts w:ascii="Times New Roman" w:hAnsi="Times New Roman" w:hint="default"/>
          <w:sz w:val="24"/>
          <w:szCs w:val="24"/>
        </w:rPr>
        <w:t>. 581/2004 Z.</w:t>
      </w:r>
      <w:r w:rsidRPr="00015954">
        <w:rPr>
          <w:rFonts w:ascii="Times New Roman" w:hAnsi="Times New Roman" w:hint="default"/>
          <w:sz w:val="24"/>
          <w:szCs w:val="24"/>
        </w:rPr>
        <w:t xml:space="preserve"> z. o 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ovniach, dohľ</w:t>
      </w:r>
      <w:r w:rsidRPr="00015954">
        <w:rPr>
          <w:rFonts w:ascii="Times New Roman" w:hAnsi="Times New Roman" w:hint="default"/>
          <w:sz w:val="24"/>
          <w:szCs w:val="24"/>
        </w:rPr>
        <w:t>ade nad zdravotnou starostlivosť</w:t>
      </w:r>
      <w:r w:rsidRPr="00015954">
        <w:rPr>
          <w:rFonts w:ascii="Times New Roman" w:hAnsi="Times New Roman" w:hint="default"/>
          <w:sz w:val="24"/>
          <w:szCs w:val="24"/>
        </w:rPr>
        <w:t>ou a o zmene a doplnení</w:t>
      </w:r>
      <w:r w:rsidRPr="00015954">
        <w:rPr>
          <w:rFonts w:ascii="Times New Roman" w:hAnsi="Times New Roman" w:hint="default"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sz w:val="24"/>
          <w:szCs w:val="24"/>
        </w:rPr>
        <w:t>ch zá</w:t>
      </w:r>
      <w:r w:rsidRPr="00015954">
        <w:rPr>
          <w:rFonts w:ascii="Times New Roman" w:hAnsi="Times New Roman" w:hint="default"/>
          <w:sz w:val="24"/>
          <w:szCs w:val="24"/>
        </w:rPr>
        <w:t>konov v </w:t>
      </w:r>
      <w:r w:rsidRPr="00015954">
        <w:rPr>
          <w:rFonts w:ascii="Times New Roman" w:hAnsi="Times New Roman" w:hint="default"/>
          <w:sz w:val="24"/>
          <w:szCs w:val="24"/>
        </w:rPr>
        <w:t>znení</w:t>
      </w:r>
      <w:r w:rsidRPr="00015954">
        <w:rPr>
          <w:rFonts w:ascii="Times New Roman" w:hAnsi="Times New Roman" w:hint="default"/>
          <w:sz w:val="24"/>
          <w:szCs w:val="24"/>
        </w:rPr>
        <w:t xml:space="preserve"> neskorší</w:t>
      </w:r>
      <w:r w:rsidRPr="00015954">
        <w:rPr>
          <w:rFonts w:ascii="Times New Roman" w:hAnsi="Times New Roman" w:hint="default"/>
          <w:sz w:val="24"/>
          <w:szCs w:val="24"/>
        </w:rPr>
        <w:t>ch predpisov.</w:t>
      </w: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3.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Problematika ná</w:t>
      </w:r>
      <w:r w:rsidRPr="00015954">
        <w:rPr>
          <w:rFonts w:ascii="Times New Roman" w:hAnsi="Times New Roman" w:hint="default"/>
          <w:b/>
          <w:sz w:val="24"/>
          <w:szCs w:val="24"/>
        </w:rPr>
        <w:t>vrhu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predpisu: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a)</w:t>
        <w:tab/>
      </w:r>
      <w:r w:rsidRPr="00015954">
        <w:rPr>
          <w:rFonts w:ascii="Times New Roman" w:hAnsi="Times New Roman" w:hint="default"/>
          <w:sz w:val="24"/>
          <w:szCs w:val="24"/>
        </w:rPr>
        <w:t>je upravená</w:t>
      </w:r>
      <w:r w:rsidRPr="00015954">
        <w:rPr>
          <w:rFonts w:ascii="Times New Roman" w:hAnsi="Times New Roman" w:hint="default"/>
          <w:sz w:val="24"/>
          <w:szCs w:val="24"/>
        </w:rPr>
        <w:t xml:space="preserve"> v </w:t>
      </w:r>
      <w:r w:rsidRPr="00015954">
        <w:rPr>
          <w:rFonts w:ascii="Times New Roman" w:hAnsi="Times New Roman" w:hint="default"/>
          <w:sz w:val="24"/>
          <w:szCs w:val="24"/>
        </w:rPr>
        <w:t>prá</w:t>
      </w:r>
      <w:r w:rsidRPr="00015954">
        <w:rPr>
          <w:rFonts w:ascii="Times New Roman" w:hAnsi="Times New Roman" w:hint="default"/>
          <w:sz w:val="24"/>
          <w:szCs w:val="24"/>
        </w:rPr>
        <w:t>ve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primá</w:t>
      </w:r>
      <w:r w:rsidRPr="00015954">
        <w:rPr>
          <w:rFonts w:ascii="Times New Roman" w:hAnsi="Times New Roman" w:hint="default"/>
          <w:i/>
          <w:sz w:val="24"/>
          <w:szCs w:val="24"/>
        </w:rPr>
        <w:t>rnom</w:t>
      </w:r>
    </w:p>
    <w:p w:rsidR="004A63DA" w:rsidRPr="00015954" w:rsidP="00015954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851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Zmluva o fungovaní</w:t>
      </w:r>
      <w:r w:rsidRPr="00015954">
        <w:rPr>
          <w:rFonts w:ascii="Times New Roman" w:hAnsi="Times New Roman" w:hint="default"/>
          <w:sz w:val="24"/>
          <w:szCs w:val="24"/>
        </w:rPr>
        <w:t xml:space="preserve">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 xml:space="preserve">nie (Hlava XIV </w:t>
      </w:r>
      <w:r w:rsidRPr="00015954">
        <w:rPr>
          <w:rFonts w:ascii="Times New Roman" w:hAnsi="Times New Roman" w:hint="default"/>
          <w:sz w:val="24"/>
          <w:szCs w:val="24"/>
        </w:rPr>
        <w:t>–</w:t>
      </w:r>
      <w:r w:rsidRPr="00015954">
        <w:rPr>
          <w:rFonts w:ascii="Times New Roman" w:hAnsi="Times New Roman" w:hint="default"/>
          <w:sz w:val="24"/>
          <w:szCs w:val="24"/>
        </w:rPr>
        <w:t xml:space="preserve"> Verejné</w:t>
      </w:r>
      <w:r w:rsidRPr="00015954">
        <w:rPr>
          <w:rFonts w:ascii="Times New Roman" w:hAnsi="Times New Roman" w:hint="default"/>
          <w:sz w:val="24"/>
          <w:szCs w:val="24"/>
        </w:rPr>
        <w:t xml:space="preserve"> zdravie) je upravená</w:t>
      </w:r>
      <w:r w:rsidRPr="00015954">
        <w:rPr>
          <w:rFonts w:ascii="Times New Roman" w:hAnsi="Times New Roman" w:hint="default"/>
          <w:sz w:val="24"/>
          <w:szCs w:val="24"/>
        </w:rPr>
        <w:t xml:space="preserve"> v č</w:t>
      </w:r>
      <w:r w:rsidRPr="00015954">
        <w:rPr>
          <w:rFonts w:ascii="Times New Roman" w:hAnsi="Times New Roman" w:hint="default"/>
          <w:sz w:val="24"/>
          <w:szCs w:val="24"/>
        </w:rPr>
        <w:t>lá</w:t>
      </w:r>
      <w:r w:rsidRPr="00015954">
        <w:rPr>
          <w:rFonts w:ascii="Times New Roman" w:hAnsi="Times New Roman" w:hint="default"/>
          <w:sz w:val="24"/>
          <w:szCs w:val="24"/>
        </w:rPr>
        <w:t>nku 168 prostrední</w:t>
      </w:r>
      <w:r w:rsidRPr="00015954">
        <w:rPr>
          <w:rFonts w:ascii="Times New Roman" w:hAnsi="Times New Roman" w:hint="default"/>
          <w:sz w:val="24"/>
          <w:szCs w:val="24"/>
        </w:rPr>
        <w:t>ctvom, ktoré</w:t>
      </w:r>
      <w:r w:rsidRPr="00015954">
        <w:rPr>
          <w:rFonts w:ascii="Times New Roman" w:hAnsi="Times New Roman" w:hint="default"/>
          <w:sz w:val="24"/>
          <w:szCs w:val="24"/>
        </w:rPr>
        <w:t>ho Euró</w:t>
      </w:r>
      <w:r w:rsidRPr="00015954">
        <w:rPr>
          <w:rFonts w:ascii="Times New Roman" w:hAnsi="Times New Roman" w:hint="default"/>
          <w:sz w:val="24"/>
          <w:szCs w:val="24"/>
        </w:rPr>
        <w:t>pska ú</w:t>
      </w:r>
      <w:r w:rsidRPr="00015954">
        <w:rPr>
          <w:rFonts w:ascii="Times New Roman" w:hAnsi="Times New Roman" w:hint="default"/>
          <w:sz w:val="24"/>
          <w:szCs w:val="24"/>
        </w:rPr>
        <w:t>nia podporuje a zameriava sa na zlepš</w:t>
      </w:r>
      <w:r w:rsidRPr="00015954">
        <w:rPr>
          <w:rFonts w:ascii="Times New Roman" w:hAnsi="Times New Roman" w:hint="default"/>
          <w:sz w:val="24"/>
          <w:szCs w:val="24"/>
        </w:rPr>
        <w:t>enie verejné</w:t>
      </w:r>
      <w:r w:rsidRPr="00015954">
        <w:rPr>
          <w:rFonts w:ascii="Times New Roman" w:hAnsi="Times New Roman" w:hint="default"/>
          <w:sz w:val="24"/>
          <w:szCs w:val="24"/>
        </w:rPr>
        <w:t>ho zdravia, prevenciu ľ</w:t>
      </w:r>
      <w:r w:rsidRPr="00015954">
        <w:rPr>
          <w:rFonts w:ascii="Times New Roman" w:hAnsi="Times New Roman" w:hint="default"/>
          <w:sz w:val="24"/>
          <w:szCs w:val="24"/>
        </w:rPr>
        <w:t>udský</w:t>
      </w:r>
      <w:r w:rsidRPr="00015954">
        <w:rPr>
          <w:rFonts w:ascii="Times New Roman" w:hAnsi="Times New Roman" w:hint="default"/>
          <w:sz w:val="24"/>
          <w:szCs w:val="24"/>
        </w:rPr>
        <w:t>ch chorô</w:t>
      </w:r>
      <w:r w:rsidRPr="00015954">
        <w:rPr>
          <w:rFonts w:ascii="Times New Roman" w:hAnsi="Times New Roman" w:hint="default"/>
          <w:sz w:val="24"/>
          <w:szCs w:val="24"/>
        </w:rPr>
        <w:t>b a ochorení</w:t>
      </w:r>
      <w:r w:rsidRPr="00015954">
        <w:rPr>
          <w:rFonts w:ascii="Times New Roman" w:hAnsi="Times New Roman" w:hint="default"/>
          <w:sz w:val="24"/>
          <w:szCs w:val="24"/>
        </w:rPr>
        <w:t>, a odstraň</w:t>
      </w:r>
      <w:r w:rsidRPr="00015954">
        <w:rPr>
          <w:rFonts w:ascii="Times New Roman" w:hAnsi="Times New Roman" w:hint="default"/>
          <w:sz w:val="24"/>
          <w:szCs w:val="24"/>
        </w:rPr>
        <w:t>ovanie zdrojov nebezpeč</w:t>
      </w:r>
      <w:r w:rsidRPr="00015954">
        <w:rPr>
          <w:rFonts w:ascii="Times New Roman" w:hAnsi="Times New Roman" w:hint="default"/>
          <w:sz w:val="24"/>
          <w:szCs w:val="24"/>
        </w:rPr>
        <w:t>enstva pre telesné</w:t>
      </w:r>
      <w:r w:rsidRPr="00015954">
        <w:rPr>
          <w:rFonts w:ascii="Times New Roman" w:hAnsi="Times New Roman" w:hint="default"/>
          <w:sz w:val="24"/>
          <w:szCs w:val="24"/>
        </w:rPr>
        <w:t xml:space="preserve"> </w:t>
      </w:r>
      <w:r w:rsidRPr="00015954">
        <w:rPr>
          <w:rFonts w:ascii="Times New Roman" w:hAnsi="Times New Roman" w:hint="default"/>
          <w:sz w:val="24"/>
          <w:szCs w:val="24"/>
        </w:rPr>
        <w:t>a duš</w:t>
      </w:r>
      <w:r w:rsidRPr="00015954">
        <w:rPr>
          <w:rFonts w:ascii="Times New Roman" w:hAnsi="Times New Roman" w:hint="default"/>
          <w:sz w:val="24"/>
          <w:szCs w:val="24"/>
        </w:rPr>
        <w:t>evné</w:t>
      </w:r>
      <w:r w:rsidRPr="00015954">
        <w:rPr>
          <w:rFonts w:ascii="Times New Roman" w:hAnsi="Times New Roman" w:hint="default"/>
          <w:sz w:val="24"/>
          <w:szCs w:val="24"/>
        </w:rPr>
        <w:t xml:space="preserve"> zdravie. Také</w:t>
      </w:r>
      <w:r w:rsidRPr="00015954">
        <w:rPr>
          <w:rFonts w:ascii="Times New Roman" w:hAnsi="Times New Roman" w:hint="default"/>
          <w:sz w:val="24"/>
          <w:szCs w:val="24"/>
        </w:rPr>
        <w:t>to postupy zahŕň</w:t>
      </w:r>
      <w:r w:rsidRPr="00015954">
        <w:rPr>
          <w:rFonts w:ascii="Times New Roman" w:hAnsi="Times New Roman" w:hint="default"/>
          <w:sz w:val="24"/>
          <w:szCs w:val="24"/>
        </w:rPr>
        <w:t>ajú</w:t>
      </w:r>
      <w:r w:rsidRPr="00015954">
        <w:rPr>
          <w:rFonts w:ascii="Times New Roman" w:hAnsi="Times New Roman" w:hint="default"/>
          <w:sz w:val="24"/>
          <w:szCs w:val="24"/>
        </w:rPr>
        <w:t xml:space="preserve"> boj proti najzá</w:t>
      </w:r>
      <w:r w:rsidRPr="00015954">
        <w:rPr>
          <w:rFonts w:ascii="Times New Roman" w:hAnsi="Times New Roman" w:hint="default"/>
          <w:sz w:val="24"/>
          <w:szCs w:val="24"/>
        </w:rPr>
        <w:t>važ</w:t>
      </w:r>
      <w:r w:rsidRPr="00015954">
        <w:rPr>
          <w:rFonts w:ascii="Times New Roman" w:hAnsi="Times New Roman" w:hint="default"/>
          <w:sz w:val="24"/>
          <w:szCs w:val="24"/>
        </w:rPr>
        <w:t>nejší</w:t>
      </w:r>
      <w:r w:rsidRPr="00015954">
        <w:rPr>
          <w:rFonts w:ascii="Times New Roman" w:hAnsi="Times New Roman" w:hint="default"/>
          <w:sz w:val="24"/>
          <w:szCs w:val="24"/>
        </w:rPr>
        <w:t>m chorobá</w:t>
      </w:r>
      <w:r w:rsidRPr="00015954">
        <w:rPr>
          <w:rFonts w:ascii="Times New Roman" w:hAnsi="Times New Roman" w:hint="default"/>
          <w:sz w:val="24"/>
          <w:szCs w:val="24"/>
        </w:rPr>
        <w:t>m podporou vý</w:t>
      </w:r>
      <w:r w:rsidRPr="00015954">
        <w:rPr>
          <w:rFonts w:ascii="Times New Roman" w:hAnsi="Times New Roman" w:hint="default"/>
          <w:sz w:val="24"/>
          <w:szCs w:val="24"/>
        </w:rPr>
        <w:t>skumu ich príč</w:t>
      </w:r>
      <w:r w:rsidRPr="00015954">
        <w:rPr>
          <w:rFonts w:ascii="Times New Roman" w:hAnsi="Times New Roman" w:hint="default"/>
          <w:sz w:val="24"/>
          <w:szCs w:val="24"/>
        </w:rPr>
        <w:t>in, prenosu a prevencie, ako aj zdravotní</w:t>
      </w:r>
      <w:r w:rsidRPr="00015954">
        <w:rPr>
          <w:rFonts w:ascii="Times New Roman" w:hAnsi="Times New Roman" w:hint="default"/>
          <w:sz w:val="24"/>
          <w:szCs w:val="24"/>
        </w:rPr>
        <w:t>cke informá</w:t>
      </w:r>
      <w:r w:rsidRPr="00015954">
        <w:rPr>
          <w:rFonts w:ascii="Times New Roman" w:hAnsi="Times New Roman" w:hint="default"/>
          <w:sz w:val="24"/>
          <w:szCs w:val="24"/>
        </w:rPr>
        <w:t>cie a osvetu, monitorovanie zá</w:t>
      </w:r>
      <w:r w:rsidRPr="00015954">
        <w:rPr>
          <w:rFonts w:ascii="Times New Roman" w:hAnsi="Times New Roman" w:hint="default"/>
          <w:sz w:val="24"/>
          <w:szCs w:val="24"/>
        </w:rPr>
        <w:t>važ</w:t>
      </w:r>
      <w:r w:rsidRPr="00015954">
        <w:rPr>
          <w:rFonts w:ascii="Times New Roman" w:hAnsi="Times New Roman" w:hint="default"/>
          <w:sz w:val="24"/>
          <w:szCs w:val="24"/>
        </w:rPr>
        <w:t>ný</w:t>
      </w:r>
      <w:r w:rsidRPr="00015954">
        <w:rPr>
          <w:rFonts w:ascii="Times New Roman" w:hAnsi="Times New Roman" w:hint="default"/>
          <w:sz w:val="24"/>
          <w:szCs w:val="24"/>
        </w:rPr>
        <w:t>ch cezhranič</w:t>
      </w:r>
      <w:r w:rsidRPr="00015954">
        <w:rPr>
          <w:rFonts w:ascii="Times New Roman" w:hAnsi="Times New Roman" w:hint="default"/>
          <w:sz w:val="24"/>
          <w:szCs w:val="24"/>
        </w:rPr>
        <w:t>ný</w:t>
      </w:r>
      <w:r w:rsidRPr="00015954">
        <w:rPr>
          <w:rFonts w:ascii="Times New Roman" w:hAnsi="Times New Roman" w:hint="default"/>
          <w:sz w:val="24"/>
          <w:szCs w:val="24"/>
        </w:rPr>
        <w:t>ch ohrození</w:t>
      </w:r>
      <w:r w:rsidRPr="00015954">
        <w:rPr>
          <w:rFonts w:ascii="Times New Roman" w:hAnsi="Times New Roman" w:hint="default"/>
          <w:sz w:val="24"/>
          <w:szCs w:val="24"/>
        </w:rPr>
        <w:t xml:space="preserve"> zdravia, vč</w:t>
      </w:r>
      <w:r w:rsidRPr="00015954">
        <w:rPr>
          <w:rFonts w:ascii="Times New Roman" w:hAnsi="Times New Roman" w:hint="default"/>
          <w:sz w:val="24"/>
          <w:szCs w:val="24"/>
        </w:rPr>
        <w:t>asné</w:t>
      </w:r>
      <w:r w:rsidRPr="00015954">
        <w:rPr>
          <w:rFonts w:ascii="Times New Roman" w:hAnsi="Times New Roman" w:hint="default"/>
          <w:sz w:val="24"/>
          <w:szCs w:val="24"/>
        </w:rPr>
        <w:t xml:space="preserve"> varovanie a boj proti ni</w:t>
      </w:r>
      <w:r w:rsidRPr="00015954">
        <w:rPr>
          <w:rFonts w:ascii="Times New Roman" w:hAnsi="Times New Roman" w:hint="default"/>
          <w:sz w:val="24"/>
          <w:szCs w:val="24"/>
        </w:rPr>
        <w:t>m</w:t>
      </w:r>
      <w:r w:rsidRPr="00015954">
        <w:rPr>
          <w:rFonts w:ascii="Times New Roman" w:hAnsi="Times New Roman" w:hint="default"/>
          <w:sz w:val="24"/>
          <w:szCs w:val="24"/>
        </w:rPr>
        <w:t>.  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sekundá</w:t>
      </w:r>
      <w:r w:rsidRPr="00015954">
        <w:rPr>
          <w:rFonts w:ascii="Times New Roman" w:hAnsi="Times New Roman" w:hint="default"/>
          <w:i/>
          <w:sz w:val="24"/>
          <w:szCs w:val="24"/>
        </w:rPr>
        <w:t>rnom (prijatom po nadobudnutí</w:t>
      </w:r>
      <w:r w:rsidRPr="00015954"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a dopĺň</w:t>
      </w:r>
      <w:r w:rsidRPr="00015954">
        <w:rPr>
          <w:rFonts w:ascii="Times New Roman" w:hAnsi="Times New Roman" w:hint="default"/>
          <w:i/>
          <w:sz w:val="24"/>
          <w:szCs w:val="24"/>
        </w:rPr>
        <w:t>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pskom spoloč</w:t>
      </w:r>
      <w:r w:rsidRPr="00015954">
        <w:rPr>
          <w:rFonts w:ascii="Times New Roman" w:hAnsi="Times New Roman" w:hint="default"/>
          <w:i/>
          <w:sz w:val="24"/>
          <w:szCs w:val="24"/>
        </w:rPr>
        <w:t>enstve 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pskej ú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Pr="00015954">
        <w:rPr>
          <w:rFonts w:ascii="Times New Roman" w:hAnsi="Times New Roman" w:hint="default"/>
          <w:i/>
          <w:sz w:val="24"/>
          <w:szCs w:val="24"/>
        </w:rPr>
        <w:t>–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po 30. novembri 2009)</w:t>
      </w:r>
    </w:p>
    <w:p w:rsidR="004A63DA" w:rsidRPr="00015954" w:rsidP="00015954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1.</w:t>
        <w:tab/>
      </w:r>
      <w:r w:rsidRPr="00015954">
        <w:rPr>
          <w:rFonts w:ascii="Times New Roman" w:hAnsi="Times New Roman" w:hint="default"/>
          <w:sz w:val="24"/>
          <w:szCs w:val="24"/>
        </w:rPr>
        <w:t>legislatí</w:t>
      </w:r>
      <w:r w:rsidRPr="00015954">
        <w:rPr>
          <w:rFonts w:ascii="Times New Roman" w:hAnsi="Times New Roman" w:hint="default"/>
          <w:sz w:val="24"/>
          <w:szCs w:val="24"/>
        </w:rPr>
        <w:t xml:space="preserve">vne akty </w:t>
      </w: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015954" w:rsidR="004A63DA">
        <w:rPr>
          <w:rFonts w:ascii="Times New Roman" w:hAnsi="Times New Roman" w:hint="default"/>
          <w:sz w:val="24"/>
          <w:szCs w:val="24"/>
        </w:rPr>
        <w:t>Smernica Euró</w:t>
      </w:r>
      <w:r w:rsidRPr="00015954" w:rsidR="004A63DA">
        <w:rPr>
          <w:rFonts w:ascii="Times New Roman" w:hAnsi="Times New Roman" w:hint="default"/>
          <w:sz w:val="24"/>
          <w:szCs w:val="24"/>
        </w:rPr>
        <w:t>pskeho parlamentu a Rady 2011/24/EÚ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zo 9. marca 2011 o uplatň</w:t>
      </w:r>
      <w:r w:rsidRPr="00015954" w:rsidR="004A63DA">
        <w:rPr>
          <w:rFonts w:ascii="Times New Roman" w:hAnsi="Times New Roman" w:hint="default"/>
          <w:sz w:val="24"/>
          <w:szCs w:val="24"/>
        </w:rPr>
        <w:t>ovaní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prá</w:t>
      </w:r>
      <w:r w:rsidRPr="00015954" w:rsidR="004A63DA">
        <w:rPr>
          <w:rFonts w:ascii="Times New Roman" w:hAnsi="Times New Roman" w:hint="default"/>
          <w:sz w:val="24"/>
          <w:szCs w:val="24"/>
        </w:rPr>
        <w:t>v pacientov pri cezhranič</w:t>
      </w:r>
      <w:r w:rsidRPr="00015954" w:rsidR="004A63DA">
        <w:rPr>
          <w:rFonts w:ascii="Times New Roman" w:hAnsi="Times New Roman" w:hint="default"/>
          <w:sz w:val="24"/>
          <w:szCs w:val="24"/>
        </w:rPr>
        <w:t>nej zdravotnej starostlivosti (Ú</w:t>
      </w:r>
      <w:r w:rsidRPr="00015954" w:rsidR="004A63DA">
        <w:rPr>
          <w:rFonts w:ascii="Times New Roman" w:hAnsi="Times New Roman" w:hint="default"/>
          <w:sz w:val="24"/>
          <w:szCs w:val="24"/>
        </w:rPr>
        <w:t>. v. EÚ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L 088, 4.4.2011). </w:t>
      </w:r>
    </w:p>
    <w:p w:rsid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015954" w:rsidR="004A63DA">
        <w:rPr>
          <w:rFonts w:ascii="Times New Roman" w:hAnsi="Times New Roman" w:hint="default"/>
          <w:sz w:val="24"/>
          <w:szCs w:val="24"/>
        </w:rPr>
        <w:t>Smernica Euró</w:t>
      </w:r>
      <w:r w:rsidRPr="00015954" w:rsidR="004A63DA">
        <w:rPr>
          <w:rFonts w:ascii="Times New Roman" w:hAnsi="Times New Roman" w:hint="default"/>
          <w:sz w:val="24"/>
          <w:szCs w:val="24"/>
        </w:rPr>
        <w:t>pskeho parlamentu a Rady 2012/26/EÚ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z 25. októ</w:t>
      </w:r>
      <w:r w:rsidRPr="00015954" w:rsidR="004A63DA">
        <w:rPr>
          <w:rFonts w:ascii="Times New Roman" w:hAnsi="Times New Roman" w:hint="default"/>
          <w:sz w:val="24"/>
          <w:szCs w:val="24"/>
        </w:rPr>
        <w:t>bra 2012, ktorou sa mení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a dopĺň</w:t>
      </w:r>
      <w:r w:rsidRPr="00015954" w:rsidR="004A63DA">
        <w:rPr>
          <w:rFonts w:ascii="Times New Roman" w:hAnsi="Times New Roman" w:hint="default"/>
          <w:sz w:val="24"/>
          <w:szCs w:val="24"/>
        </w:rPr>
        <w:t>a smernica 2001/83/ES, pokiaľ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ide o dohľ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ad </w:t>
      </w:r>
      <w:r w:rsidRPr="00015954" w:rsidR="004A63DA">
        <w:rPr>
          <w:rFonts w:ascii="Times New Roman" w:hAnsi="Times New Roman" w:hint="default"/>
          <w:sz w:val="24"/>
          <w:szCs w:val="24"/>
        </w:rPr>
        <w:t>nad liekmi (Ú</w:t>
      </w:r>
      <w:r w:rsidRPr="00015954" w:rsidR="004A63DA">
        <w:rPr>
          <w:rFonts w:ascii="Times New Roman" w:hAnsi="Times New Roman" w:hint="default"/>
          <w:sz w:val="24"/>
          <w:szCs w:val="24"/>
        </w:rPr>
        <w:t>. v. EÚ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L 299, 27.10.2012). </w:t>
      </w:r>
    </w:p>
    <w:p w:rsidR="004A63DA" w:rsidRP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="00015954">
        <w:rPr>
          <w:rFonts w:ascii="Times New Roman" w:hAnsi="Times New Roman"/>
          <w:sz w:val="24"/>
          <w:szCs w:val="24"/>
        </w:rPr>
        <w:t xml:space="preserve">- </w:t>
        <w:tab/>
      </w:r>
      <w:r w:rsidRPr="00015954">
        <w:rPr>
          <w:rFonts w:ascii="Times New Roman" w:hAnsi="Times New Roman" w:hint="default"/>
          <w:sz w:val="24"/>
          <w:szCs w:val="24"/>
        </w:rPr>
        <w:t>Smernica Rady 2000/43/ES z 29. jú</w:t>
      </w:r>
      <w:r w:rsidRPr="00015954">
        <w:rPr>
          <w:rFonts w:ascii="Times New Roman" w:hAnsi="Times New Roman" w:hint="default"/>
          <w:sz w:val="24"/>
          <w:szCs w:val="24"/>
        </w:rPr>
        <w:t>na 2000, ktorou sa zavá</w:t>
      </w:r>
      <w:r w:rsidRPr="00015954">
        <w:rPr>
          <w:rFonts w:ascii="Times New Roman" w:hAnsi="Times New Roman" w:hint="default"/>
          <w:sz w:val="24"/>
          <w:szCs w:val="24"/>
        </w:rPr>
        <w:t>dza zá</w:t>
      </w:r>
      <w:r w:rsidRPr="00015954">
        <w:rPr>
          <w:rFonts w:ascii="Times New Roman" w:hAnsi="Times New Roman" w:hint="default"/>
          <w:sz w:val="24"/>
          <w:szCs w:val="24"/>
        </w:rPr>
        <w:t>sada rovnaké</w:t>
      </w:r>
      <w:r w:rsidRPr="00015954">
        <w:rPr>
          <w:rFonts w:ascii="Times New Roman" w:hAnsi="Times New Roman" w:hint="default"/>
          <w:sz w:val="24"/>
          <w:szCs w:val="24"/>
        </w:rPr>
        <w:t>ho zaobchá</w:t>
      </w:r>
      <w:r w:rsidRPr="00015954">
        <w:rPr>
          <w:rFonts w:ascii="Times New Roman" w:hAnsi="Times New Roman" w:hint="default"/>
          <w:sz w:val="24"/>
          <w:szCs w:val="24"/>
        </w:rPr>
        <w:t>dzania s osobami bez ohľ</w:t>
      </w:r>
      <w:r w:rsidRPr="00015954">
        <w:rPr>
          <w:rFonts w:ascii="Times New Roman" w:hAnsi="Times New Roman" w:hint="default"/>
          <w:sz w:val="24"/>
          <w:szCs w:val="24"/>
        </w:rPr>
        <w:t>adu na rasový</w:t>
      </w:r>
      <w:r w:rsidRPr="00015954">
        <w:rPr>
          <w:rFonts w:ascii="Times New Roman" w:hAnsi="Times New Roman" w:hint="default"/>
          <w:sz w:val="24"/>
          <w:szCs w:val="24"/>
        </w:rPr>
        <w:t xml:space="preserve"> alebo etnický</w:t>
      </w:r>
      <w:r w:rsidRPr="00015954">
        <w:rPr>
          <w:rFonts w:ascii="Times New Roman" w:hAnsi="Times New Roman" w:hint="default"/>
          <w:sz w:val="24"/>
          <w:szCs w:val="24"/>
        </w:rPr>
        <w:t xml:space="preserve"> pô</w:t>
      </w:r>
      <w:r w:rsidRPr="00015954">
        <w:rPr>
          <w:rFonts w:ascii="Times New Roman" w:hAnsi="Times New Roman" w:hint="default"/>
          <w:sz w:val="24"/>
          <w:szCs w:val="24"/>
        </w:rPr>
        <w:t>vod (Mimoriadne vydanie Ú</w:t>
      </w:r>
      <w:r w:rsidRPr="00015954">
        <w:rPr>
          <w:rFonts w:ascii="Times New Roman" w:hAnsi="Times New Roman" w:hint="default"/>
          <w:sz w:val="24"/>
          <w:szCs w:val="24"/>
        </w:rPr>
        <w:t>.v. EÚ</w:t>
      </w:r>
      <w:r w:rsidRPr="00015954">
        <w:rPr>
          <w:rFonts w:ascii="Times New Roman" w:hAnsi="Times New Roman" w:hint="default"/>
          <w:sz w:val="24"/>
          <w:szCs w:val="24"/>
        </w:rPr>
        <w:t xml:space="preserve"> L 180, kap. 20/zv.1).</w:t>
      </w:r>
    </w:p>
    <w:p w:rsid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015954" w:rsidR="004A63DA">
        <w:rPr>
          <w:rFonts w:ascii="Times New Roman" w:hAnsi="Times New Roman" w:hint="default"/>
          <w:sz w:val="24"/>
          <w:szCs w:val="24"/>
        </w:rPr>
        <w:t>nariadenie Rady (EHS) 1408/71 zo 14. jú</w:t>
      </w:r>
      <w:r w:rsidRPr="00015954" w:rsidR="004A63DA">
        <w:rPr>
          <w:rFonts w:ascii="Times New Roman" w:hAnsi="Times New Roman" w:hint="default"/>
          <w:sz w:val="24"/>
          <w:szCs w:val="24"/>
        </w:rPr>
        <w:t>na 1971 o uplatň</w:t>
      </w:r>
      <w:r w:rsidRPr="00015954" w:rsidR="004A63DA">
        <w:rPr>
          <w:rFonts w:ascii="Times New Roman" w:hAnsi="Times New Roman" w:hint="default"/>
          <w:sz w:val="24"/>
          <w:szCs w:val="24"/>
        </w:rPr>
        <w:t>ovaní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systé</w:t>
      </w:r>
      <w:r w:rsidRPr="00015954" w:rsidR="004A63DA">
        <w:rPr>
          <w:rFonts w:ascii="Times New Roman" w:hAnsi="Times New Roman" w:hint="default"/>
          <w:sz w:val="24"/>
          <w:szCs w:val="24"/>
        </w:rPr>
        <w:t>mov sociá</w:t>
      </w:r>
      <w:r w:rsidRPr="00015954" w:rsidR="004A63DA">
        <w:rPr>
          <w:rFonts w:ascii="Times New Roman" w:hAnsi="Times New Roman" w:hint="default"/>
          <w:sz w:val="24"/>
          <w:szCs w:val="24"/>
        </w:rPr>
        <w:t>lneho zabezpeč</w:t>
      </w:r>
      <w:r w:rsidRPr="00015954" w:rsidR="004A63DA">
        <w:rPr>
          <w:rFonts w:ascii="Times New Roman" w:hAnsi="Times New Roman" w:hint="default"/>
          <w:sz w:val="24"/>
          <w:szCs w:val="24"/>
        </w:rPr>
        <w:t>enia na zamestnancov, samostatne zá</w:t>
      </w:r>
      <w:r w:rsidRPr="00015954" w:rsidR="004A63DA">
        <w:rPr>
          <w:rFonts w:ascii="Times New Roman" w:hAnsi="Times New Roman" w:hint="default"/>
          <w:sz w:val="24"/>
          <w:szCs w:val="24"/>
        </w:rPr>
        <w:t>robkovo č</w:t>
      </w:r>
      <w:r w:rsidRPr="00015954" w:rsidR="004A63DA">
        <w:rPr>
          <w:rFonts w:ascii="Times New Roman" w:hAnsi="Times New Roman" w:hint="default"/>
          <w:sz w:val="24"/>
          <w:szCs w:val="24"/>
        </w:rPr>
        <w:t>inné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osoby a na ich rodinný</w:t>
      </w:r>
      <w:r w:rsidRPr="00015954" w:rsidR="004A63DA">
        <w:rPr>
          <w:rFonts w:ascii="Times New Roman" w:hAnsi="Times New Roman" w:hint="default"/>
          <w:sz w:val="24"/>
          <w:szCs w:val="24"/>
        </w:rPr>
        <w:t>ch prí</w:t>
      </w:r>
      <w:r w:rsidRPr="00015954" w:rsidR="004A63DA">
        <w:rPr>
          <w:rFonts w:ascii="Times New Roman" w:hAnsi="Times New Roman" w:hint="default"/>
          <w:sz w:val="24"/>
          <w:szCs w:val="24"/>
        </w:rPr>
        <w:t>sluš</w:t>
      </w:r>
      <w:r w:rsidRPr="00015954" w:rsidR="004A63DA">
        <w:rPr>
          <w:rFonts w:ascii="Times New Roman" w:hAnsi="Times New Roman" w:hint="default"/>
          <w:sz w:val="24"/>
          <w:szCs w:val="24"/>
        </w:rPr>
        <w:t>ní</w:t>
      </w:r>
      <w:r w:rsidRPr="00015954" w:rsidR="004A63DA">
        <w:rPr>
          <w:rFonts w:ascii="Times New Roman" w:hAnsi="Times New Roman" w:hint="default"/>
          <w:sz w:val="24"/>
          <w:szCs w:val="24"/>
        </w:rPr>
        <w:t>kov, ktorí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sa pohybujú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v rá</w:t>
      </w:r>
      <w:r w:rsidRPr="00015954" w:rsidR="004A63DA">
        <w:rPr>
          <w:rFonts w:ascii="Times New Roman" w:hAnsi="Times New Roman" w:hint="default"/>
          <w:sz w:val="24"/>
          <w:szCs w:val="24"/>
        </w:rPr>
        <w:t>mci spoloč</w:t>
      </w:r>
      <w:r w:rsidRPr="00015954" w:rsidR="004A63DA">
        <w:rPr>
          <w:rFonts w:ascii="Times New Roman" w:hAnsi="Times New Roman" w:hint="default"/>
          <w:sz w:val="24"/>
          <w:szCs w:val="24"/>
        </w:rPr>
        <w:t>enstva v platnom znení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(Mimoriadne vydanie Ú</w:t>
      </w:r>
      <w:r w:rsidRPr="00015954" w:rsidR="004A63DA">
        <w:rPr>
          <w:rFonts w:ascii="Times New Roman" w:hAnsi="Times New Roman" w:hint="default"/>
          <w:sz w:val="24"/>
          <w:szCs w:val="24"/>
        </w:rPr>
        <w:t>.v.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EÚ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kap. 5/zv. 1) v platnom znení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</w:t>
      </w:r>
    </w:p>
    <w:p w:rsid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015954" w:rsidR="004A63DA">
        <w:rPr>
          <w:rFonts w:ascii="Times New Roman" w:hAnsi="Times New Roman" w:hint="default"/>
          <w:sz w:val="24"/>
          <w:szCs w:val="24"/>
        </w:rPr>
        <w:t>nariadenie Rady (EHS) 574/72 z 21. marca 1972, ktorý</w:t>
      </w:r>
      <w:r w:rsidRPr="00015954" w:rsidR="004A63DA">
        <w:rPr>
          <w:rFonts w:ascii="Times New Roman" w:hAnsi="Times New Roman" w:hint="default"/>
          <w:sz w:val="24"/>
          <w:szCs w:val="24"/>
        </w:rPr>
        <w:t>m sa ustanovuje postup pri vykoná</w:t>
      </w:r>
      <w:r w:rsidRPr="00015954" w:rsidR="004A63DA">
        <w:rPr>
          <w:rFonts w:ascii="Times New Roman" w:hAnsi="Times New Roman" w:hint="default"/>
          <w:sz w:val="24"/>
          <w:szCs w:val="24"/>
        </w:rPr>
        <w:t>vaní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nariadenia (EHS) č</w:t>
      </w:r>
      <w:r w:rsidRPr="00015954" w:rsidR="004A63DA">
        <w:rPr>
          <w:rFonts w:ascii="Times New Roman" w:hAnsi="Times New Roman" w:hint="default"/>
          <w:sz w:val="24"/>
          <w:szCs w:val="24"/>
        </w:rPr>
        <w:t>. 1408/71 o uplatň</w:t>
      </w:r>
      <w:r w:rsidRPr="00015954" w:rsidR="004A63DA">
        <w:rPr>
          <w:rFonts w:ascii="Times New Roman" w:hAnsi="Times New Roman" w:hint="default"/>
          <w:sz w:val="24"/>
          <w:szCs w:val="24"/>
        </w:rPr>
        <w:t>ovaní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systé</w:t>
      </w:r>
      <w:r w:rsidRPr="00015954" w:rsidR="004A63DA">
        <w:rPr>
          <w:rFonts w:ascii="Times New Roman" w:hAnsi="Times New Roman" w:hint="default"/>
          <w:sz w:val="24"/>
          <w:szCs w:val="24"/>
        </w:rPr>
        <w:t>mov sociá</w:t>
      </w:r>
      <w:r w:rsidRPr="00015954" w:rsidR="004A63DA">
        <w:rPr>
          <w:rFonts w:ascii="Times New Roman" w:hAnsi="Times New Roman" w:hint="default"/>
          <w:sz w:val="24"/>
          <w:szCs w:val="24"/>
        </w:rPr>
        <w:t>lneho zabezpeč</w:t>
      </w:r>
      <w:r w:rsidRPr="00015954" w:rsidR="004A63DA">
        <w:rPr>
          <w:rFonts w:ascii="Times New Roman" w:hAnsi="Times New Roman" w:hint="default"/>
          <w:sz w:val="24"/>
          <w:szCs w:val="24"/>
        </w:rPr>
        <w:t>enia na zamestnancov a ich rodiny, ktorí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s pohybujú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v rá</w:t>
      </w:r>
      <w:r w:rsidRPr="00015954" w:rsidR="004A63DA">
        <w:rPr>
          <w:rFonts w:ascii="Times New Roman" w:hAnsi="Times New Roman" w:hint="default"/>
          <w:sz w:val="24"/>
          <w:szCs w:val="24"/>
        </w:rPr>
        <w:t>mc</w:t>
      </w:r>
      <w:r w:rsidRPr="00015954" w:rsidR="004A63DA">
        <w:rPr>
          <w:rFonts w:ascii="Times New Roman" w:hAnsi="Times New Roman" w:hint="default"/>
          <w:sz w:val="24"/>
          <w:szCs w:val="24"/>
        </w:rPr>
        <w:t>i spoloč</w:t>
      </w:r>
      <w:r w:rsidRPr="00015954" w:rsidR="004A63DA">
        <w:rPr>
          <w:rFonts w:ascii="Times New Roman" w:hAnsi="Times New Roman" w:hint="default"/>
          <w:sz w:val="24"/>
          <w:szCs w:val="24"/>
        </w:rPr>
        <w:t>enstva (Mimoriadne vydanie Ú</w:t>
      </w:r>
      <w:r w:rsidRPr="00015954" w:rsidR="004A63DA">
        <w:rPr>
          <w:rFonts w:ascii="Times New Roman" w:hAnsi="Times New Roman" w:hint="default"/>
          <w:sz w:val="24"/>
          <w:szCs w:val="24"/>
        </w:rPr>
        <w:t>. v. EÚ</w:t>
      </w:r>
      <w:r w:rsidRPr="00015954" w:rsidR="004A63DA">
        <w:rPr>
          <w:rFonts w:ascii="Times New Roman" w:hAnsi="Times New Roman" w:hint="default"/>
          <w:sz w:val="24"/>
          <w:szCs w:val="24"/>
        </w:rPr>
        <w:t>, kap.5/zv. 1) v platnom znení</w:t>
      </w:r>
    </w:p>
    <w:p w:rsid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ab/>
      </w:r>
      <w:r w:rsidRPr="00015954" w:rsidR="004A63DA">
        <w:rPr>
          <w:rFonts w:ascii="Times New Roman" w:hAnsi="Times New Roman" w:hint="default"/>
          <w:sz w:val="24"/>
          <w:szCs w:val="24"/>
        </w:rPr>
        <w:t>nariadenie Euró</w:t>
      </w:r>
      <w:r w:rsidRPr="00015954" w:rsidR="004A63DA">
        <w:rPr>
          <w:rFonts w:ascii="Times New Roman" w:hAnsi="Times New Roman" w:hint="default"/>
          <w:sz w:val="24"/>
          <w:szCs w:val="24"/>
        </w:rPr>
        <w:t>pskeho parlamentu a Rady (ES) 883/2004 z 29. aprí</w:t>
      </w:r>
      <w:r w:rsidRPr="00015954" w:rsidR="004A63DA">
        <w:rPr>
          <w:rFonts w:ascii="Times New Roman" w:hAnsi="Times New Roman" w:hint="default"/>
          <w:sz w:val="24"/>
          <w:szCs w:val="24"/>
        </w:rPr>
        <w:t>la 2004 o koordiná</w:t>
      </w:r>
      <w:r w:rsidRPr="00015954" w:rsidR="004A63DA">
        <w:rPr>
          <w:rFonts w:ascii="Times New Roman" w:hAnsi="Times New Roman" w:hint="default"/>
          <w:sz w:val="24"/>
          <w:szCs w:val="24"/>
        </w:rPr>
        <w:t>cií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systé</w:t>
      </w:r>
      <w:r w:rsidRPr="00015954" w:rsidR="004A63DA">
        <w:rPr>
          <w:rFonts w:ascii="Times New Roman" w:hAnsi="Times New Roman" w:hint="default"/>
          <w:sz w:val="24"/>
          <w:szCs w:val="24"/>
        </w:rPr>
        <w:t>mov sociá</w:t>
      </w:r>
      <w:r w:rsidRPr="00015954" w:rsidR="004A63DA">
        <w:rPr>
          <w:rFonts w:ascii="Times New Roman" w:hAnsi="Times New Roman" w:hint="default"/>
          <w:sz w:val="24"/>
          <w:szCs w:val="24"/>
        </w:rPr>
        <w:t>lneho zabezpeč</w:t>
      </w:r>
      <w:r w:rsidRPr="00015954" w:rsidR="004A63DA">
        <w:rPr>
          <w:rFonts w:ascii="Times New Roman" w:hAnsi="Times New Roman" w:hint="default"/>
          <w:sz w:val="24"/>
          <w:szCs w:val="24"/>
        </w:rPr>
        <w:t>enia (Mimoriadne vydanie Ú</w:t>
      </w:r>
      <w:r w:rsidRPr="00015954" w:rsidR="004A63DA">
        <w:rPr>
          <w:rFonts w:ascii="Times New Roman" w:hAnsi="Times New Roman" w:hint="default"/>
          <w:sz w:val="24"/>
          <w:szCs w:val="24"/>
        </w:rPr>
        <w:t>.v. EÚ</w:t>
      </w:r>
      <w:r w:rsidRPr="00015954" w:rsidR="004A63DA">
        <w:rPr>
          <w:rFonts w:ascii="Times New Roman" w:hAnsi="Times New Roman" w:hint="default"/>
          <w:sz w:val="24"/>
          <w:szCs w:val="24"/>
        </w:rPr>
        <w:t>, kap. 05/zv. 05) v platnom znen</w:t>
      </w:r>
      <w:r w:rsidRPr="00015954" w:rsidR="004A63DA">
        <w:rPr>
          <w:rFonts w:ascii="Times New Roman" w:hAnsi="Times New Roman" w:hint="default"/>
          <w:sz w:val="24"/>
          <w:szCs w:val="24"/>
        </w:rPr>
        <w:t>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</w:t>
      </w:r>
    </w:p>
    <w:p w:rsid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015954" w:rsidR="004A63DA">
        <w:rPr>
          <w:rFonts w:ascii="Times New Roman" w:hAnsi="Times New Roman" w:hint="default"/>
          <w:sz w:val="24"/>
          <w:szCs w:val="24"/>
        </w:rPr>
        <w:t>nariadenie Euró</w:t>
      </w:r>
      <w:r w:rsidRPr="00015954" w:rsidR="004A63DA">
        <w:rPr>
          <w:rFonts w:ascii="Times New Roman" w:hAnsi="Times New Roman" w:hint="default"/>
          <w:sz w:val="24"/>
          <w:szCs w:val="24"/>
        </w:rPr>
        <w:t>pskeho parlamentu a Rady (ES) č</w:t>
      </w:r>
      <w:r w:rsidRPr="00015954" w:rsidR="004A63DA">
        <w:rPr>
          <w:rFonts w:ascii="Times New Roman" w:hAnsi="Times New Roman" w:hint="default"/>
          <w:sz w:val="24"/>
          <w:szCs w:val="24"/>
        </w:rPr>
        <w:t>. 987/2009 zo 16. septembra 2009, ktorý</w:t>
      </w:r>
      <w:r w:rsidRPr="00015954" w:rsidR="004A63DA">
        <w:rPr>
          <w:rFonts w:ascii="Times New Roman" w:hAnsi="Times New Roman" w:hint="default"/>
          <w:sz w:val="24"/>
          <w:szCs w:val="24"/>
        </w:rPr>
        <w:t>m sa stanovuje postup vykoná</w:t>
      </w:r>
      <w:r w:rsidRPr="00015954" w:rsidR="004A63DA">
        <w:rPr>
          <w:rFonts w:ascii="Times New Roman" w:hAnsi="Times New Roman" w:hint="default"/>
          <w:sz w:val="24"/>
          <w:szCs w:val="24"/>
        </w:rPr>
        <w:t>vania nariadenia (ES) č</w:t>
      </w:r>
      <w:r w:rsidRPr="00015954" w:rsidR="004A63DA">
        <w:rPr>
          <w:rFonts w:ascii="Times New Roman" w:hAnsi="Times New Roman" w:hint="default"/>
          <w:sz w:val="24"/>
          <w:szCs w:val="24"/>
        </w:rPr>
        <w:t>. 883/2004 o koordiná</w:t>
      </w:r>
      <w:r w:rsidRPr="00015954" w:rsidR="004A63DA">
        <w:rPr>
          <w:rFonts w:ascii="Times New Roman" w:hAnsi="Times New Roman" w:hint="default"/>
          <w:sz w:val="24"/>
          <w:szCs w:val="24"/>
        </w:rPr>
        <w:t>cií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systé</w:t>
      </w:r>
      <w:r w:rsidRPr="00015954" w:rsidR="004A63DA">
        <w:rPr>
          <w:rFonts w:ascii="Times New Roman" w:hAnsi="Times New Roman" w:hint="default"/>
          <w:sz w:val="24"/>
          <w:szCs w:val="24"/>
        </w:rPr>
        <w:t>mov sociá</w:t>
      </w:r>
      <w:r w:rsidRPr="00015954" w:rsidR="004A63DA">
        <w:rPr>
          <w:rFonts w:ascii="Times New Roman" w:hAnsi="Times New Roman" w:hint="default"/>
          <w:sz w:val="24"/>
          <w:szCs w:val="24"/>
        </w:rPr>
        <w:t>lneho zabezpeč</w:t>
      </w:r>
      <w:r w:rsidRPr="00015954" w:rsidR="004A63DA">
        <w:rPr>
          <w:rFonts w:ascii="Times New Roman" w:hAnsi="Times New Roman" w:hint="default"/>
          <w:sz w:val="24"/>
          <w:szCs w:val="24"/>
        </w:rPr>
        <w:t>enia (Ú</w:t>
      </w:r>
      <w:r w:rsidRPr="00015954" w:rsidR="004A63DA">
        <w:rPr>
          <w:rFonts w:ascii="Times New Roman" w:hAnsi="Times New Roman" w:hint="default"/>
          <w:sz w:val="24"/>
          <w:szCs w:val="24"/>
        </w:rPr>
        <w:t>. v. EÚ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L 284, 30.10.2009) </w:t>
      </w:r>
    </w:p>
    <w:p w:rsidR="004A63DA" w:rsidRPr="00015954" w:rsidP="00015954">
      <w:p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  <w:r w:rsidRPr="00015954">
        <w:rPr>
          <w:rFonts w:ascii="Times New Roman" w:hAnsi="Times New Roman"/>
          <w:sz w:val="24"/>
          <w:szCs w:val="24"/>
        </w:rPr>
        <w:t xml:space="preserve">- </w:t>
      </w:r>
      <w:r w:rsidR="00015954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 w:hint="default"/>
          <w:sz w:val="24"/>
          <w:szCs w:val="24"/>
        </w:rPr>
        <w:t>nariadenie Euró</w:t>
      </w:r>
      <w:r w:rsidRPr="00015954">
        <w:rPr>
          <w:rFonts w:ascii="Times New Roman" w:hAnsi="Times New Roman" w:hint="default"/>
          <w:sz w:val="24"/>
          <w:szCs w:val="24"/>
        </w:rPr>
        <w:t>pskeho parlamentu a Rady (EÚ</w:t>
      </w:r>
      <w:r w:rsidRPr="00015954">
        <w:rPr>
          <w:rFonts w:ascii="Times New Roman" w:hAnsi="Times New Roman" w:hint="default"/>
          <w:sz w:val="24"/>
          <w:szCs w:val="24"/>
        </w:rPr>
        <w:t>) č</w:t>
      </w:r>
      <w:r w:rsidRPr="00015954">
        <w:rPr>
          <w:rFonts w:ascii="Times New Roman" w:hAnsi="Times New Roman" w:hint="default"/>
          <w:sz w:val="24"/>
          <w:szCs w:val="24"/>
        </w:rPr>
        <w:t>. 1024/2012 z 25. októ</w:t>
      </w:r>
      <w:r w:rsidRPr="00015954">
        <w:rPr>
          <w:rFonts w:ascii="Times New Roman" w:hAnsi="Times New Roman" w:hint="default"/>
          <w:sz w:val="24"/>
          <w:szCs w:val="24"/>
        </w:rPr>
        <w:t>bra 2012 o administratí</w:t>
      </w:r>
      <w:r w:rsidRPr="00015954">
        <w:rPr>
          <w:rFonts w:ascii="Times New Roman" w:hAnsi="Times New Roman" w:hint="default"/>
          <w:sz w:val="24"/>
          <w:szCs w:val="24"/>
        </w:rPr>
        <w:t>vnej spoluprá</w:t>
      </w:r>
      <w:r w:rsidRPr="00015954">
        <w:rPr>
          <w:rFonts w:ascii="Times New Roman" w:hAnsi="Times New Roman" w:hint="default"/>
          <w:sz w:val="24"/>
          <w:szCs w:val="24"/>
        </w:rPr>
        <w:t>ci prostrední</w:t>
      </w:r>
      <w:r w:rsidRPr="00015954">
        <w:rPr>
          <w:rFonts w:ascii="Times New Roman" w:hAnsi="Times New Roman" w:hint="default"/>
          <w:sz w:val="24"/>
          <w:szCs w:val="24"/>
        </w:rPr>
        <w:t>ctvom informač</w:t>
      </w:r>
      <w:r w:rsidRPr="00015954">
        <w:rPr>
          <w:rFonts w:ascii="Times New Roman" w:hAnsi="Times New Roman" w:hint="default"/>
          <w:sz w:val="24"/>
          <w:szCs w:val="24"/>
        </w:rPr>
        <w:t>né</w:t>
      </w:r>
      <w:r w:rsidRPr="00015954">
        <w:rPr>
          <w:rFonts w:ascii="Times New Roman" w:hAnsi="Times New Roman" w:hint="default"/>
          <w:sz w:val="24"/>
          <w:szCs w:val="24"/>
        </w:rPr>
        <w:t>ho systé</w:t>
      </w:r>
      <w:r w:rsidRPr="00015954">
        <w:rPr>
          <w:rFonts w:ascii="Times New Roman" w:hAnsi="Times New Roman" w:hint="default"/>
          <w:sz w:val="24"/>
          <w:szCs w:val="24"/>
        </w:rPr>
        <w:t>mu o vnú</w:t>
      </w:r>
      <w:r w:rsidRPr="00015954">
        <w:rPr>
          <w:rFonts w:ascii="Times New Roman" w:hAnsi="Times New Roman" w:hint="default"/>
          <w:sz w:val="24"/>
          <w:szCs w:val="24"/>
        </w:rPr>
        <w:t>tornom trhu a o zruš</w:t>
      </w:r>
      <w:r w:rsidRPr="00015954">
        <w:rPr>
          <w:rFonts w:ascii="Times New Roman" w:hAnsi="Times New Roman" w:hint="default"/>
          <w:sz w:val="24"/>
          <w:szCs w:val="24"/>
        </w:rPr>
        <w:t>ení</w:t>
      </w:r>
      <w:r w:rsidRPr="00015954">
        <w:rPr>
          <w:rFonts w:ascii="Times New Roman" w:hAnsi="Times New Roman" w:hint="default"/>
          <w:sz w:val="24"/>
          <w:szCs w:val="24"/>
        </w:rPr>
        <w:t xml:space="preserve"> rozhodnutia Komisie 2008/49/ES („</w:t>
      </w:r>
      <w:r w:rsidRPr="00015954">
        <w:rPr>
          <w:rFonts w:ascii="Times New Roman" w:hAnsi="Times New Roman" w:hint="default"/>
          <w:sz w:val="24"/>
          <w:szCs w:val="24"/>
        </w:rPr>
        <w:t>nariadenie o IMI“</w:t>
      </w:r>
      <w:r w:rsidRPr="00015954">
        <w:rPr>
          <w:rFonts w:ascii="Times New Roman" w:hAnsi="Times New Roman" w:hint="default"/>
          <w:sz w:val="24"/>
          <w:szCs w:val="24"/>
        </w:rPr>
        <w:t>) (Ú</w:t>
      </w:r>
      <w:r w:rsidRPr="00015954">
        <w:rPr>
          <w:rFonts w:ascii="Times New Roman" w:hAnsi="Times New Roman" w:hint="default"/>
          <w:sz w:val="24"/>
          <w:szCs w:val="24"/>
        </w:rPr>
        <w:t>. v. EÚ</w:t>
      </w:r>
      <w:r w:rsidRPr="00015954">
        <w:rPr>
          <w:rFonts w:ascii="Times New Roman" w:hAnsi="Times New Roman" w:hint="default"/>
          <w:sz w:val="24"/>
          <w:szCs w:val="24"/>
        </w:rPr>
        <w:t xml:space="preserve"> L 316, 14.11.2012).</w:t>
      </w:r>
    </w:p>
    <w:p w:rsidR="004A63DA" w:rsidRPr="00015954" w:rsidP="00015954">
      <w:pPr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1239" w:hanging="360"/>
        <w:jc w:val="both"/>
        <w:rPr>
          <w:rFonts w:ascii="Times New Roman" w:hAnsi="Times New Roman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2.</w:t>
        <w:tab/>
      </w:r>
      <w:r w:rsidRPr="00015954">
        <w:rPr>
          <w:rFonts w:ascii="Times New Roman" w:hAnsi="Times New Roman" w:hint="default"/>
          <w:sz w:val="24"/>
          <w:szCs w:val="24"/>
        </w:rPr>
        <w:t>nelegislatí</w:t>
      </w:r>
      <w:r w:rsidRPr="00015954">
        <w:rPr>
          <w:rFonts w:ascii="Times New Roman" w:hAnsi="Times New Roman" w:hint="default"/>
          <w:sz w:val="24"/>
          <w:szCs w:val="24"/>
        </w:rPr>
        <w:t>v</w:t>
      </w:r>
      <w:r w:rsidRPr="00015954">
        <w:rPr>
          <w:rFonts w:ascii="Times New Roman" w:hAnsi="Times New Roman" w:hint="default"/>
          <w:sz w:val="24"/>
          <w:szCs w:val="24"/>
        </w:rPr>
        <w:t>ne akty</w:t>
      </w: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A63DA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879" w:hanging="171"/>
        <w:jc w:val="both"/>
        <w:rPr>
          <w:rFonts w:ascii="Times New Roman" w:hAnsi="Times New Roman" w:hint="default"/>
          <w:i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-</w:t>
        <w:tab/>
      </w:r>
      <w:r w:rsidRPr="00015954">
        <w:rPr>
          <w:rFonts w:ascii="Times New Roman" w:hAnsi="Times New Roman" w:hint="default"/>
          <w:i/>
          <w:sz w:val="24"/>
          <w:szCs w:val="24"/>
        </w:rPr>
        <w:t>sekundá</w:t>
      </w:r>
      <w:r w:rsidRPr="00015954">
        <w:rPr>
          <w:rFonts w:ascii="Times New Roman" w:hAnsi="Times New Roman" w:hint="default"/>
          <w:i/>
          <w:sz w:val="24"/>
          <w:szCs w:val="24"/>
        </w:rPr>
        <w:t>rnom (prijatom pred nadobudnutí</w:t>
      </w:r>
      <w:r w:rsidRPr="00015954">
        <w:rPr>
          <w:rFonts w:ascii="Times New Roman" w:hAnsi="Times New Roman" w:hint="default"/>
          <w:i/>
          <w:sz w:val="24"/>
          <w:szCs w:val="24"/>
        </w:rPr>
        <w:t>m platnosti Lisabonskej zmluvy, ktorou sa mení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a dopĺň</w:t>
      </w:r>
      <w:r w:rsidRPr="00015954">
        <w:rPr>
          <w:rFonts w:ascii="Times New Roman" w:hAnsi="Times New Roman" w:hint="default"/>
          <w:i/>
          <w:sz w:val="24"/>
          <w:szCs w:val="24"/>
        </w:rPr>
        <w:t>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pskom spoloč</w:t>
      </w:r>
      <w:r w:rsidRPr="00015954">
        <w:rPr>
          <w:rFonts w:ascii="Times New Roman" w:hAnsi="Times New Roman" w:hint="default"/>
          <w:i/>
          <w:sz w:val="24"/>
          <w:szCs w:val="24"/>
        </w:rPr>
        <w:t>enstve a Zmluva o Euró</w:t>
      </w:r>
      <w:r w:rsidRPr="00015954">
        <w:rPr>
          <w:rFonts w:ascii="Times New Roman" w:hAnsi="Times New Roman" w:hint="default"/>
          <w:i/>
          <w:sz w:val="24"/>
          <w:szCs w:val="24"/>
        </w:rPr>
        <w:t>pskej ú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nii </w:t>
      </w:r>
      <w:r w:rsidRPr="00015954">
        <w:rPr>
          <w:rFonts w:ascii="Times New Roman" w:hAnsi="Times New Roman" w:hint="default"/>
          <w:i/>
          <w:sz w:val="24"/>
          <w:szCs w:val="24"/>
        </w:rPr>
        <w:t>–</w:t>
      </w:r>
      <w:r w:rsidRPr="00015954">
        <w:rPr>
          <w:rFonts w:ascii="Times New Roman" w:hAnsi="Times New Roman" w:hint="default"/>
          <w:i/>
          <w:sz w:val="24"/>
          <w:szCs w:val="24"/>
        </w:rPr>
        <w:t xml:space="preserve"> do 30. novembra 2009)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  <w:tblLayout w:type="fixed"/>
      </w:tblPr>
      <w:tblGrid>
        <w:gridCol w:w="8658"/>
      </w:tblGrid>
      <w:tr>
        <w:tblPrEx>
          <w:tblW w:w="0" w:type="auto"/>
          <w:tblInd w:w="918" w:type="dxa"/>
          <w:tblLayout w:type="fixed"/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 w:rsidR="004A63DA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Vykoná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vacia Smernica Komisie 2012/52/EÚ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 xml:space="preserve"> z 20. decembra 2012, ktor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ou sa stanovujú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 xml:space="preserve"> opatrenia na uľ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ahč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enie uzná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vania leká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rskych predpisov vystavený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ch v inom č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lenskom 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tá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te (Ú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. v. EÚ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 xml:space="preserve"> L 356, 22.12.2012).</w:t>
            </w:r>
          </w:p>
          <w:p w:rsidR="004A63DA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b)</w:t>
        <w:tab/>
      </w:r>
      <w:r w:rsidRPr="00015954">
        <w:rPr>
          <w:rFonts w:ascii="Times New Roman" w:hAnsi="Times New Roman" w:hint="default"/>
          <w:sz w:val="24"/>
          <w:szCs w:val="24"/>
        </w:rPr>
        <w:t>je obsiahnutá</w:t>
      </w:r>
      <w:r w:rsidRPr="00015954">
        <w:rPr>
          <w:rFonts w:ascii="Times New Roman" w:hAnsi="Times New Roman" w:hint="default"/>
          <w:sz w:val="24"/>
          <w:szCs w:val="24"/>
        </w:rPr>
        <w:t xml:space="preserve"> v judikatú</w:t>
      </w:r>
      <w:r w:rsidRPr="00015954">
        <w:rPr>
          <w:rFonts w:ascii="Times New Roman" w:hAnsi="Times New Roman" w:hint="default"/>
          <w:sz w:val="24"/>
          <w:szCs w:val="24"/>
        </w:rPr>
        <w:t>re Sú</w:t>
      </w:r>
      <w:r w:rsidRPr="00015954">
        <w:rPr>
          <w:rFonts w:ascii="Times New Roman" w:hAnsi="Times New Roman" w:hint="default"/>
          <w:sz w:val="24"/>
          <w:szCs w:val="24"/>
        </w:rPr>
        <w:t>dneho dvora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nie.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 spojený</w:t>
      </w:r>
      <w:r w:rsidRPr="00015954" w:rsidR="004A63DA">
        <w:rPr>
          <w:rFonts w:ascii="Times New Roman" w:hAnsi="Times New Roman" w:hint="default"/>
          <w:sz w:val="24"/>
          <w:szCs w:val="24"/>
        </w:rPr>
        <w:t>ch prí</w:t>
      </w:r>
      <w:r w:rsidRPr="00015954" w:rsidR="004A63DA">
        <w:rPr>
          <w:rFonts w:ascii="Times New Roman" w:hAnsi="Times New Roman" w:hint="default"/>
          <w:sz w:val="24"/>
          <w:szCs w:val="24"/>
        </w:rPr>
        <w:t>padoch G. Luisi a G. Carbone č</w:t>
      </w:r>
      <w:r w:rsidRPr="00015954" w:rsidR="004A63DA">
        <w:rPr>
          <w:rFonts w:ascii="Times New Roman" w:hAnsi="Times New Roman" w:hint="default"/>
          <w:sz w:val="24"/>
          <w:szCs w:val="24"/>
        </w:rPr>
        <w:t>. 286/82 a 26/83 zo dň</w:t>
      </w:r>
      <w:r w:rsidRPr="00015954" w:rsidR="004A63DA">
        <w:rPr>
          <w:rFonts w:ascii="Times New Roman" w:hAnsi="Times New Roman" w:hint="default"/>
          <w:sz w:val="24"/>
          <w:szCs w:val="24"/>
        </w:rPr>
        <w:t>a 31. januá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ra 1984. 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Delavant, čí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slo C </w:t>
      </w:r>
      <w:r w:rsidRPr="00015954" w:rsidR="004A63DA">
        <w:rPr>
          <w:rFonts w:ascii="Times New Roman" w:hAnsi="Times New Roman" w:hint="default"/>
          <w:sz w:val="24"/>
          <w:szCs w:val="24"/>
        </w:rPr>
        <w:t>–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451/93.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Decker zo dň</w:t>
      </w:r>
      <w:r w:rsidRPr="00015954" w:rsidR="004A63DA">
        <w:rPr>
          <w:rFonts w:ascii="Times New Roman" w:hAnsi="Times New Roman" w:hint="default"/>
          <w:sz w:val="24"/>
          <w:szCs w:val="24"/>
        </w:rPr>
        <w:t>a 28. aprí</w:t>
      </w:r>
      <w:r w:rsidRPr="00015954" w:rsidR="004A63DA">
        <w:rPr>
          <w:rFonts w:ascii="Times New Roman" w:hAnsi="Times New Roman" w:hint="default"/>
          <w:sz w:val="24"/>
          <w:szCs w:val="24"/>
        </w:rPr>
        <w:t>la 1998, čí</w:t>
      </w:r>
      <w:r w:rsidRPr="00015954" w:rsidR="004A63DA">
        <w:rPr>
          <w:rFonts w:ascii="Times New Roman" w:hAnsi="Times New Roman" w:hint="default"/>
          <w:sz w:val="24"/>
          <w:szCs w:val="24"/>
        </w:rPr>
        <w:t>slo C-120/95.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Kohll zo dň</w:t>
      </w:r>
      <w:r w:rsidRPr="00015954" w:rsidR="004A63DA">
        <w:rPr>
          <w:rFonts w:ascii="Times New Roman" w:hAnsi="Times New Roman" w:hint="default"/>
          <w:sz w:val="24"/>
          <w:szCs w:val="24"/>
        </w:rPr>
        <w:t>a 28. aprí</w:t>
      </w:r>
      <w:r w:rsidRPr="00015954" w:rsidR="004A63DA">
        <w:rPr>
          <w:rFonts w:ascii="Times New Roman" w:hAnsi="Times New Roman" w:hint="default"/>
          <w:sz w:val="24"/>
          <w:szCs w:val="24"/>
        </w:rPr>
        <w:t>la 1998, čí</w:t>
      </w:r>
      <w:r w:rsidRPr="00015954" w:rsidR="004A63DA">
        <w:rPr>
          <w:rFonts w:ascii="Times New Roman" w:hAnsi="Times New Roman" w:hint="default"/>
          <w:sz w:val="24"/>
          <w:szCs w:val="24"/>
        </w:rPr>
        <w:t>slo C-1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58/96. 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Vanbraekel zo dň</w:t>
      </w:r>
      <w:r w:rsidRPr="00015954" w:rsidR="004A63DA">
        <w:rPr>
          <w:rFonts w:ascii="Times New Roman" w:hAnsi="Times New Roman" w:hint="default"/>
          <w:sz w:val="24"/>
          <w:szCs w:val="24"/>
        </w:rPr>
        <w:t>a 12. jú</w:t>
      </w:r>
      <w:r w:rsidRPr="00015954" w:rsidR="004A63DA">
        <w:rPr>
          <w:rFonts w:ascii="Times New Roman" w:hAnsi="Times New Roman" w:hint="default"/>
          <w:sz w:val="24"/>
          <w:szCs w:val="24"/>
        </w:rPr>
        <w:t>na 2001, čí</w:t>
      </w:r>
      <w:r w:rsidRPr="00015954" w:rsidR="004A63DA">
        <w:rPr>
          <w:rFonts w:ascii="Times New Roman" w:hAnsi="Times New Roman" w:hint="default"/>
          <w:sz w:val="24"/>
          <w:szCs w:val="24"/>
        </w:rPr>
        <w:t>slo C-368/98.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Geraets-Smits a Peerbooms zo dň</w:t>
      </w:r>
      <w:r w:rsidRPr="00015954" w:rsidR="004A63DA">
        <w:rPr>
          <w:rFonts w:ascii="Times New Roman" w:hAnsi="Times New Roman" w:hint="default"/>
          <w:sz w:val="24"/>
          <w:szCs w:val="24"/>
        </w:rPr>
        <w:t>a 12. jú</w:t>
      </w:r>
      <w:r w:rsidRPr="00015954" w:rsidR="004A63DA">
        <w:rPr>
          <w:rFonts w:ascii="Times New Roman" w:hAnsi="Times New Roman" w:hint="default"/>
          <w:sz w:val="24"/>
          <w:szCs w:val="24"/>
        </w:rPr>
        <w:t>la 2001, čí</w:t>
      </w:r>
      <w:r w:rsidRPr="00015954" w:rsidR="004A63DA">
        <w:rPr>
          <w:rFonts w:ascii="Times New Roman" w:hAnsi="Times New Roman" w:hint="default"/>
          <w:sz w:val="24"/>
          <w:szCs w:val="24"/>
        </w:rPr>
        <w:t>slo C- 157/99.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Mü</w:t>
      </w:r>
      <w:r w:rsidRPr="00015954" w:rsidR="004A63DA">
        <w:rPr>
          <w:rFonts w:ascii="Times New Roman" w:hAnsi="Times New Roman" w:hint="default"/>
          <w:sz w:val="24"/>
          <w:szCs w:val="24"/>
        </w:rPr>
        <w:t>ller-Fauré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a Van Riet, zo dň</w:t>
      </w:r>
      <w:r w:rsidRPr="00015954" w:rsidR="004A63DA">
        <w:rPr>
          <w:rFonts w:ascii="Times New Roman" w:hAnsi="Times New Roman" w:hint="default"/>
          <w:sz w:val="24"/>
          <w:szCs w:val="24"/>
        </w:rPr>
        <w:t>a 13. má</w:t>
      </w:r>
      <w:r w:rsidRPr="00015954" w:rsidR="004A63DA">
        <w:rPr>
          <w:rFonts w:ascii="Times New Roman" w:hAnsi="Times New Roman" w:hint="default"/>
          <w:sz w:val="24"/>
          <w:szCs w:val="24"/>
        </w:rPr>
        <w:t>ja 2003, č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. C-385/99. 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/>
          <w:sz w:val="24"/>
          <w:szCs w:val="24"/>
        </w:rPr>
        <w:t>- Ro</w:t>
      </w:r>
      <w:r w:rsidRPr="00015954" w:rsidR="004A63DA">
        <w:rPr>
          <w:rFonts w:ascii="Times New Roman" w:hAnsi="Times New Roman" w:hint="default"/>
          <w:sz w:val="24"/>
          <w:szCs w:val="24"/>
        </w:rPr>
        <w:t>zsudok ESD vo veci Inizan, zo dň</w:t>
      </w:r>
      <w:r w:rsidRPr="00015954" w:rsidR="004A63DA">
        <w:rPr>
          <w:rFonts w:ascii="Times New Roman" w:hAnsi="Times New Roman" w:hint="default"/>
          <w:sz w:val="24"/>
          <w:szCs w:val="24"/>
        </w:rPr>
        <w:t>a 23. októ</w:t>
      </w:r>
      <w:r w:rsidRPr="00015954" w:rsidR="004A63DA">
        <w:rPr>
          <w:rFonts w:ascii="Times New Roman" w:hAnsi="Times New Roman" w:hint="default"/>
          <w:sz w:val="24"/>
          <w:szCs w:val="24"/>
        </w:rPr>
        <w:t>bra 2003, čí</w:t>
      </w:r>
      <w:r w:rsidRPr="00015954" w:rsidR="004A63DA">
        <w:rPr>
          <w:rFonts w:ascii="Times New Roman" w:hAnsi="Times New Roman" w:hint="default"/>
          <w:sz w:val="24"/>
          <w:szCs w:val="24"/>
        </w:rPr>
        <w:t>slo C-56/01.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Keller, zo dň</w:t>
      </w:r>
      <w:r w:rsidRPr="00015954" w:rsidR="004A63DA">
        <w:rPr>
          <w:rFonts w:ascii="Times New Roman" w:hAnsi="Times New Roman" w:hint="default"/>
          <w:sz w:val="24"/>
          <w:szCs w:val="24"/>
        </w:rPr>
        <w:t>a 12. aprí</w:t>
      </w:r>
      <w:r w:rsidRPr="00015954" w:rsidR="004A63DA">
        <w:rPr>
          <w:rFonts w:ascii="Times New Roman" w:hAnsi="Times New Roman" w:hint="default"/>
          <w:sz w:val="24"/>
          <w:szCs w:val="24"/>
        </w:rPr>
        <w:t>la 2005, č</w:t>
      </w:r>
      <w:r w:rsidRPr="00015954" w:rsidR="004A63DA">
        <w:rPr>
          <w:rFonts w:ascii="Times New Roman" w:hAnsi="Times New Roman" w:hint="default"/>
          <w:sz w:val="24"/>
          <w:szCs w:val="24"/>
        </w:rPr>
        <w:t>. C-145/03.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Watts, zo dň</w:t>
      </w:r>
      <w:r w:rsidRPr="00015954" w:rsidR="004A63DA">
        <w:rPr>
          <w:rFonts w:ascii="Times New Roman" w:hAnsi="Times New Roman" w:hint="default"/>
          <w:sz w:val="24"/>
          <w:szCs w:val="24"/>
        </w:rPr>
        <w:t>a 16. má</w:t>
      </w:r>
      <w:r w:rsidRPr="00015954" w:rsidR="004A63DA">
        <w:rPr>
          <w:rFonts w:ascii="Times New Roman" w:hAnsi="Times New Roman" w:hint="default"/>
          <w:sz w:val="24"/>
          <w:szCs w:val="24"/>
        </w:rPr>
        <w:t>ja 2006, č</w:t>
      </w:r>
      <w:r w:rsidRPr="00015954" w:rsidR="004A63DA">
        <w:rPr>
          <w:rFonts w:ascii="Times New Roman" w:hAnsi="Times New Roman" w:hint="default"/>
          <w:sz w:val="24"/>
          <w:szCs w:val="24"/>
        </w:rPr>
        <w:t>. C-372/04.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Ioannidis, zo dň</w:t>
      </w:r>
      <w:r w:rsidRPr="00015954" w:rsidR="004A63DA">
        <w:rPr>
          <w:rFonts w:ascii="Times New Roman" w:hAnsi="Times New Roman" w:hint="default"/>
          <w:sz w:val="24"/>
          <w:szCs w:val="24"/>
        </w:rPr>
        <w:t>a 25. februá</w:t>
      </w:r>
      <w:r w:rsidRPr="00015954" w:rsidR="004A63DA">
        <w:rPr>
          <w:rFonts w:ascii="Times New Roman" w:hAnsi="Times New Roman" w:hint="default"/>
          <w:sz w:val="24"/>
          <w:szCs w:val="24"/>
        </w:rPr>
        <w:t>ra 20</w:t>
      </w:r>
      <w:r w:rsidRPr="00015954" w:rsidR="004A63DA">
        <w:rPr>
          <w:rFonts w:ascii="Times New Roman" w:hAnsi="Times New Roman" w:hint="default"/>
          <w:sz w:val="24"/>
          <w:szCs w:val="24"/>
        </w:rPr>
        <w:t>03, č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. C-326/00. 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Leichtle, zo dň</w:t>
      </w:r>
      <w:r w:rsidRPr="00015954" w:rsidR="004A63DA">
        <w:rPr>
          <w:rFonts w:ascii="Times New Roman" w:hAnsi="Times New Roman" w:hint="default"/>
          <w:sz w:val="24"/>
          <w:szCs w:val="24"/>
        </w:rPr>
        <w:t>a 18. marca 2004, č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. C-8/02. 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Stamatelakis, zo dň</w:t>
      </w:r>
      <w:r w:rsidRPr="00015954" w:rsidR="004A63DA">
        <w:rPr>
          <w:rFonts w:ascii="Times New Roman" w:hAnsi="Times New Roman" w:hint="default"/>
          <w:sz w:val="24"/>
          <w:szCs w:val="24"/>
        </w:rPr>
        <w:t>a 19. aprí</w:t>
      </w:r>
      <w:r w:rsidRPr="00015954" w:rsidR="004A63DA">
        <w:rPr>
          <w:rFonts w:ascii="Times New Roman" w:hAnsi="Times New Roman" w:hint="default"/>
          <w:sz w:val="24"/>
          <w:szCs w:val="24"/>
        </w:rPr>
        <w:t>la 2007, č</w:t>
      </w:r>
      <w:r w:rsidRPr="00015954" w:rsidR="004A63DA">
        <w:rPr>
          <w:rFonts w:ascii="Times New Roman" w:hAnsi="Times New Roman" w:hint="default"/>
          <w:sz w:val="24"/>
          <w:szCs w:val="24"/>
        </w:rPr>
        <w:t>. C-444/05.</w:t>
      </w:r>
    </w:p>
    <w:p w:rsid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- Rozsudok ESD vo veci Acereda Herrera, zo dň</w:t>
      </w:r>
      <w:r w:rsidRPr="00015954" w:rsidR="004A63DA">
        <w:rPr>
          <w:rFonts w:ascii="Times New Roman" w:hAnsi="Times New Roman" w:hint="default"/>
          <w:sz w:val="24"/>
          <w:szCs w:val="24"/>
        </w:rPr>
        <w:t>a 15. jú</w:t>
      </w:r>
      <w:r w:rsidRPr="00015954" w:rsidR="004A63DA">
        <w:rPr>
          <w:rFonts w:ascii="Times New Roman" w:hAnsi="Times New Roman" w:hint="default"/>
          <w:sz w:val="24"/>
          <w:szCs w:val="24"/>
        </w:rPr>
        <w:t>na 2006, č</w:t>
      </w:r>
      <w:r w:rsidRPr="00015954" w:rsidR="004A63DA">
        <w:rPr>
          <w:rFonts w:ascii="Times New Roman" w:hAnsi="Times New Roman" w:hint="default"/>
          <w:sz w:val="24"/>
          <w:szCs w:val="24"/>
        </w:rPr>
        <w:t>. C-466/04.</w:t>
      </w:r>
    </w:p>
    <w:p w:rsidR="004A63DA" w:rsidRPr="00015954" w:rsidP="00015954">
      <w:pPr>
        <w:bidi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  </w:t>
      </w: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4.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Zá</w:t>
      </w:r>
      <w:r w:rsidRPr="00015954">
        <w:rPr>
          <w:rFonts w:ascii="Times New Roman" w:hAnsi="Times New Roman" w:hint="default"/>
          <w:b/>
          <w:sz w:val="24"/>
          <w:szCs w:val="24"/>
        </w:rPr>
        <w:t>vä</w:t>
      </w:r>
      <w:r w:rsidRPr="00015954">
        <w:rPr>
          <w:rFonts w:ascii="Times New Roman" w:hAnsi="Times New Roman" w:hint="default"/>
          <w:b/>
          <w:sz w:val="24"/>
          <w:szCs w:val="24"/>
        </w:rPr>
        <w:t>zky Slovenskej republiky vo vzť</w:t>
      </w:r>
      <w:r w:rsidRPr="00015954">
        <w:rPr>
          <w:rFonts w:ascii="Times New Roman" w:hAnsi="Times New Roman" w:hint="default"/>
          <w:b/>
          <w:sz w:val="24"/>
          <w:szCs w:val="24"/>
        </w:rPr>
        <w:t>ahu k </w:t>
      </w:r>
      <w:r w:rsidRPr="00015954">
        <w:rPr>
          <w:rFonts w:ascii="Times New Roman" w:hAnsi="Times New Roman" w:hint="default"/>
          <w:b/>
          <w:sz w:val="24"/>
          <w:szCs w:val="24"/>
        </w:rPr>
        <w:t>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nii: 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a)</w:t>
        <w:tab/>
      </w:r>
      <w:r w:rsidRPr="00015954">
        <w:rPr>
          <w:rFonts w:ascii="Times New Roman" w:hAnsi="Times New Roman" w:hint="default"/>
          <w:sz w:val="24"/>
          <w:szCs w:val="24"/>
        </w:rPr>
        <w:t>lehota na prebratie smernice alebo lehota na implementá</w:t>
      </w:r>
      <w:r w:rsidRPr="00015954">
        <w:rPr>
          <w:rFonts w:ascii="Times New Roman" w:hAnsi="Times New Roman" w:hint="default"/>
          <w:sz w:val="24"/>
          <w:szCs w:val="24"/>
        </w:rPr>
        <w:t>ciu nariadenia alebo rozhodnutia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bezpredmetné</w:t>
        <w:br/>
        <w:t> 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b)</w:t>
        <w:tab/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lehota urč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 xml:space="preserve"> na predlož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enie 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vrhu 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vneho predpisu na rokovanie vlá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dy podľ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a urč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enia ges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torský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ú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stredný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orgá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nov 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tá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tnej sprá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vy zodpovedný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za transpozí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ciu smerní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 a vypracovanie tabuliek zhody k ná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vrhom vš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eobecne zá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vä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zný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ch prá</w:t>
      </w:r>
      <w:r w:rsidRPr="00015954">
        <w:rPr>
          <w:rFonts w:ascii="Times New Roman" w:hAnsi="Times New Roman" w:hint="default"/>
          <w:color w:val="000000"/>
          <w:sz w:val="24"/>
          <w:szCs w:val="24"/>
        </w:rPr>
        <w:t>vnych predpisov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ab/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bezpredmetné </w:t>
      </w: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c)</w:t>
        <w:tab/>
      </w:r>
      <w:r w:rsidRPr="00015954">
        <w:rPr>
          <w:rFonts w:ascii="Times New Roman" w:hAnsi="Times New Roman" w:hint="default"/>
          <w:sz w:val="24"/>
          <w:szCs w:val="24"/>
        </w:rPr>
        <w:t>informá</w:t>
      </w:r>
      <w:r w:rsidRPr="00015954">
        <w:rPr>
          <w:rFonts w:ascii="Times New Roman" w:hAnsi="Times New Roman" w:hint="default"/>
          <w:sz w:val="24"/>
          <w:szCs w:val="24"/>
        </w:rPr>
        <w:t>cia o konaní</w:t>
      </w:r>
      <w:r w:rsidRPr="00015954">
        <w:rPr>
          <w:rFonts w:ascii="Times New Roman" w:hAnsi="Times New Roman" w:hint="default"/>
          <w:sz w:val="24"/>
          <w:szCs w:val="24"/>
        </w:rPr>
        <w:t xml:space="preserve"> zač</w:t>
      </w:r>
      <w:r w:rsidRPr="00015954">
        <w:rPr>
          <w:rFonts w:ascii="Times New Roman" w:hAnsi="Times New Roman" w:hint="default"/>
          <w:sz w:val="24"/>
          <w:szCs w:val="24"/>
        </w:rPr>
        <w:t>atom proti Slovenskej republike o poruš</w:t>
      </w:r>
      <w:r w:rsidRPr="00015954">
        <w:rPr>
          <w:rFonts w:ascii="Times New Roman" w:hAnsi="Times New Roman" w:hint="default"/>
          <w:sz w:val="24"/>
          <w:szCs w:val="24"/>
        </w:rPr>
        <w:t>ení</w:t>
      </w:r>
      <w:r w:rsidRPr="00015954">
        <w:rPr>
          <w:rFonts w:ascii="Times New Roman" w:hAnsi="Times New Roman" w:hint="default"/>
          <w:sz w:val="24"/>
          <w:szCs w:val="24"/>
        </w:rPr>
        <w:t xml:space="preserve"> podľ</w:t>
      </w:r>
      <w:r w:rsidRPr="00015954">
        <w:rPr>
          <w:rFonts w:ascii="Times New Roman" w:hAnsi="Times New Roman" w:hint="default"/>
          <w:sz w:val="24"/>
          <w:szCs w:val="24"/>
        </w:rPr>
        <w:t>a č</w:t>
      </w:r>
      <w:r w:rsidRPr="00015954">
        <w:rPr>
          <w:rFonts w:ascii="Times New Roman" w:hAnsi="Times New Roman" w:hint="default"/>
          <w:sz w:val="24"/>
          <w:szCs w:val="24"/>
        </w:rPr>
        <w:t>l. 2</w:t>
      </w:r>
      <w:r w:rsidRPr="00015954">
        <w:rPr>
          <w:rFonts w:ascii="Times New Roman" w:hAnsi="Times New Roman" w:hint="default"/>
          <w:sz w:val="24"/>
          <w:szCs w:val="24"/>
        </w:rPr>
        <w:t>58 až</w:t>
      </w:r>
      <w:r w:rsidRPr="00015954">
        <w:rPr>
          <w:rFonts w:ascii="Times New Roman" w:hAnsi="Times New Roman" w:hint="default"/>
          <w:sz w:val="24"/>
          <w:szCs w:val="24"/>
        </w:rPr>
        <w:t xml:space="preserve"> 260 Zmluvy o fungovaní</w:t>
      </w:r>
      <w:r w:rsidRPr="00015954">
        <w:rPr>
          <w:rFonts w:ascii="Times New Roman" w:hAnsi="Times New Roman" w:hint="default"/>
          <w:sz w:val="24"/>
          <w:szCs w:val="24"/>
        </w:rPr>
        <w:t xml:space="preserve"> Euró</w:t>
      </w:r>
      <w:r w:rsidRPr="00015954">
        <w:rPr>
          <w:rFonts w:ascii="Times New Roman" w:hAnsi="Times New Roman" w:hint="default"/>
          <w:sz w:val="24"/>
          <w:szCs w:val="24"/>
        </w:rPr>
        <w:t>pskej ú</w:t>
      </w:r>
      <w:r w:rsidRPr="00015954">
        <w:rPr>
          <w:rFonts w:ascii="Times New Roman" w:hAnsi="Times New Roman" w:hint="default"/>
          <w:sz w:val="24"/>
          <w:szCs w:val="24"/>
        </w:rPr>
        <w:t>nie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ab/>
      </w:r>
      <w:r w:rsidRPr="00015954">
        <w:rPr>
          <w:rFonts w:ascii="Times New Roman" w:hAnsi="Times New Roman" w:hint="default"/>
          <w:sz w:val="24"/>
          <w:szCs w:val="24"/>
        </w:rPr>
        <w:t>bezpredmetné</w:t>
        <w:br/>
        <w:t> 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709" w:hanging="349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d)</w:t>
        <w:tab/>
      </w:r>
      <w:r w:rsidRPr="00015954">
        <w:rPr>
          <w:rFonts w:ascii="Times New Roman" w:hAnsi="Times New Roman" w:hint="default"/>
          <w:sz w:val="24"/>
          <w:szCs w:val="24"/>
        </w:rPr>
        <w:t>informá</w:t>
      </w:r>
      <w:r w:rsidRPr="00015954">
        <w:rPr>
          <w:rFonts w:ascii="Times New Roman" w:hAnsi="Times New Roman" w:hint="default"/>
          <w:sz w:val="24"/>
          <w:szCs w:val="24"/>
        </w:rPr>
        <w:t>cia o prá</w:t>
      </w:r>
      <w:r w:rsidRPr="00015954">
        <w:rPr>
          <w:rFonts w:ascii="Times New Roman" w:hAnsi="Times New Roman" w:hint="default"/>
          <w:sz w:val="24"/>
          <w:szCs w:val="24"/>
        </w:rPr>
        <w:t>vnych predpisoch, v ktorý</w:t>
      </w:r>
      <w:r w:rsidRPr="00015954">
        <w:rPr>
          <w:rFonts w:ascii="Times New Roman" w:hAnsi="Times New Roman" w:hint="default"/>
          <w:sz w:val="24"/>
          <w:szCs w:val="24"/>
        </w:rPr>
        <w:t>ch sú</w:t>
      </w:r>
      <w:r w:rsidRPr="00015954">
        <w:rPr>
          <w:rFonts w:ascii="Times New Roman" w:hAnsi="Times New Roman" w:hint="default"/>
          <w:sz w:val="24"/>
          <w:szCs w:val="24"/>
        </w:rPr>
        <w:t xml:space="preserve"> preberané</w:t>
      </w:r>
      <w:r w:rsidRPr="00015954">
        <w:rPr>
          <w:rFonts w:ascii="Times New Roman" w:hAnsi="Times New Roman" w:hint="default"/>
          <w:sz w:val="24"/>
          <w:szCs w:val="24"/>
        </w:rPr>
        <w:t xml:space="preserve"> smernice už</w:t>
      </w:r>
      <w:r w:rsidRPr="00015954">
        <w:rPr>
          <w:rFonts w:ascii="Times New Roman" w:hAnsi="Times New Roman" w:hint="default"/>
          <w:sz w:val="24"/>
          <w:szCs w:val="24"/>
        </w:rPr>
        <w:t xml:space="preserve"> prebraté</w:t>
      </w:r>
      <w:r w:rsidRPr="00015954">
        <w:rPr>
          <w:rFonts w:ascii="Times New Roman" w:hAnsi="Times New Roman" w:hint="default"/>
          <w:sz w:val="24"/>
          <w:szCs w:val="24"/>
        </w:rPr>
        <w:t xml:space="preserve"> spolu s uvedení</w:t>
      </w:r>
      <w:r w:rsidRPr="00015954">
        <w:rPr>
          <w:rFonts w:ascii="Times New Roman" w:hAnsi="Times New Roman" w:hint="default"/>
          <w:sz w:val="24"/>
          <w:szCs w:val="24"/>
        </w:rPr>
        <w:t>m rozsahu tohto prebratia</w:t>
      </w:r>
    </w:p>
    <w:p w:rsidR="004A63DA" w:rsidRPr="00015954" w:rsidP="00015954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nie sú</w:t>
      </w:r>
      <w:r w:rsidRPr="00015954" w:rsidR="004A63DA">
        <w:rPr>
          <w:rFonts w:ascii="Times New Roman" w:hAnsi="Times New Roman" w:hint="default"/>
          <w:sz w:val="24"/>
          <w:szCs w:val="24"/>
        </w:rPr>
        <w:t xml:space="preserve"> </w:t>
      </w:r>
    </w:p>
    <w:p w:rsidR="004A63DA" w:rsidRPr="00015954" w:rsidP="00015954">
      <w:pPr>
        <w:bidi w:val="0"/>
        <w:spacing w:after="0" w:line="240" w:lineRule="auto"/>
        <w:ind w:firstLine="708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/>
      </w:r>
      <w:r w:rsidRPr="00015954">
        <w:rPr>
          <w:rFonts w:ascii="Times New Roman" w:hAnsi="Times New Roman"/>
          <w:b/>
          <w:sz w:val="24"/>
          <w:szCs w:val="24"/>
        </w:rPr>
        <w:t>5.</w:t>
        <w:tab/>
      </w:r>
      <w:r w:rsidRPr="00015954">
        <w:rPr>
          <w:rFonts w:ascii="Times New Roman" w:hAnsi="Times New Roman" w:hint="default"/>
          <w:b/>
          <w:sz w:val="24"/>
          <w:szCs w:val="24"/>
        </w:rPr>
        <w:t>Stupeň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 zluč</w:t>
      </w:r>
      <w:r w:rsidRPr="00015954">
        <w:rPr>
          <w:rFonts w:ascii="Times New Roman" w:hAnsi="Times New Roman" w:hint="default"/>
          <w:b/>
          <w:sz w:val="24"/>
          <w:szCs w:val="24"/>
        </w:rPr>
        <w:t>iteľ</w:t>
      </w:r>
      <w:r w:rsidRPr="00015954">
        <w:rPr>
          <w:rFonts w:ascii="Times New Roman" w:hAnsi="Times New Roman" w:hint="default"/>
          <w:b/>
          <w:sz w:val="24"/>
          <w:szCs w:val="24"/>
        </w:rPr>
        <w:t>nosti ná</w:t>
      </w:r>
      <w:r w:rsidRPr="00015954">
        <w:rPr>
          <w:rFonts w:ascii="Times New Roman" w:hAnsi="Times New Roman" w:hint="default"/>
          <w:b/>
          <w:sz w:val="24"/>
          <w:szCs w:val="24"/>
        </w:rPr>
        <w:t>vrhu prá</w:t>
      </w:r>
      <w:r w:rsidRPr="00015954">
        <w:rPr>
          <w:rFonts w:ascii="Times New Roman" w:hAnsi="Times New Roman" w:hint="default"/>
          <w:b/>
          <w:sz w:val="24"/>
          <w:szCs w:val="24"/>
        </w:rPr>
        <w:t>vneho predpisu s </w:t>
      </w:r>
      <w:r w:rsidRPr="00015954">
        <w:rPr>
          <w:rFonts w:ascii="Times New Roman" w:hAnsi="Times New Roman" w:hint="default"/>
          <w:b/>
          <w:sz w:val="24"/>
          <w:szCs w:val="24"/>
        </w:rPr>
        <w:t>prá</w:t>
      </w:r>
      <w:r w:rsidRPr="00015954">
        <w:rPr>
          <w:rFonts w:ascii="Times New Roman" w:hAnsi="Times New Roman" w:hint="default"/>
          <w:b/>
          <w:sz w:val="24"/>
          <w:szCs w:val="24"/>
        </w:rPr>
        <w:t>vom Euró</w:t>
      </w:r>
      <w:r w:rsidRPr="00015954">
        <w:rPr>
          <w:rFonts w:ascii="Times New Roman" w:hAnsi="Times New Roman" w:hint="default"/>
          <w:b/>
          <w:sz w:val="24"/>
          <w:szCs w:val="24"/>
        </w:rPr>
        <w:t>pskej ú</w:t>
      </w:r>
      <w:r w:rsidRPr="00015954">
        <w:rPr>
          <w:rFonts w:ascii="Times New Roman" w:hAnsi="Times New Roman" w:hint="default"/>
          <w:b/>
          <w:sz w:val="24"/>
          <w:szCs w:val="24"/>
        </w:rPr>
        <w:t>nie: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firstLine="360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Stupeň</w:t>
      </w:r>
      <w:r w:rsidRPr="00015954">
        <w:rPr>
          <w:rFonts w:ascii="Times New Roman" w:hAnsi="Times New Roman" w:hint="default"/>
          <w:sz w:val="24"/>
          <w:szCs w:val="24"/>
        </w:rPr>
        <w:t xml:space="preserve"> zluč</w:t>
      </w:r>
      <w:r w:rsidRPr="00015954">
        <w:rPr>
          <w:rFonts w:ascii="Times New Roman" w:hAnsi="Times New Roman" w:hint="default"/>
          <w:sz w:val="24"/>
          <w:szCs w:val="24"/>
        </w:rPr>
        <w:t>iteľ</w:t>
      </w:r>
      <w:r w:rsidRPr="00015954">
        <w:rPr>
          <w:rFonts w:ascii="Times New Roman" w:hAnsi="Times New Roman" w:hint="default"/>
          <w:sz w:val="24"/>
          <w:szCs w:val="24"/>
        </w:rPr>
        <w:t>nosti - ú</w:t>
      </w:r>
      <w:r w:rsidRPr="00015954">
        <w:rPr>
          <w:rFonts w:ascii="Times New Roman" w:hAnsi="Times New Roman" w:hint="default"/>
          <w:sz w:val="24"/>
          <w:szCs w:val="24"/>
        </w:rPr>
        <w:t>plný </w:t>
      </w: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ind w:left="360" w:hanging="360"/>
        <w:jc w:val="both"/>
        <w:rPr>
          <w:rFonts w:ascii="Times New Roman" w:hAnsi="Times New Roman" w:hint="default"/>
          <w:b/>
          <w:sz w:val="24"/>
          <w:szCs w:val="24"/>
        </w:rPr>
      </w:pPr>
      <w:r w:rsidRPr="00015954">
        <w:rPr>
          <w:rFonts w:ascii="Times New Roman" w:hAnsi="Times New Roman"/>
          <w:b/>
          <w:sz w:val="24"/>
          <w:szCs w:val="24"/>
        </w:rPr>
        <w:t>6.</w:t>
        <w:tab/>
        <w:t>Gestor a </w:t>
      </w:r>
      <w:r w:rsidRPr="00015954">
        <w:rPr>
          <w:rFonts w:ascii="Times New Roman" w:hAnsi="Times New Roman" w:hint="default"/>
          <w:b/>
          <w:sz w:val="24"/>
          <w:szCs w:val="24"/>
        </w:rPr>
        <w:t>spolupracujú</w:t>
      </w:r>
      <w:r w:rsidRPr="00015954">
        <w:rPr>
          <w:rFonts w:ascii="Times New Roman" w:hAnsi="Times New Roman" w:hint="default"/>
          <w:b/>
          <w:sz w:val="24"/>
          <w:szCs w:val="24"/>
        </w:rPr>
        <w:t xml:space="preserve">ce rezorty: 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 w:rsidR="004A63DA">
        <w:rPr>
          <w:rFonts w:ascii="Times New Roman" w:hAnsi="Times New Roman" w:hint="default"/>
          <w:sz w:val="24"/>
          <w:szCs w:val="24"/>
        </w:rPr>
        <w:t>Ministerstvo zdravotní</w:t>
      </w:r>
      <w:r w:rsidRPr="00015954" w:rsidR="004A63DA">
        <w:rPr>
          <w:rFonts w:ascii="Times New Roman" w:hAnsi="Times New Roman" w:hint="default"/>
          <w:sz w:val="24"/>
          <w:szCs w:val="24"/>
        </w:rPr>
        <w:t>ctva Slovenskej republiky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/>
        <w:t> </w:t>
      </w:r>
    </w:p>
    <w:p w:rsidR="004A63DA" w:rsidRPr="00015954" w:rsidP="00015954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63DA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40276" w:rsidRPr="00015954" w:rsidP="00015954">
      <w:pPr>
        <w:pStyle w:val="NormalWeb"/>
        <w:bidi w:val="0"/>
        <w:spacing w:before="0" w:beforeAutospacing="0" w:after="0" w:afterAutospacing="0"/>
        <w:ind w:right="-108"/>
        <w:jc w:val="center"/>
      </w:pPr>
      <w:r w:rsidRPr="00015954">
        <w:rPr>
          <w:rFonts w:hint="default"/>
          <w:b/>
          <w:bCs/>
        </w:rPr>
        <w:t>Dolož</w:t>
      </w:r>
      <w:r w:rsidRPr="00015954">
        <w:rPr>
          <w:rFonts w:hint="default"/>
          <w:b/>
          <w:bCs/>
        </w:rPr>
        <w:t>ka vybraný</w:t>
      </w:r>
      <w:r w:rsidRPr="00015954">
        <w:rPr>
          <w:rFonts w:hint="default"/>
          <w:b/>
          <w:bCs/>
        </w:rPr>
        <w:t>ch vplyvov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 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  <w:r w:rsidRPr="00015954">
        <w:rPr>
          <w:rFonts w:hint="default"/>
          <w:b/>
          <w:bCs/>
        </w:rPr>
        <w:t>A.1. Ná</w:t>
      </w:r>
      <w:r w:rsidRPr="00015954">
        <w:rPr>
          <w:rFonts w:hint="default"/>
          <w:b/>
          <w:bCs/>
        </w:rPr>
        <w:t>zov materiá</w:t>
      </w:r>
      <w:r w:rsidRPr="00015954">
        <w:rPr>
          <w:rFonts w:hint="default"/>
          <w:b/>
          <w:bCs/>
        </w:rPr>
        <w:t>lu:</w:t>
      </w:r>
    </w:p>
    <w:p w:rsidR="00FA1AE1" w:rsidRPr="00015954" w:rsidP="00015954">
      <w:pPr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5954" w:rsidR="00A40276">
        <w:rPr>
          <w:rFonts w:ascii="Times New Roman" w:hAnsi="Times New Roman" w:hint="default"/>
          <w:sz w:val="24"/>
          <w:szCs w:val="24"/>
        </w:rPr>
        <w:t>Ná</w:t>
      </w:r>
      <w:r w:rsidRPr="00015954" w:rsidR="00A40276">
        <w:rPr>
          <w:rFonts w:ascii="Times New Roman" w:hAnsi="Times New Roman" w:hint="default"/>
          <w:sz w:val="24"/>
          <w:szCs w:val="24"/>
        </w:rPr>
        <w:t>vrh zá</w:t>
      </w:r>
      <w:r w:rsidRPr="00015954" w:rsidR="00A40276">
        <w:rPr>
          <w:rFonts w:ascii="Times New Roman" w:hAnsi="Times New Roman" w:hint="default"/>
          <w:sz w:val="24"/>
          <w:szCs w:val="24"/>
        </w:rPr>
        <w:t>kona, ktorý</w:t>
      </w:r>
      <w:r w:rsidRPr="00015954" w:rsidR="00A40276">
        <w:rPr>
          <w:rFonts w:ascii="Times New Roman" w:hAnsi="Times New Roman" w:hint="default"/>
          <w:sz w:val="24"/>
          <w:szCs w:val="24"/>
        </w:rPr>
        <w:t>m sa mení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 a dopĺň</w:t>
      </w:r>
      <w:r w:rsidRPr="00015954" w:rsidR="00A40276">
        <w:rPr>
          <w:rFonts w:ascii="Times New Roman" w:hAnsi="Times New Roman" w:hint="default"/>
          <w:sz w:val="24"/>
          <w:szCs w:val="24"/>
        </w:rPr>
        <w:t>a zá</w:t>
      </w:r>
      <w:r w:rsidRPr="00015954" w:rsidR="00A40276">
        <w:rPr>
          <w:rFonts w:ascii="Times New Roman" w:hAnsi="Times New Roman" w:hint="default"/>
          <w:sz w:val="24"/>
          <w:szCs w:val="24"/>
        </w:rPr>
        <w:t>kon č</w:t>
      </w:r>
      <w:r w:rsidRPr="00015954" w:rsidR="00A40276">
        <w:rPr>
          <w:rFonts w:ascii="Times New Roman" w:hAnsi="Times New Roman" w:hint="default"/>
          <w:sz w:val="24"/>
          <w:szCs w:val="24"/>
        </w:rPr>
        <w:t xml:space="preserve">. </w:t>
      </w:r>
      <w:r w:rsidRPr="00015954" w:rsidR="003D066A">
        <w:rPr>
          <w:rFonts w:ascii="Times New Roman" w:hAnsi="Times New Roman"/>
          <w:sz w:val="24"/>
          <w:szCs w:val="24"/>
        </w:rPr>
        <w:t>363</w:t>
      </w:r>
      <w:r w:rsidRPr="00015954" w:rsidR="003D066A">
        <w:rPr>
          <w:rFonts w:ascii="Times New Roman" w:hAnsi="Times New Roman"/>
          <w:sz w:val="24"/>
          <w:szCs w:val="24"/>
        </w:rPr>
        <w:t>/20</w:t>
      </w:r>
      <w:r w:rsidRPr="00015954" w:rsidR="003D066A">
        <w:rPr>
          <w:rFonts w:ascii="Times New Roman" w:hAnsi="Times New Roman"/>
          <w:sz w:val="24"/>
          <w:szCs w:val="24"/>
        </w:rPr>
        <w:t>11</w:t>
      </w:r>
      <w:r w:rsidRPr="00015954" w:rsidR="003D066A">
        <w:rPr>
          <w:rFonts w:ascii="Times New Roman" w:hAnsi="Times New Roman"/>
          <w:sz w:val="24"/>
          <w:szCs w:val="24"/>
        </w:rPr>
        <w:t xml:space="preserve"> Z. z. </w:t>
      </w:r>
      <w:r w:rsidRPr="00015954" w:rsidR="003D066A">
        <w:rPr>
          <w:rFonts w:ascii="Times New Roman" w:hAnsi="Times New Roman" w:hint="default"/>
          <w:sz w:val="24"/>
          <w:szCs w:val="24"/>
        </w:rPr>
        <w:t>o rozsahu a podmienkach ú</w:t>
      </w:r>
      <w:r w:rsidRPr="00015954" w:rsidR="003D066A">
        <w:rPr>
          <w:rFonts w:ascii="Times New Roman" w:hAnsi="Times New Roman" w:hint="default"/>
          <w:sz w:val="24"/>
          <w:szCs w:val="24"/>
        </w:rPr>
        <w:t>hrady liekov, zdravotní</w:t>
      </w:r>
      <w:r w:rsidRPr="00015954" w:rsidR="003D066A">
        <w:rPr>
          <w:rFonts w:ascii="Times New Roman" w:hAnsi="Times New Roman" w:hint="default"/>
          <w:sz w:val="24"/>
          <w:szCs w:val="24"/>
        </w:rPr>
        <w:t>ckych pomô</w:t>
      </w:r>
      <w:r w:rsidRPr="00015954" w:rsidR="003D066A">
        <w:rPr>
          <w:rFonts w:ascii="Times New Roman" w:hAnsi="Times New Roman" w:hint="default"/>
          <w:sz w:val="24"/>
          <w:szCs w:val="24"/>
        </w:rPr>
        <w:t>cok a dietetický</w:t>
      </w:r>
      <w:r w:rsidRPr="00015954" w:rsidR="003D066A">
        <w:rPr>
          <w:rFonts w:ascii="Times New Roman" w:hAnsi="Times New Roman" w:hint="default"/>
          <w:sz w:val="24"/>
          <w:szCs w:val="24"/>
        </w:rPr>
        <w:t>ch potraví</w:t>
      </w:r>
      <w:r w:rsidRPr="00015954" w:rsidR="003D066A">
        <w:rPr>
          <w:rFonts w:ascii="Times New Roman" w:hAnsi="Times New Roman" w:hint="default"/>
          <w:sz w:val="24"/>
          <w:szCs w:val="24"/>
        </w:rPr>
        <w:t>n na zá</w:t>
      </w:r>
      <w:r w:rsidRPr="00015954" w:rsidR="003D066A">
        <w:rPr>
          <w:rFonts w:ascii="Times New Roman" w:hAnsi="Times New Roman" w:hint="default"/>
          <w:sz w:val="24"/>
          <w:szCs w:val="24"/>
        </w:rPr>
        <w:t>klade verejné</w:t>
      </w:r>
      <w:r w:rsidRPr="00015954" w:rsidR="003D066A">
        <w:rPr>
          <w:rFonts w:ascii="Times New Roman" w:hAnsi="Times New Roman" w:hint="default"/>
          <w:sz w:val="24"/>
          <w:szCs w:val="24"/>
        </w:rPr>
        <w:t>ho zdravotné</w:t>
      </w:r>
      <w:r w:rsidRPr="00015954" w:rsidR="003D066A">
        <w:rPr>
          <w:rFonts w:ascii="Times New Roman" w:hAnsi="Times New Roman" w:hint="default"/>
          <w:sz w:val="24"/>
          <w:szCs w:val="24"/>
        </w:rPr>
        <w:t>ho poistenia a o zmene a doplnení</w:t>
      </w:r>
      <w:r w:rsidRPr="00015954" w:rsidR="003D066A">
        <w:rPr>
          <w:rFonts w:ascii="Times New Roman" w:hAnsi="Times New Roman" w:hint="default"/>
          <w:sz w:val="24"/>
          <w:szCs w:val="24"/>
        </w:rPr>
        <w:t xml:space="preserve"> niektorý</w:t>
      </w:r>
      <w:r w:rsidRPr="00015954" w:rsidR="003D066A">
        <w:rPr>
          <w:rFonts w:ascii="Times New Roman" w:hAnsi="Times New Roman" w:hint="default"/>
          <w:sz w:val="24"/>
          <w:szCs w:val="24"/>
        </w:rPr>
        <w:t>ch zá</w:t>
      </w:r>
      <w:r w:rsidRPr="00015954" w:rsidR="003D066A">
        <w:rPr>
          <w:rFonts w:ascii="Times New Roman" w:hAnsi="Times New Roman" w:hint="default"/>
          <w:sz w:val="24"/>
          <w:szCs w:val="24"/>
        </w:rPr>
        <w:t>konov v </w:t>
      </w:r>
      <w:r w:rsidRPr="00015954" w:rsidR="003D066A">
        <w:rPr>
          <w:rFonts w:ascii="Times New Roman" w:hAnsi="Times New Roman" w:hint="default"/>
          <w:sz w:val="24"/>
          <w:szCs w:val="24"/>
        </w:rPr>
        <w:t>znení</w:t>
      </w:r>
      <w:r w:rsidRPr="00015954" w:rsidR="003D066A">
        <w:rPr>
          <w:rFonts w:ascii="Times New Roman" w:hAnsi="Times New Roman" w:hint="default"/>
          <w:sz w:val="24"/>
          <w:szCs w:val="24"/>
        </w:rPr>
        <w:t xml:space="preserve"> zá</w:t>
      </w:r>
      <w:r w:rsidRPr="00015954" w:rsidR="003D066A">
        <w:rPr>
          <w:rFonts w:ascii="Times New Roman" w:hAnsi="Times New Roman" w:hint="default"/>
          <w:sz w:val="24"/>
          <w:szCs w:val="24"/>
        </w:rPr>
        <w:t>kona č</w:t>
      </w:r>
      <w:r w:rsidRPr="00015954" w:rsidR="003D066A">
        <w:rPr>
          <w:rFonts w:ascii="Times New Roman" w:hAnsi="Times New Roman" w:hint="default"/>
          <w:sz w:val="24"/>
          <w:szCs w:val="24"/>
        </w:rPr>
        <w:t>. 460/2012 Z. z.</w:t>
      </w:r>
      <w:r w:rsidRPr="00015954">
        <w:rPr>
          <w:rFonts w:ascii="Times New Roman" w:hAnsi="Times New Roman"/>
          <w:sz w:val="24"/>
          <w:szCs w:val="24"/>
        </w:rPr>
        <w:t xml:space="preserve"> a </w:t>
      </w:r>
      <w:r w:rsidRPr="00015954">
        <w:rPr>
          <w:rFonts w:ascii="Times New Roman" w:hAnsi="Times New Roman" w:hint="default"/>
          <w:sz w:val="24"/>
          <w:szCs w:val="24"/>
        </w:rPr>
        <w:t>ktorý</w:t>
      </w:r>
      <w:r w:rsidRPr="00015954">
        <w:rPr>
          <w:rFonts w:ascii="Times New Roman" w:hAnsi="Times New Roman" w:hint="default"/>
          <w:sz w:val="24"/>
          <w:szCs w:val="24"/>
        </w:rPr>
        <w:t>m sa mení</w:t>
      </w:r>
      <w:r w:rsidRPr="00015954">
        <w:rPr>
          <w:rFonts w:ascii="Times New Roman" w:hAnsi="Times New Roman" w:hint="default"/>
          <w:sz w:val="24"/>
          <w:szCs w:val="24"/>
        </w:rPr>
        <w:t xml:space="preserve"> zá</w:t>
      </w:r>
      <w:r w:rsidRPr="00015954">
        <w:rPr>
          <w:rFonts w:ascii="Times New Roman" w:hAnsi="Times New Roman" w:hint="default"/>
          <w:sz w:val="24"/>
          <w:szCs w:val="24"/>
        </w:rPr>
        <w:t>kon č</w:t>
      </w:r>
      <w:r w:rsidRPr="00015954">
        <w:rPr>
          <w:rFonts w:ascii="Times New Roman" w:hAnsi="Times New Roman" w:hint="default"/>
          <w:sz w:val="24"/>
          <w:szCs w:val="24"/>
        </w:rPr>
        <w:t>. 581/2004 Z. z. o zdravotný</w:t>
      </w:r>
      <w:r w:rsidRPr="00015954">
        <w:rPr>
          <w:rFonts w:ascii="Times New Roman" w:hAnsi="Times New Roman" w:hint="default"/>
          <w:sz w:val="24"/>
          <w:szCs w:val="24"/>
        </w:rPr>
        <w:t>ch</w:t>
      </w:r>
      <w:r w:rsidRPr="00015954">
        <w:rPr>
          <w:rFonts w:ascii="Times New Roman" w:hAnsi="Times New Roman" w:hint="default"/>
          <w:sz w:val="24"/>
          <w:szCs w:val="24"/>
        </w:rPr>
        <w:t xml:space="preserve"> poisť</w:t>
      </w:r>
      <w:r w:rsidRPr="00015954">
        <w:rPr>
          <w:rFonts w:ascii="Times New Roman" w:hAnsi="Times New Roman" w:hint="default"/>
          <w:sz w:val="24"/>
          <w:szCs w:val="24"/>
        </w:rPr>
        <w:t>ovniach, dohľ</w:t>
      </w:r>
      <w:r w:rsidRPr="00015954">
        <w:rPr>
          <w:rFonts w:ascii="Times New Roman" w:hAnsi="Times New Roman" w:hint="default"/>
          <w:sz w:val="24"/>
          <w:szCs w:val="24"/>
        </w:rPr>
        <w:t>ade nad zdravotnou starostlivosť</w:t>
      </w:r>
      <w:r w:rsidRPr="00015954">
        <w:rPr>
          <w:rFonts w:ascii="Times New Roman" w:hAnsi="Times New Roman" w:hint="default"/>
          <w:sz w:val="24"/>
          <w:szCs w:val="24"/>
        </w:rPr>
        <w:t>ou a o zmene a doplnení</w:t>
      </w:r>
      <w:r w:rsidRPr="00015954">
        <w:rPr>
          <w:rFonts w:ascii="Times New Roman" w:hAnsi="Times New Roman" w:hint="default"/>
          <w:sz w:val="24"/>
          <w:szCs w:val="24"/>
        </w:rPr>
        <w:t xml:space="preserve"> niektorý</w:t>
      </w:r>
      <w:r w:rsidRPr="00015954">
        <w:rPr>
          <w:rFonts w:ascii="Times New Roman" w:hAnsi="Times New Roman" w:hint="default"/>
          <w:sz w:val="24"/>
          <w:szCs w:val="24"/>
        </w:rPr>
        <w:t>ch zá</w:t>
      </w:r>
      <w:r w:rsidRPr="00015954">
        <w:rPr>
          <w:rFonts w:ascii="Times New Roman" w:hAnsi="Times New Roman" w:hint="default"/>
          <w:sz w:val="24"/>
          <w:szCs w:val="24"/>
        </w:rPr>
        <w:t>konov v </w:t>
      </w:r>
      <w:r w:rsidRPr="00015954">
        <w:rPr>
          <w:rFonts w:ascii="Times New Roman" w:hAnsi="Times New Roman" w:hint="default"/>
          <w:sz w:val="24"/>
          <w:szCs w:val="24"/>
        </w:rPr>
        <w:t>znení</w:t>
      </w:r>
      <w:r w:rsidRPr="00015954">
        <w:rPr>
          <w:rFonts w:ascii="Times New Roman" w:hAnsi="Times New Roman" w:hint="default"/>
          <w:sz w:val="24"/>
          <w:szCs w:val="24"/>
        </w:rPr>
        <w:t xml:space="preserve"> neskorší</w:t>
      </w:r>
      <w:r w:rsidRPr="00015954">
        <w:rPr>
          <w:rFonts w:ascii="Times New Roman" w:hAnsi="Times New Roman" w:hint="default"/>
          <w:sz w:val="24"/>
          <w:szCs w:val="24"/>
        </w:rPr>
        <w:t>ch predpisov</w:t>
      </w:r>
    </w:p>
    <w:p w:rsidR="00A40276" w:rsidRPr="00015954" w:rsidP="00015954">
      <w:pPr>
        <w:pStyle w:val="BodyText2"/>
        <w:bidi w:val="0"/>
        <w:rPr>
          <w:b w:val="0"/>
          <w:bCs w:val="0"/>
        </w:rPr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       </w:t>
      </w:r>
      <w:r w:rsidRPr="00015954">
        <w:rPr>
          <w:rFonts w:hint="default"/>
          <w:b/>
          <w:bCs/>
        </w:rPr>
        <w:t xml:space="preserve"> Termí</w:t>
      </w:r>
      <w:r w:rsidRPr="00015954">
        <w:rPr>
          <w:rFonts w:hint="default"/>
          <w:b/>
          <w:bCs/>
        </w:rPr>
        <w:t>n zač</w:t>
      </w:r>
      <w:r w:rsidRPr="00015954">
        <w:rPr>
          <w:rFonts w:hint="default"/>
          <w:b/>
          <w:bCs/>
        </w:rPr>
        <w:t>atia a </w:t>
      </w:r>
      <w:r w:rsidRPr="00015954">
        <w:rPr>
          <w:rFonts w:hint="default"/>
          <w:b/>
          <w:bCs/>
        </w:rPr>
        <w:t>ukonč</w:t>
      </w:r>
      <w:r w:rsidRPr="00015954">
        <w:rPr>
          <w:rFonts w:hint="default"/>
          <w:b/>
          <w:bCs/>
        </w:rPr>
        <w:t>enia PPK:</w:t>
      </w:r>
      <w:r w:rsidRPr="00015954" w:rsidR="003D066A">
        <w:t xml:space="preserve"> 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b/>
          <w:bCs/>
        </w:rPr>
        <w:t>A.2. Vplyvy:</w:t>
      </w:r>
    </w:p>
    <w:tbl>
      <w:tblPr>
        <w:tblStyle w:val="TableNormal"/>
        <w:tblW w:w="9108" w:type="dxa"/>
        <w:tblCellMar>
          <w:left w:w="0" w:type="dxa"/>
          <w:right w:w="0" w:type="dxa"/>
        </w:tblCellMar>
      </w:tblPr>
      <w:tblGrid>
        <w:gridCol w:w="4788"/>
        <w:gridCol w:w="1440"/>
        <w:gridCol w:w="1080"/>
        <w:gridCol w:w="1800"/>
      </w:tblGrid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Pozití</w:t>
            </w:r>
            <w:r w:rsidRPr="00015954">
              <w:rPr>
                <w:rFonts w:hint="default"/>
              </w:rPr>
              <w:t>vne</w:t>
            </w:r>
            <w:r w:rsidRPr="00015954">
              <w:rPr>
                <w:vertAlign w:val="superscript"/>
              </w:rPr>
              <w:t>*</w:t>
            </w:r>
            <w:r w:rsidRPr="00015954"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Ž</w:t>
            </w:r>
            <w:r w:rsidRPr="00015954">
              <w:rPr>
                <w:rFonts w:hint="default"/>
              </w:rPr>
              <w:t>iadne</w:t>
            </w:r>
            <w:r w:rsidRPr="00015954">
              <w:rPr>
                <w:vertAlign w:val="superscript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Negatí</w:t>
            </w:r>
            <w:r w:rsidRPr="00015954">
              <w:rPr>
                <w:rFonts w:hint="default"/>
              </w:rPr>
              <w:t>vne</w:t>
            </w:r>
            <w:r w:rsidRPr="00015954">
              <w:rPr>
                <w:vertAlign w:val="superscript"/>
              </w:rPr>
              <w:t>*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1. Vplyvy na rozpoč</w:t>
            </w:r>
            <w:r w:rsidRPr="00015954">
              <w:rPr>
                <w:rFonts w:hint="default"/>
              </w:rPr>
              <w:t>et verejnej sprá</w:t>
            </w:r>
            <w:r w:rsidRPr="00015954">
              <w:rPr>
                <w:rFonts w:hint="default"/>
              </w:rPr>
              <w:t>vy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i/>
                <w:iCs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 w:rsidR="003D066A">
              <w:t>  </w:t>
            </w:r>
            <w:r w:rsidRPr="00015954" w:rsidR="004A63DA"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2. Vplyvy na podnikateľ</w:t>
            </w:r>
            <w:r w:rsidRPr="00015954">
              <w:rPr>
                <w:rFonts w:hint="default"/>
              </w:rPr>
              <w:t>ské</w:t>
            </w:r>
            <w:r w:rsidRPr="00015954">
              <w:rPr>
                <w:rFonts w:hint="default"/>
              </w:rPr>
              <w:t xml:space="preserve"> prostredie </w:t>
            </w:r>
            <w:r w:rsidRPr="00015954">
              <w:rPr>
                <w:rFonts w:hint="default"/>
              </w:rPr>
              <w:t>–</w:t>
            </w:r>
            <w:r w:rsidRPr="00015954">
              <w:rPr>
                <w:rFonts w:hint="default"/>
              </w:rPr>
              <w:t xml:space="preserve"> dochá</w:t>
            </w:r>
            <w:r w:rsidRPr="00015954">
              <w:rPr>
                <w:rFonts w:hint="default"/>
              </w:rPr>
              <w:t>dza k zvýš</w:t>
            </w:r>
            <w:r w:rsidRPr="00015954">
              <w:rPr>
                <w:rFonts w:hint="default"/>
              </w:rPr>
              <w:t>eniu regulač</w:t>
            </w:r>
            <w:r w:rsidRPr="00015954">
              <w:rPr>
                <w:rFonts w:hint="default"/>
              </w:rPr>
              <w:t>né</w:t>
            </w:r>
            <w:r w:rsidRPr="00015954">
              <w:rPr>
                <w:rFonts w:hint="default"/>
              </w:rPr>
              <w:t>ho zať</w:t>
            </w:r>
            <w:r w:rsidRPr="00015954">
              <w:rPr>
                <w:rFonts w:hint="default"/>
              </w:rPr>
              <w:t>až</w:t>
            </w:r>
            <w:r w:rsidRPr="00015954">
              <w:rPr>
                <w:rFonts w:hint="default"/>
              </w:rPr>
              <w:t>enia?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3D066A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 w:rsidR="00A40276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X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3. Sociá</w:t>
            </w:r>
            <w:r w:rsidRPr="00015954">
              <w:rPr>
                <w:rFonts w:hint="default"/>
              </w:rPr>
              <w:t xml:space="preserve">lne vplyvy 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–</w:t>
            </w:r>
            <w:r w:rsidRPr="00015954">
              <w:rPr>
                <w:rFonts w:hint="default"/>
              </w:rPr>
              <w:t xml:space="preserve"> vplyvy </w:t>
            </w:r>
            <w:r w:rsidRPr="00015954">
              <w:rPr>
                <w:rFonts w:hint="default"/>
              </w:rPr>
              <w:t xml:space="preserve"> na hospodá</w:t>
            </w:r>
            <w:r w:rsidRPr="00015954">
              <w:rPr>
                <w:rFonts w:hint="default"/>
              </w:rPr>
              <w:t>renie obyvateľ</w:t>
            </w:r>
            <w:r w:rsidRPr="00015954">
              <w:rPr>
                <w:rFonts w:hint="default"/>
              </w:rPr>
              <w:t>stva,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-sociá</w:t>
            </w:r>
            <w:r w:rsidRPr="00015954">
              <w:rPr>
                <w:rFonts w:hint="default"/>
              </w:rPr>
              <w:t>lnu exklú</w:t>
            </w:r>
            <w:r w:rsidRPr="00015954">
              <w:rPr>
                <w:rFonts w:hint="default"/>
              </w:rPr>
              <w:t>ziu,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- rovnosť</w:t>
            </w:r>
            <w:r w:rsidRPr="00015954">
              <w:rPr>
                <w:rFonts w:hint="default"/>
              </w:rPr>
              <w:t xml:space="preserve"> prí</w:t>
            </w:r>
            <w:r w:rsidRPr="00015954">
              <w:rPr>
                <w:rFonts w:hint="default"/>
              </w:rPr>
              <w:t>lež</w:t>
            </w:r>
            <w:r w:rsidRPr="00015954">
              <w:rPr>
                <w:rFonts w:hint="default"/>
              </w:rPr>
              <w:t>itostí</w:t>
            </w:r>
            <w:r w:rsidRPr="00015954">
              <w:rPr>
                <w:rFonts w:hint="default"/>
              </w:rPr>
              <w:t xml:space="preserve"> a </w:t>
            </w:r>
            <w:r w:rsidRPr="00015954">
              <w:rPr>
                <w:rFonts w:hint="default"/>
              </w:rPr>
              <w:t>rodovú</w:t>
            </w:r>
            <w:r w:rsidRPr="00015954">
              <w:rPr>
                <w:rFonts w:hint="default"/>
              </w:rPr>
              <w:t xml:space="preserve"> rovnosť</w:t>
            </w:r>
            <w:r w:rsidRPr="00015954">
              <w:rPr>
                <w:rFonts w:hint="default"/>
              </w:rPr>
              <w:t xml:space="preserve"> a </w:t>
            </w:r>
            <w:r w:rsidRPr="00015954">
              <w:rPr>
                <w:rFonts w:hint="default"/>
              </w:rPr>
              <w:t>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  <w:r w:rsidRPr="00015954">
              <w:rPr>
                <w:rFonts w:hint="default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4. Vplyvy na ž</w:t>
            </w:r>
            <w:r w:rsidRPr="00015954">
              <w:rPr>
                <w:rFonts w:hint="default"/>
              </w:rPr>
              <w:t>ivotné</w:t>
            </w:r>
            <w:r w:rsidRPr="00015954">
              <w:rPr>
                <w:rFonts w:hint="default"/>
              </w:rPr>
              <w:t xml:space="preserve">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  <w:r w:rsidRPr="00015954">
              <w:rPr>
                <w:rFonts w:hint="default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5. Vplyvy na informatizá</w:t>
            </w:r>
            <w:r w:rsidRPr="00015954">
              <w:rPr>
                <w:rFonts w:hint="default"/>
              </w:rPr>
              <w:t>ciu spoloč</w:t>
            </w:r>
            <w:r w:rsidRPr="00015954">
              <w:rPr>
                <w:rFonts w:hint="default"/>
              </w:rPr>
              <w:t>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  <w:rPr>
                <w:rFonts w:hint="default"/>
              </w:rPr>
            </w:pPr>
            <w:r w:rsidRPr="00015954">
              <w:rPr>
                <w:rFonts w:hint="default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rPr>
                <w:rFonts w:hint="default"/>
              </w:rPr>
              <w:t> </w:t>
            </w:r>
            <w:r w:rsidRPr="00015954" w:rsidR="003D066A"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  <w:jc w:val="both"/>
            </w:pPr>
            <w:r w:rsidRPr="00015954">
              <w:t> </w:t>
            </w:r>
          </w:p>
        </w:tc>
      </w:tr>
    </w:tbl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t>  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  <w:b/>
          <w:bCs/>
        </w:rPr>
      </w:pPr>
      <w:r w:rsidRPr="00015954">
        <w:rPr>
          <w:rFonts w:hint="default"/>
          <w:b/>
          <w:bCs/>
        </w:rPr>
        <w:t>A.3. Pozná</w:t>
      </w:r>
      <w:r w:rsidRPr="00015954">
        <w:rPr>
          <w:rFonts w:hint="default"/>
          <w:b/>
          <w:bCs/>
        </w:rPr>
        <w:t>mky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</w:pPr>
      <w:r w:rsidRPr="00015954">
        <w:rPr>
          <w:rFonts w:hint="default"/>
          <w:u w:val="single"/>
        </w:rPr>
        <w:t>Vplyvy na rozpoč</w:t>
      </w:r>
      <w:r w:rsidRPr="00015954">
        <w:rPr>
          <w:rFonts w:hint="default"/>
          <w:u w:val="single"/>
        </w:rPr>
        <w:t>et verejnej sprá</w:t>
      </w:r>
      <w:r w:rsidRPr="00015954">
        <w:rPr>
          <w:rFonts w:hint="default"/>
          <w:u w:val="single"/>
        </w:rPr>
        <w:t>vy</w:t>
      </w:r>
      <w:r w:rsidRPr="00015954">
        <w:rPr>
          <w:rFonts w:hint="default"/>
        </w:rPr>
        <w:t xml:space="preserve"> -  celkový</w:t>
      </w:r>
      <w:r w:rsidRPr="00015954">
        <w:rPr>
          <w:rFonts w:hint="default"/>
        </w:rPr>
        <w:t xml:space="preserve"> vplyv na rozpoč</w:t>
      </w:r>
      <w:r w:rsidRPr="00015954">
        <w:rPr>
          <w:rFonts w:hint="default"/>
        </w:rPr>
        <w:t>et verejnej sprá</w:t>
      </w:r>
      <w:r w:rsidRPr="00015954">
        <w:rPr>
          <w:rFonts w:hint="default"/>
        </w:rPr>
        <w:t xml:space="preserve">vy </w:t>
      </w:r>
      <w:r w:rsidRPr="00015954" w:rsidR="00581DB9">
        <w:rPr>
          <w:rFonts w:hint="default"/>
        </w:rPr>
        <w:t>nebude ž</w:t>
      </w:r>
      <w:r w:rsidRPr="00015954" w:rsidR="00581DB9">
        <w:rPr>
          <w:rFonts w:hint="default"/>
        </w:rPr>
        <w:t>iaden</w:t>
      </w:r>
      <w:r w:rsidRPr="00015954">
        <w:t>.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</w:pPr>
      <w:r w:rsidRPr="00015954">
        <w:rPr>
          <w:rFonts w:hint="default"/>
          <w:u w:val="single"/>
        </w:rPr>
        <w:t>Vplyvy na podnikateľ</w:t>
      </w:r>
      <w:r w:rsidRPr="00015954">
        <w:rPr>
          <w:rFonts w:hint="default"/>
          <w:u w:val="single"/>
        </w:rPr>
        <w:t>ské</w:t>
      </w:r>
      <w:r w:rsidRPr="00015954">
        <w:rPr>
          <w:rFonts w:hint="default"/>
          <w:u w:val="single"/>
        </w:rPr>
        <w:t xml:space="preserve"> prostredie</w:t>
      </w:r>
      <w:r w:rsidRPr="00015954">
        <w:t xml:space="preserve"> </w:t>
      </w:r>
      <w:r w:rsidRPr="00015954">
        <w:rPr>
          <w:rFonts w:hint="default"/>
        </w:rPr>
        <w:t>–</w:t>
      </w:r>
      <w:r w:rsidRPr="00015954">
        <w:rPr>
          <w:rFonts w:hint="default"/>
        </w:rPr>
        <w:t xml:space="preserve"> celkový</w:t>
      </w:r>
      <w:r w:rsidRPr="00015954">
        <w:rPr>
          <w:rFonts w:hint="default"/>
        </w:rPr>
        <w:t xml:space="preserve"> vplyv na podnikateľ</w:t>
      </w:r>
      <w:r w:rsidRPr="00015954">
        <w:rPr>
          <w:rFonts w:hint="default"/>
        </w:rPr>
        <w:t>ské</w:t>
      </w:r>
      <w:r w:rsidRPr="00015954">
        <w:rPr>
          <w:rFonts w:hint="default"/>
        </w:rPr>
        <w:t xml:space="preserve"> prostredie bude mierne negatí</w:t>
      </w:r>
      <w:r w:rsidRPr="00015954">
        <w:rPr>
          <w:rFonts w:hint="default"/>
        </w:rPr>
        <w:t>vny. Z </w:t>
      </w:r>
      <w:r w:rsidRPr="00015954">
        <w:rPr>
          <w:rFonts w:hint="default"/>
        </w:rPr>
        <w:t>hľ</w:t>
      </w:r>
      <w:r w:rsidRPr="00015954">
        <w:rPr>
          <w:rFonts w:hint="default"/>
        </w:rPr>
        <w:t>adiska administratí</w:t>
      </w:r>
      <w:r w:rsidRPr="00015954">
        <w:rPr>
          <w:rFonts w:hint="default"/>
        </w:rPr>
        <w:t>vnych ná</w:t>
      </w:r>
      <w:r w:rsidRPr="00015954">
        <w:rPr>
          <w:rFonts w:hint="default"/>
        </w:rPr>
        <w:t>kladov d</w:t>
      </w:r>
      <w:r w:rsidRPr="00015954" w:rsidR="00581DB9">
        <w:rPr>
          <w:rFonts w:hint="default"/>
        </w:rPr>
        <w:t>ochá</w:t>
      </w:r>
      <w:r w:rsidRPr="00015954" w:rsidR="00581DB9">
        <w:rPr>
          <w:rFonts w:hint="default"/>
        </w:rPr>
        <w:t>dza k </w:t>
      </w:r>
      <w:r w:rsidRPr="00015954" w:rsidR="00581DB9">
        <w:rPr>
          <w:rFonts w:hint="default"/>
        </w:rPr>
        <w:t>zvýš</w:t>
      </w:r>
      <w:r w:rsidRPr="00015954" w:rsidR="00581DB9">
        <w:rPr>
          <w:rFonts w:hint="default"/>
        </w:rPr>
        <w:t>eniu administratí</w:t>
      </w:r>
      <w:r w:rsidRPr="00015954" w:rsidR="00581DB9">
        <w:rPr>
          <w:rFonts w:hint="default"/>
        </w:rPr>
        <w:t>vy v </w:t>
      </w:r>
      <w:r w:rsidRPr="00015954" w:rsidR="00581DB9">
        <w:rPr>
          <w:rFonts w:hint="default"/>
        </w:rPr>
        <w:t>sú</w:t>
      </w:r>
      <w:r w:rsidRPr="00015954" w:rsidR="00581DB9">
        <w:rPr>
          <w:rFonts w:hint="default"/>
        </w:rPr>
        <w:t>vislosti s </w:t>
      </w:r>
      <w:r w:rsidRPr="00015954" w:rsidR="00581DB9">
        <w:rPr>
          <w:rFonts w:hint="default"/>
        </w:rPr>
        <w:t>rozší</w:t>
      </w:r>
      <w:r w:rsidRPr="00015954" w:rsidR="00581DB9">
        <w:rPr>
          <w:rFonts w:hint="default"/>
        </w:rPr>
        <w:t>rení</w:t>
      </w:r>
      <w:r w:rsidRPr="00015954" w:rsidR="00581DB9">
        <w:rPr>
          <w:rFonts w:hint="default"/>
        </w:rPr>
        <w:t>m osô</w:t>
      </w:r>
      <w:r w:rsidRPr="00015954" w:rsidR="00581DB9">
        <w:rPr>
          <w:rFonts w:hint="default"/>
        </w:rPr>
        <w:t>b, ktorý</w:t>
      </w:r>
      <w:r w:rsidRPr="00015954" w:rsidR="00581DB9">
        <w:rPr>
          <w:rFonts w:hint="default"/>
        </w:rPr>
        <w:t>m sa bude počí</w:t>
      </w:r>
      <w:r w:rsidRPr="00015954" w:rsidR="00581DB9">
        <w:rPr>
          <w:rFonts w:hint="default"/>
        </w:rPr>
        <w:t>tať</w:t>
      </w:r>
      <w:r w:rsidRPr="00015954" w:rsidR="00581DB9">
        <w:rPr>
          <w:rFonts w:hint="default"/>
        </w:rPr>
        <w:t xml:space="preserve"> limit spoluúč</w:t>
      </w:r>
      <w:r w:rsidRPr="00015954" w:rsidR="00581DB9">
        <w:rPr>
          <w:rFonts w:hint="default"/>
        </w:rPr>
        <w:t>asti.</w:t>
      </w:r>
    </w:p>
    <w:p w:rsidR="00A40276" w:rsidRPr="00015954" w:rsidP="00015954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hint="default"/>
        </w:rPr>
      </w:pPr>
      <w:r w:rsidRPr="00015954">
        <w:rPr>
          <w:rFonts w:hint="default"/>
          <w:u w:val="single"/>
        </w:rPr>
        <w:t>Sociá</w:t>
      </w:r>
      <w:r w:rsidRPr="00015954">
        <w:rPr>
          <w:rFonts w:hint="default"/>
          <w:u w:val="single"/>
        </w:rPr>
        <w:t xml:space="preserve">lne vplyvy </w:t>
      </w:r>
      <w:r w:rsidRPr="00015954">
        <w:rPr>
          <w:rFonts w:hint="default"/>
          <w:u w:val="single"/>
        </w:rPr>
        <w:t>–</w:t>
      </w:r>
      <w:r w:rsidRPr="00015954">
        <w:rPr>
          <w:rFonts w:hint="default"/>
          <w:u w:val="single"/>
        </w:rPr>
        <w:t xml:space="preserve"> </w:t>
      </w:r>
      <w:r w:rsidRPr="00015954">
        <w:rPr>
          <w:rFonts w:hint="default"/>
        </w:rPr>
        <w:t>celkový</w:t>
      </w:r>
      <w:r w:rsidRPr="00015954">
        <w:rPr>
          <w:rFonts w:hint="default"/>
        </w:rPr>
        <w:t xml:space="preserve"> vplyv na hospodá</w:t>
      </w:r>
      <w:r w:rsidRPr="00015954">
        <w:rPr>
          <w:rFonts w:hint="default"/>
        </w:rPr>
        <w:t xml:space="preserve">renie </w:t>
      </w:r>
      <w:r w:rsidRPr="00015954">
        <w:rPr>
          <w:rFonts w:hint="default"/>
        </w:rPr>
        <w:t>obyvateľ</w:t>
      </w:r>
      <w:r w:rsidRPr="00015954">
        <w:rPr>
          <w:rFonts w:hint="default"/>
        </w:rPr>
        <w:t>stva je pozití</w:t>
      </w:r>
      <w:r w:rsidRPr="00015954">
        <w:rPr>
          <w:rFonts w:hint="default"/>
        </w:rPr>
        <w:t>vny, prič</w:t>
      </w:r>
      <w:r w:rsidRPr="00015954">
        <w:rPr>
          <w:rFonts w:hint="default"/>
        </w:rPr>
        <w:t>om veľ</w:t>
      </w:r>
      <w:r w:rsidRPr="00015954">
        <w:rPr>
          <w:rFonts w:hint="default"/>
        </w:rPr>
        <w:t>kosť</w:t>
      </w:r>
      <w:r w:rsidRPr="00015954">
        <w:rPr>
          <w:rFonts w:hint="default"/>
        </w:rPr>
        <w:t xml:space="preserve"> vplyvu zá</w:t>
      </w:r>
      <w:r w:rsidRPr="00015954">
        <w:rPr>
          <w:rFonts w:hint="default"/>
        </w:rPr>
        <w:t>visí</w:t>
      </w:r>
      <w:r w:rsidRPr="00015954">
        <w:rPr>
          <w:rFonts w:hint="default"/>
        </w:rPr>
        <w:t xml:space="preserve"> od poč</w:t>
      </w:r>
      <w:r w:rsidRPr="00015954">
        <w:rPr>
          <w:rFonts w:hint="default"/>
        </w:rPr>
        <w:t>tu podaný</w:t>
      </w:r>
      <w:r w:rsidRPr="00015954">
        <w:rPr>
          <w:rFonts w:hint="default"/>
        </w:rPr>
        <w:t>ch ž</w:t>
      </w:r>
      <w:r w:rsidRPr="00015954">
        <w:rPr>
          <w:rFonts w:hint="default"/>
        </w:rPr>
        <w:t>iadostí</w:t>
      </w:r>
      <w:r w:rsidRPr="00015954">
        <w:rPr>
          <w:rFonts w:hint="default"/>
        </w:rPr>
        <w:t xml:space="preserve"> o </w:t>
      </w:r>
      <w:r w:rsidRPr="00015954">
        <w:rPr>
          <w:rFonts w:hint="default"/>
        </w:rPr>
        <w:t>ú</w:t>
      </w:r>
      <w:r w:rsidRPr="00015954">
        <w:rPr>
          <w:rFonts w:hint="default"/>
        </w:rPr>
        <w:t>hradu doplatkov nad limit spoluúč</w:t>
      </w:r>
      <w:r w:rsidRPr="00015954">
        <w:rPr>
          <w:rFonts w:hint="default"/>
        </w:rPr>
        <w:t>asti, predpokladá</w:t>
      </w:r>
      <w:r w:rsidRPr="00015954">
        <w:rPr>
          <w:rFonts w:hint="default"/>
        </w:rPr>
        <w:t xml:space="preserve"> sa, ž</w:t>
      </w:r>
      <w:r w:rsidRPr="00015954">
        <w:rPr>
          <w:rFonts w:hint="default"/>
        </w:rPr>
        <w:t xml:space="preserve">e sa zmena dotkne cca </w:t>
      </w:r>
      <w:r w:rsidRPr="00661FAC" w:rsidR="00661FAC">
        <w:t>952 775</w:t>
      </w:r>
      <w:r w:rsidRPr="00661FAC">
        <w:t xml:space="preserve"> </w:t>
      </w:r>
      <w:r w:rsidRPr="00015954">
        <w:rPr>
          <w:rFonts w:hint="default"/>
        </w:rPr>
        <w:t>poistencov roč</w:t>
      </w:r>
      <w:r w:rsidRPr="00015954">
        <w:rPr>
          <w:rFonts w:hint="default"/>
        </w:rPr>
        <w:t>ne. Zavedení</w:t>
      </w:r>
      <w:r w:rsidRPr="00015954">
        <w:rPr>
          <w:rFonts w:hint="default"/>
        </w:rPr>
        <w:t>m maximá</w:t>
      </w:r>
      <w:r w:rsidRPr="00015954">
        <w:rPr>
          <w:rFonts w:hint="default"/>
        </w:rPr>
        <w:t>lneho limitu pre doplatky pacientov na lieky sa po</w:t>
      </w:r>
      <w:r w:rsidRPr="00015954">
        <w:rPr>
          <w:rFonts w:hint="default"/>
        </w:rPr>
        <w:t>zití</w:t>
      </w:r>
      <w:r w:rsidRPr="00015954">
        <w:rPr>
          <w:rFonts w:hint="default"/>
        </w:rPr>
        <w:t>vne ovplyvň</w:t>
      </w:r>
      <w:r w:rsidRPr="00015954">
        <w:rPr>
          <w:rFonts w:hint="default"/>
        </w:rPr>
        <w:t>uje sociá</w:t>
      </w:r>
      <w:r w:rsidRPr="00015954">
        <w:rPr>
          <w:rFonts w:hint="default"/>
        </w:rPr>
        <w:t>lna situá</w:t>
      </w:r>
      <w:r w:rsidRPr="00015954">
        <w:rPr>
          <w:rFonts w:hint="default"/>
        </w:rPr>
        <w:t>cia ohrozený</w:t>
      </w:r>
      <w:r w:rsidRPr="00015954">
        <w:rPr>
          <w:rFonts w:hint="default"/>
        </w:rPr>
        <w:t>ch skupí</w:t>
      </w:r>
      <w:r w:rsidRPr="00015954">
        <w:rPr>
          <w:rFonts w:hint="default"/>
        </w:rPr>
        <w:t>n obyvateľ</w:t>
      </w:r>
      <w:r w:rsidRPr="00015954">
        <w:rPr>
          <w:rFonts w:hint="default"/>
        </w:rPr>
        <w:t>stva, ktoré</w:t>
      </w:r>
      <w:r w:rsidRPr="00015954">
        <w:rPr>
          <w:rFonts w:hint="default"/>
        </w:rPr>
        <w:t xml:space="preserve"> tak chrá</w:t>
      </w:r>
      <w:r w:rsidRPr="00015954">
        <w:rPr>
          <w:rFonts w:hint="default"/>
        </w:rPr>
        <w:t>ni pred extré</w:t>
      </w:r>
      <w:r w:rsidRPr="00015954">
        <w:rPr>
          <w:rFonts w:hint="default"/>
        </w:rPr>
        <w:t>mnymi ná</w:t>
      </w:r>
      <w:r w:rsidRPr="00015954">
        <w:rPr>
          <w:rFonts w:hint="default"/>
        </w:rPr>
        <w:t>kladmi na zdravotnú</w:t>
      </w:r>
      <w:r w:rsidRPr="00015954">
        <w:rPr>
          <w:rFonts w:hint="default"/>
        </w:rPr>
        <w:t xml:space="preserve"> starostlivosť</w:t>
      </w:r>
      <w:r w:rsidRPr="00015954">
        <w:rPr>
          <w:rFonts w:hint="default"/>
        </w:rPr>
        <w:t xml:space="preserve">. 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</w:pPr>
      <w:r w:rsidRPr="00015954">
        <w:rPr>
          <w:rFonts w:hint="default"/>
          <w:b/>
          <w:bCs/>
        </w:rPr>
        <w:t>A.4. Alternatí</w:t>
      </w:r>
      <w:r w:rsidRPr="00015954">
        <w:rPr>
          <w:rFonts w:hint="default"/>
          <w:b/>
          <w:bCs/>
        </w:rPr>
        <w:t>vne rieš</w:t>
      </w:r>
      <w:r w:rsidRPr="00015954">
        <w:rPr>
          <w:rFonts w:hint="default"/>
          <w:b/>
          <w:bCs/>
        </w:rPr>
        <w:t>enia</w:t>
      </w:r>
    </w:p>
    <w:p w:rsidR="00A40276" w:rsidRPr="00015954" w:rsidP="00015954">
      <w:pPr>
        <w:pStyle w:val="NormalWeb"/>
        <w:bidi w:val="0"/>
        <w:spacing w:before="0" w:beforeAutospacing="0" w:after="0" w:afterAutospacing="0"/>
        <w:jc w:val="both"/>
        <w:rPr>
          <w:rFonts w:hint="default"/>
        </w:rPr>
      </w:pPr>
      <w:r w:rsidRPr="00015954">
        <w:rPr>
          <w:b/>
          <w:bCs/>
        </w:rPr>
        <w:t>    </w:t>
      </w:r>
      <w:r w:rsidRPr="00015954">
        <w:rPr>
          <w:rFonts w:hint="default"/>
        </w:rPr>
        <w:t>Vzhľ</w:t>
      </w:r>
      <w:r w:rsidRPr="00015954">
        <w:rPr>
          <w:rFonts w:hint="default"/>
        </w:rPr>
        <w:t>adom na charakter zmien nebolo mož</w:t>
      </w:r>
      <w:r w:rsidRPr="00015954">
        <w:rPr>
          <w:rFonts w:hint="default"/>
        </w:rPr>
        <w:t>né</w:t>
      </w:r>
      <w:r w:rsidRPr="00015954">
        <w:rPr>
          <w:rFonts w:hint="default"/>
        </w:rPr>
        <w:t xml:space="preserve"> uvaž</w:t>
      </w:r>
      <w:r w:rsidRPr="00015954">
        <w:rPr>
          <w:rFonts w:hint="default"/>
        </w:rPr>
        <w:t>ovať</w:t>
      </w:r>
      <w:r w:rsidRPr="00015954">
        <w:rPr>
          <w:rFonts w:hint="default"/>
        </w:rPr>
        <w:t xml:space="preserve"> s </w:t>
      </w:r>
      <w:r w:rsidRPr="00015954">
        <w:rPr>
          <w:rFonts w:hint="default"/>
        </w:rPr>
        <w:t>alternatí</w:t>
      </w:r>
      <w:r w:rsidRPr="00015954">
        <w:rPr>
          <w:rFonts w:hint="default"/>
        </w:rPr>
        <w:t>vnymi rieš</w:t>
      </w:r>
      <w:r w:rsidRPr="00015954">
        <w:rPr>
          <w:rFonts w:hint="default"/>
        </w:rPr>
        <w:t>eniami.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DB9" w:rsidRPr="00015954" w:rsidP="00015954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A40276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Vplyvy na rozpočet verejnej správy,</w:t>
      </w:r>
    </w:p>
    <w:p w:rsidR="00A40276" w:rsidRPr="00015954" w:rsidP="00015954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na zamestnanosť vo verejnej správe a financovanie návrhu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2.1. Zhrnutie vplyvov na rozpočet verejnej správy v návrhu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Tabuľka č. 1 </w:t>
      </w:r>
    </w:p>
    <w:tbl>
      <w:tblPr>
        <w:tblStyle w:val="TableNormal"/>
        <w:tblW w:w="9729" w:type="dxa"/>
        <w:tblCellMar>
          <w:left w:w="0" w:type="dxa"/>
          <w:right w:w="0" w:type="dxa"/>
        </w:tblCellMar>
      </w:tblPr>
      <w:tblGrid>
        <w:gridCol w:w="4661"/>
        <w:gridCol w:w="1267"/>
        <w:gridCol w:w="1342"/>
        <w:gridCol w:w="1192"/>
        <w:gridCol w:w="1267"/>
      </w:tblGrid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End w:id="0"/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Vplyvy na </w:t>
            </w: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rozpočet verejnej správy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Vplyv na rozpočet verejnej správy </w:t>
            </w: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(v eurách)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Pr="00015954" w:rsidR="00FA0DB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Pr="00015954" w:rsidR="00FA0DB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Pr="00015954" w:rsidR="00FA0DB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Pr="00015954" w:rsidR="00FA0DB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6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0 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 z</w:t>
            </w:r>
            <w:r w:rsidRPr="00015954" w:rsidR="00581D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toho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Zdravotné poisťovne z</w:t>
            </w:r>
            <w:r w:rsidRPr="00015954" w:rsidR="00581DB9">
              <w:rPr>
                <w:rFonts w:ascii="Times New Roman" w:hAnsi="Times New Roman"/>
                <w:sz w:val="24"/>
                <w:szCs w:val="24"/>
              </w:rPr>
              <w:t> 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toho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- úhrady za lieky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10F40">
              <w:rPr>
                <w:rFonts w:ascii="Times New Roman" w:hAnsi="Times New Roman"/>
                <w:sz w:val="24"/>
                <w:szCs w:val="24"/>
              </w:rPr>
              <w:t>1 075 000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410F4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0D3820"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="00410F40"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410F4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10F40"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="00410F40"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410F4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="00410F40"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 w:rsidR="00410F40"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z toho vplyv na ŠR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Zdravotné poisťovne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1 075 000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>
        <w:tblPrEx>
          <w:tblW w:w="9729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2.2. Financovanie návrhu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304"/>
        <w:gridCol w:w="1264"/>
        <w:gridCol w:w="1342"/>
        <w:gridCol w:w="1186"/>
        <w:gridCol w:w="1264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Vplyv na rozpočet verejnej správy </w:t>
            </w: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 w:rsidR="00FA0DB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Pr="00015954" w:rsidR="00FA0DB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Pr="00015954" w:rsidR="00FA0DB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</w:t>
            </w:r>
            <w:r w:rsidRPr="00015954" w:rsidR="00FA0DB6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6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 z toho vplyv na ŠR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 financovanie zabezpečené v rozpočte zdravotných poisťovní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1 075 000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410F40" w:rsidRPr="00015954" w:rsidP="005F001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 ostatné zdroje financovania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FA0DB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Návrh na riešenie úbytku príjmov alebo zvýšených výdavkov podľa § 33 ods. 1 zákona č. 523/2004 Z. z. o rozpočtových pravidlách verejnej správy: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 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Návrh nespôsobuje úbytok príjmov alebo zvýšenie výdavkov.</w:t>
      </w:r>
    </w:p>
    <w:p w:rsidR="00A40276" w:rsidRPr="00015954" w:rsidP="000159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 </w:t>
      </w:r>
    </w:p>
    <w:p w:rsidR="00AA6ADE" w:rsidP="00015954">
      <w:pPr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2.3. Popis a charakteristika návrhu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2.3.1. Popis návrhu:</w:t>
      </w:r>
    </w:p>
    <w:p w:rsidR="0086541B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 w:rsidR="00FA0DB6">
        <w:rPr>
          <w:rFonts w:ascii="Times New Roman" w:hAnsi="Times New Roman"/>
          <w:bCs/>
          <w:sz w:val="24"/>
          <w:szCs w:val="24"/>
        </w:rPr>
        <w:t xml:space="preserve">Rozširuje sa </w:t>
      </w:r>
      <w:r w:rsidRPr="00015954" w:rsidR="00A40276">
        <w:rPr>
          <w:rFonts w:ascii="Times New Roman" w:hAnsi="Times New Roman"/>
          <w:bCs/>
          <w:sz w:val="24"/>
          <w:szCs w:val="24"/>
        </w:rPr>
        <w:t>o</w:t>
      </w:r>
      <w:r w:rsidRPr="00015954" w:rsidR="00A40276">
        <w:rPr>
          <w:rFonts w:ascii="Times New Roman" w:hAnsi="Times New Roman"/>
          <w:iCs/>
          <w:sz w:val="24"/>
          <w:szCs w:val="24"/>
        </w:rPr>
        <w:t>chranný limit na doplatky za lieky</w:t>
      </w:r>
      <w:r w:rsidRPr="00015954" w:rsidR="00FA0DB6">
        <w:rPr>
          <w:rFonts w:ascii="Times New Roman" w:hAnsi="Times New Roman"/>
          <w:iCs/>
          <w:sz w:val="24"/>
          <w:szCs w:val="24"/>
        </w:rPr>
        <w:t xml:space="preserve"> na ďalšie osoby</w:t>
      </w:r>
      <w:r w:rsidRPr="00015954" w:rsidR="00A40276">
        <w:rPr>
          <w:rFonts w:ascii="Times New Roman" w:hAnsi="Times New Roman"/>
          <w:sz w:val="24"/>
          <w:szCs w:val="24"/>
        </w:rPr>
        <w:t xml:space="preserve">. </w:t>
      </w:r>
      <w:r w:rsidRPr="00015954" w:rsidR="00FA0DB6">
        <w:rPr>
          <w:rFonts w:ascii="Times New Roman" w:hAnsi="Times New Roman"/>
          <w:sz w:val="24"/>
          <w:szCs w:val="24"/>
        </w:rPr>
        <w:t>Tieto osoby</w:t>
      </w:r>
      <w:r w:rsidRPr="00015954" w:rsidR="00A40276">
        <w:rPr>
          <w:rFonts w:ascii="Times New Roman" w:hAnsi="Times New Roman"/>
          <w:sz w:val="24"/>
          <w:szCs w:val="24"/>
        </w:rPr>
        <w:t xml:space="preserve"> zaplatia na doplatkoch za lieky maximálne 45 eur za štvrťrok. Akékoľvek ďalšie doplatky im zaplatí zdravotná poisťovňa.</w:t>
      </w:r>
    </w:p>
    <w:p w:rsidR="00FA0DB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2.3.2. Charakteristika návrhu podľa bodu  2.3.2. Metodiky: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  <w:bdr w:val="single" w:sz="4" w:space="0" w:color="000000" w:frame="1"/>
        </w:rPr>
        <w:t xml:space="preserve">     </w:t>
      </w:r>
      <w:r w:rsidRPr="00015954">
        <w:rPr>
          <w:rFonts w:ascii="Times New Roman" w:hAnsi="Times New Roman"/>
          <w:b/>
          <w:bCs/>
          <w:sz w:val="24"/>
          <w:szCs w:val="24"/>
        </w:rPr>
        <w:t xml:space="preserve">  </w:t>
      </w:r>
      <w:r w:rsidRPr="00015954">
        <w:rPr>
          <w:rFonts w:ascii="Times New Roman" w:hAnsi="Times New Roman"/>
          <w:sz w:val="24"/>
          <w:szCs w:val="24"/>
        </w:rPr>
        <w:t>zmena sadzby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     </w:t>
      </w:r>
      <w:r w:rsidRPr="00015954">
        <w:rPr>
          <w:rFonts w:ascii="Times New Roman" w:hAnsi="Times New Roman"/>
          <w:sz w:val="24"/>
          <w:szCs w:val="24"/>
        </w:rPr>
        <w:t>  zmena v nároku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     </w:t>
      </w:r>
      <w:r w:rsidRPr="00015954">
        <w:rPr>
          <w:rFonts w:ascii="Times New Roman" w:hAnsi="Times New Roman"/>
          <w:sz w:val="24"/>
          <w:szCs w:val="24"/>
        </w:rPr>
        <w:t>  nová služba alebo nariadenie (alebo ich zrušenie)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 x  </w:t>
      </w:r>
      <w:r w:rsidRPr="00015954">
        <w:rPr>
          <w:rFonts w:ascii="Times New Roman" w:hAnsi="Times New Roman"/>
          <w:sz w:val="24"/>
          <w:szCs w:val="24"/>
        </w:rPr>
        <w:t>  kombinovaný návrh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  <w:bdr w:val="single" w:sz="4" w:space="0" w:color="000000" w:frame="1"/>
        </w:rPr>
        <w:t xml:space="preserve">     </w:t>
      </w:r>
      <w:r w:rsidRPr="00015954">
        <w:rPr>
          <w:rFonts w:ascii="Times New Roman" w:hAnsi="Times New Roman"/>
          <w:sz w:val="24"/>
          <w:szCs w:val="24"/>
        </w:rPr>
        <w:t xml:space="preserve">  iné 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> 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b/>
          <w:bCs/>
          <w:sz w:val="24"/>
          <w:szCs w:val="24"/>
        </w:rPr>
        <w:t>2.3.3. Predpoklady vývoja objemu aktivít: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276" w:rsidRPr="00AA6ADE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t xml:space="preserve">Navrhované legislatívne zmeny si vyžiadajú úpravu informačného systému zdravotných poisťovní najmä z dôvodov rozšírenia o povinnosť viesť údaje o prekročení limitu spoluúčasti </w:t>
      </w:r>
      <w:r w:rsidRPr="00015954" w:rsidR="00E6077C">
        <w:rPr>
          <w:rFonts w:ascii="Times New Roman" w:hAnsi="Times New Roman"/>
          <w:sz w:val="24"/>
          <w:szCs w:val="24"/>
        </w:rPr>
        <w:t>o osobe, ktorá je poberateľom vdovského dôchodku, vdoveckého dôchodku alebo sirotského dôchodku,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6a</w:t>
      </w:r>
      <w:r w:rsidRPr="00015954" w:rsidR="00E6077C">
        <w:rPr>
          <w:rFonts w:ascii="Times New Roman" w:hAnsi="Times New Roman"/>
          <w:sz w:val="24"/>
          <w:szCs w:val="24"/>
        </w:rPr>
        <w:t>) je poberateľom rodičovského príspevku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6b</w:t>
      </w:r>
      <w:r w:rsidRPr="00015954" w:rsidR="00E6077C">
        <w:rPr>
          <w:rFonts w:ascii="Times New Roman" w:hAnsi="Times New Roman"/>
          <w:sz w:val="24"/>
          <w:szCs w:val="24"/>
        </w:rPr>
        <w:t>) alebo rodičovského príspevku z iného členského štátu, je poberateľom peňažného príspevku za opatrovanie,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6c</w:t>
      </w:r>
      <w:r w:rsidRPr="00015954" w:rsidR="00E6077C">
        <w:rPr>
          <w:rFonts w:ascii="Times New Roman" w:hAnsi="Times New Roman"/>
          <w:sz w:val="24"/>
          <w:szCs w:val="24"/>
        </w:rPr>
        <w:t>) osobne celodenne a riadne sa stará o dieťa vo veku do šiestich rokov, opatruje fyzickú osobu s ťažkým zdravotným postihnutím odkázaného podľa posudku vydaného podľa osobitného predpisu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6d</w:t>
      </w:r>
      <w:r w:rsidRPr="00015954" w:rsidR="00E6077C">
        <w:rPr>
          <w:rFonts w:ascii="Times New Roman" w:hAnsi="Times New Roman"/>
          <w:sz w:val="24"/>
          <w:szCs w:val="24"/>
        </w:rPr>
        <w:t>) alebo opatruje blízku osobu,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6e</w:t>
      </w:r>
      <w:r w:rsidRPr="00015954" w:rsidR="00E6077C">
        <w:rPr>
          <w:rFonts w:ascii="Times New Roman" w:hAnsi="Times New Roman"/>
          <w:sz w:val="24"/>
          <w:szCs w:val="24"/>
        </w:rPr>
        <w:t>) ktorá je staršia ako 80 rokov a nie je umiestnená v zariadení sociálnych služieb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6f</w:t>
      </w:r>
      <w:r w:rsidRPr="00015954" w:rsidR="00E6077C">
        <w:rPr>
          <w:rFonts w:ascii="Times New Roman" w:hAnsi="Times New Roman"/>
          <w:sz w:val="24"/>
          <w:szCs w:val="24"/>
        </w:rPr>
        <w:t>) alebo v zdravotníckom zariadení;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6g</w:t>
      </w:r>
      <w:r w:rsidRPr="00015954" w:rsidR="00E6077C">
        <w:rPr>
          <w:rFonts w:ascii="Times New Roman" w:hAnsi="Times New Roman"/>
          <w:sz w:val="24"/>
          <w:szCs w:val="24"/>
        </w:rPr>
        <w:t>) poberá dávku v hmotnej núdzi alebo príspevok k dávke v hmotnej núdzi, alebo ktorý sa spoločne posudzuje na účely posudzovania hmotnej núdze,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6h</w:t>
      </w:r>
      <w:r w:rsidRPr="00015954" w:rsidR="00E6077C">
        <w:rPr>
          <w:rFonts w:ascii="Times New Roman" w:hAnsi="Times New Roman"/>
          <w:sz w:val="24"/>
          <w:szCs w:val="24"/>
        </w:rPr>
        <w:t>) je vedený v evidencii uchádzačov o zamestnanie,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6i</w:t>
      </w:r>
      <w:r w:rsidRPr="00015954" w:rsidR="00E6077C">
        <w:rPr>
          <w:rFonts w:ascii="Times New Roman" w:hAnsi="Times New Roman"/>
          <w:sz w:val="24"/>
          <w:szCs w:val="24"/>
        </w:rPr>
        <w:t>) vykonáva osobnú asistenciu fyzickej osobe s ťažkým zdravotným postihnutím podľa osobitného predpisu.</w:t>
      </w:r>
      <w:r w:rsidRPr="00015954" w:rsidR="00E6077C">
        <w:rPr>
          <w:rFonts w:ascii="Times New Roman" w:hAnsi="Times New Roman"/>
          <w:sz w:val="24"/>
          <w:szCs w:val="24"/>
          <w:vertAlign w:val="superscript"/>
        </w:rPr>
        <w:t>6j</w:t>
      </w:r>
      <w:r w:rsidRPr="00015954" w:rsidR="00E6077C">
        <w:rPr>
          <w:rFonts w:ascii="Times New Roman" w:hAnsi="Times New Roman"/>
          <w:sz w:val="24"/>
          <w:szCs w:val="24"/>
        </w:rPr>
        <w:t>)</w:t>
      </w:r>
      <w:r w:rsidRPr="00015954">
        <w:rPr>
          <w:rFonts w:ascii="Times New Roman" w:hAnsi="Times New Roman"/>
          <w:sz w:val="24"/>
          <w:szCs w:val="24"/>
        </w:rPr>
        <w:t xml:space="preserve"> S uvedeným zmenami súvisí aj mierne zvýšenie administratívnej záťaže zdravotných poisťovní vyplývajúca z rozhodovania o úhrade nad limit spoluúčasti.</w:t>
      </w:r>
      <w:r w:rsidR="00AA6ADE">
        <w:rPr>
          <w:rFonts w:ascii="Times New Roman" w:hAnsi="Times New Roman"/>
          <w:sz w:val="24"/>
          <w:szCs w:val="24"/>
        </w:rPr>
        <w:t xml:space="preserve"> P</w:t>
      </w:r>
      <w:r w:rsidRPr="00AA6ADE" w:rsidR="00AA6ADE">
        <w:rPr>
          <w:rFonts w:ascii="Times New Roman" w:hAnsi="Times New Roman"/>
          <w:sz w:val="24"/>
          <w:szCs w:val="24"/>
        </w:rPr>
        <w:t>redpokladá sa, že sa zmena dotkne cca 952 775 poistencov ročne</w:t>
      </w:r>
      <w:r w:rsidR="00A46A1F">
        <w:rPr>
          <w:rFonts w:ascii="Times New Roman" w:hAnsi="Times New Roman"/>
          <w:sz w:val="24"/>
          <w:szCs w:val="24"/>
        </w:rPr>
        <w:t xml:space="preserve"> oproti predchádzajúcemu roku, kedy podmienky  mohlo spĺňať 513 292 osôb</w:t>
      </w:r>
      <w:r w:rsidR="00AA6ADE">
        <w:rPr>
          <w:rFonts w:ascii="Times New Roman" w:hAnsi="Times New Roman"/>
          <w:sz w:val="24"/>
          <w:szCs w:val="24"/>
        </w:rPr>
        <w:t>, t.j. oproti roku 2012, kedy zdravotné poisťovne vyplatili na doplatkoch na lieky 124 068 osobám celkov</w:t>
      </w:r>
      <w:r w:rsidR="00A46A1F">
        <w:rPr>
          <w:rFonts w:ascii="Times New Roman" w:hAnsi="Times New Roman"/>
          <w:sz w:val="24"/>
          <w:szCs w:val="24"/>
        </w:rPr>
        <w:t>ú</w:t>
      </w:r>
      <w:r w:rsidR="00AA6ADE">
        <w:rPr>
          <w:rFonts w:ascii="Times New Roman" w:hAnsi="Times New Roman"/>
          <w:sz w:val="24"/>
          <w:szCs w:val="24"/>
        </w:rPr>
        <w:t xml:space="preserve"> </w:t>
      </w:r>
      <w:r w:rsidR="00A46A1F">
        <w:rPr>
          <w:rFonts w:ascii="Times New Roman" w:hAnsi="Times New Roman"/>
          <w:sz w:val="24"/>
          <w:szCs w:val="24"/>
        </w:rPr>
        <w:t>sumu</w:t>
      </w:r>
      <w:r w:rsidR="00AA6ADE">
        <w:rPr>
          <w:rFonts w:ascii="Times New Roman" w:hAnsi="Times New Roman"/>
          <w:sz w:val="24"/>
          <w:szCs w:val="24"/>
        </w:rPr>
        <w:t xml:space="preserve"> </w:t>
      </w:r>
      <w:r w:rsidR="00A46A1F">
        <w:rPr>
          <w:rFonts w:ascii="Times New Roman" w:hAnsi="Times New Roman"/>
          <w:sz w:val="24"/>
          <w:szCs w:val="24"/>
        </w:rPr>
        <w:t xml:space="preserve">2 319 211 eur. Po novom by malo podmienky splniť cca 240 000 osôb a zdravotné poisťovne by im mali vyplatiť </w:t>
      </w:r>
      <w:r w:rsidR="00242A3A">
        <w:rPr>
          <w:rFonts w:ascii="Times New Roman" w:hAnsi="Times New Roman"/>
          <w:sz w:val="24"/>
          <w:szCs w:val="24"/>
        </w:rPr>
        <w:t xml:space="preserve">týmto osobám cca </w:t>
      </w:r>
      <w:r w:rsidR="00A46A1F">
        <w:rPr>
          <w:rFonts w:ascii="Times New Roman" w:hAnsi="Times New Roman"/>
          <w:sz w:val="24"/>
          <w:szCs w:val="24"/>
        </w:rPr>
        <w:t>4,3 mil. eur za rok.</w:t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3A1" w:rsidRPr="00015954" w:rsidP="00015954">
      <w:pPr>
        <w:pStyle w:val="BodyText2"/>
        <w:bidi w:val="0"/>
        <w:ind w:firstLine="0"/>
        <w:rPr>
          <w:rFonts w:eastAsia="Times New Roman"/>
          <w:b w:val="0"/>
        </w:rPr>
      </w:pPr>
      <w:r w:rsidRPr="00015954" w:rsidR="00A40276">
        <w:rPr>
          <w:rFonts w:eastAsia="Times New Roman"/>
          <w:b w:val="0"/>
        </w:rPr>
        <w:t xml:space="preserve">Prijatie návrhu zákona, </w:t>
      </w:r>
      <w:r w:rsidRPr="00015954">
        <w:rPr>
          <w:rFonts w:eastAsia="Times New Roman"/>
          <w:b w:val="0"/>
          <w:bCs w:val="0"/>
        </w:rPr>
        <w:t>ktorým sa mení</w:t>
      </w:r>
      <w:r w:rsidRPr="00015954">
        <w:rPr>
          <w:rFonts w:eastAsia="Times New Roman"/>
          <w:bCs w:val="0"/>
        </w:rPr>
        <w:t xml:space="preserve"> </w:t>
      </w:r>
      <w:r w:rsidRPr="00015954">
        <w:rPr>
          <w:rFonts w:hint="default"/>
          <w:b w:val="0"/>
        </w:rPr>
        <w:t>zá</w:t>
      </w:r>
      <w:r w:rsidRPr="00015954">
        <w:rPr>
          <w:rFonts w:hint="default"/>
          <w:b w:val="0"/>
        </w:rPr>
        <w:t>kon č</w:t>
      </w:r>
      <w:r w:rsidRPr="00015954">
        <w:rPr>
          <w:rFonts w:hint="default"/>
          <w:b w:val="0"/>
        </w:rPr>
        <w:t>. 363</w:t>
      </w:r>
      <w:r w:rsidRPr="00015954">
        <w:rPr>
          <w:rFonts w:eastAsia="Times New Roman"/>
          <w:b w:val="0"/>
        </w:rPr>
        <w:t>/20</w:t>
      </w:r>
      <w:r w:rsidRPr="00015954">
        <w:rPr>
          <w:b w:val="0"/>
        </w:rPr>
        <w:t>11</w:t>
      </w:r>
      <w:r w:rsidRPr="00015954">
        <w:rPr>
          <w:rFonts w:eastAsia="Times New Roman"/>
          <w:b w:val="0"/>
        </w:rPr>
        <w:t xml:space="preserve"> Z. z. </w:t>
      </w:r>
      <w:r w:rsidRPr="00015954">
        <w:rPr>
          <w:rFonts w:hint="default"/>
          <w:b w:val="0"/>
        </w:rPr>
        <w:t>o rozsahu a podmienkach ú</w:t>
      </w:r>
      <w:r w:rsidRPr="00015954">
        <w:rPr>
          <w:rFonts w:hint="default"/>
          <w:b w:val="0"/>
        </w:rPr>
        <w:t>hrady liekov, zdravotní</w:t>
      </w:r>
      <w:r w:rsidRPr="00015954">
        <w:rPr>
          <w:rFonts w:hint="default"/>
          <w:b w:val="0"/>
        </w:rPr>
        <w:t>ckych pomô</w:t>
      </w:r>
      <w:r w:rsidRPr="00015954">
        <w:rPr>
          <w:rFonts w:hint="default"/>
          <w:b w:val="0"/>
        </w:rPr>
        <w:t>cok a dietetický</w:t>
      </w:r>
      <w:r w:rsidRPr="00015954">
        <w:rPr>
          <w:rFonts w:hint="default"/>
          <w:b w:val="0"/>
        </w:rPr>
        <w:t>ch potraví</w:t>
      </w:r>
      <w:r w:rsidRPr="00015954">
        <w:rPr>
          <w:rFonts w:hint="default"/>
          <w:b w:val="0"/>
        </w:rPr>
        <w:t>n na zá</w:t>
      </w:r>
      <w:r w:rsidRPr="00015954">
        <w:rPr>
          <w:rFonts w:hint="default"/>
          <w:b w:val="0"/>
        </w:rPr>
        <w:t>klade verejné</w:t>
      </w:r>
      <w:r w:rsidRPr="00015954">
        <w:rPr>
          <w:rFonts w:hint="default"/>
          <w:b w:val="0"/>
        </w:rPr>
        <w:t>ho zdravotné</w:t>
      </w:r>
      <w:r w:rsidRPr="00015954">
        <w:rPr>
          <w:rFonts w:hint="default"/>
          <w:b w:val="0"/>
        </w:rPr>
        <w:t>ho poistenia a o zmene a doplnení</w:t>
      </w:r>
      <w:r w:rsidRPr="00015954">
        <w:rPr>
          <w:rFonts w:hint="default"/>
          <w:b w:val="0"/>
        </w:rPr>
        <w:t xml:space="preserve"> niektorý</w:t>
      </w:r>
      <w:r w:rsidRPr="00015954">
        <w:rPr>
          <w:rFonts w:hint="default"/>
          <w:b w:val="0"/>
        </w:rPr>
        <w:t>ch zá</w:t>
      </w:r>
      <w:r w:rsidRPr="00015954">
        <w:rPr>
          <w:rFonts w:hint="default"/>
          <w:b w:val="0"/>
        </w:rPr>
        <w:t>konov v </w:t>
      </w:r>
      <w:r w:rsidRPr="00015954">
        <w:rPr>
          <w:rFonts w:hint="default"/>
          <w:b w:val="0"/>
        </w:rPr>
        <w:t>znení</w:t>
      </w:r>
      <w:r w:rsidRPr="00015954">
        <w:rPr>
          <w:rFonts w:hint="default"/>
          <w:b w:val="0"/>
        </w:rPr>
        <w:t xml:space="preserve"> zá</w:t>
      </w:r>
      <w:r w:rsidRPr="00015954">
        <w:rPr>
          <w:rFonts w:hint="default"/>
          <w:b w:val="0"/>
        </w:rPr>
        <w:t>kona č</w:t>
      </w:r>
      <w:r w:rsidRPr="00015954">
        <w:rPr>
          <w:rFonts w:hint="default"/>
          <w:b w:val="0"/>
        </w:rPr>
        <w:t xml:space="preserve">. 460/2012 Z. z. </w:t>
      </w:r>
      <w:r w:rsidRPr="00015954" w:rsidR="00A40276">
        <w:rPr>
          <w:rFonts w:eastAsia="Times New Roman"/>
          <w:b w:val="0"/>
        </w:rPr>
        <w:t xml:space="preserve">nezakladá zvýšené nároky na štátny rozpočet, rozpočty samosprávnych krajov a rozpočty obcí. Návrh zákona zaťaží rozpočty zdravotných poisťovní. </w:t>
      </w:r>
    </w:p>
    <w:p w:rsidR="000F23A1" w:rsidRPr="00015954" w:rsidP="0001595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63DA" w:rsidRPr="00015954" w:rsidP="00A46A1F">
      <w:p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15954">
        <w:rPr>
          <w:rFonts w:ascii="Times New Roman" w:hAnsi="Times New Roman" w:hint="default"/>
          <w:sz w:val="24"/>
          <w:szCs w:val="24"/>
        </w:rPr>
        <w:t>Navrhované</w:t>
      </w:r>
      <w:r w:rsidRPr="00015954">
        <w:rPr>
          <w:rFonts w:ascii="Times New Roman" w:hAnsi="Times New Roman" w:hint="default"/>
          <w:sz w:val="24"/>
          <w:szCs w:val="24"/>
        </w:rPr>
        <w:t xml:space="preserve"> legislatí</w:t>
      </w:r>
      <w:r w:rsidRPr="00015954">
        <w:rPr>
          <w:rFonts w:ascii="Times New Roman" w:hAnsi="Times New Roman" w:hint="default"/>
          <w:sz w:val="24"/>
          <w:szCs w:val="24"/>
        </w:rPr>
        <w:t>vne zmeny si vyž</w:t>
      </w:r>
      <w:r w:rsidRPr="00015954">
        <w:rPr>
          <w:rFonts w:ascii="Times New Roman" w:hAnsi="Times New Roman" w:hint="default"/>
          <w:sz w:val="24"/>
          <w:szCs w:val="24"/>
        </w:rPr>
        <w:t>iadajú</w:t>
      </w:r>
      <w:r w:rsidRPr="00015954">
        <w:rPr>
          <w:rFonts w:ascii="Times New Roman" w:hAnsi="Times New Roman" w:hint="default"/>
          <w:sz w:val="24"/>
          <w:szCs w:val="24"/>
        </w:rPr>
        <w:t xml:space="preserve"> ú</w:t>
      </w:r>
      <w:r w:rsidRPr="00015954">
        <w:rPr>
          <w:rFonts w:ascii="Times New Roman" w:hAnsi="Times New Roman" w:hint="default"/>
          <w:sz w:val="24"/>
          <w:szCs w:val="24"/>
        </w:rPr>
        <w:t>pravu informač</w:t>
      </w:r>
      <w:r w:rsidRPr="00015954">
        <w:rPr>
          <w:rFonts w:ascii="Times New Roman" w:hAnsi="Times New Roman" w:hint="default"/>
          <w:sz w:val="24"/>
          <w:szCs w:val="24"/>
        </w:rPr>
        <w:t>né</w:t>
      </w:r>
      <w:r w:rsidRPr="00015954">
        <w:rPr>
          <w:rFonts w:ascii="Times New Roman" w:hAnsi="Times New Roman" w:hint="default"/>
          <w:sz w:val="24"/>
          <w:szCs w:val="24"/>
        </w:rPr>
        <w:t>ho sys</w:t>
      </w:r>
      <w:r w:rsidRPr="00015954">
        <w:rPr>
          <w:rFonts w:ascii="Times New Roman" w:hAnsi="Times New Roman" w:hint="default"/>
          <w:sz w:val="24"/>
          <w:szCs w:val="24"/>
        </w:rPr>
        <w:t>té</w:t>
      </w:r>
      <w:r w:rsidRPr="00015954">
        <w:rPr>
          <w:rFonts w:ascii="Times New Roman" w:hAnsi="Times New Roman" w:hint="default"/>
          <w:sz w:val="24"/>
          <w:szCs w:val="24"/>
        </w:rPr>
        <w:t>mu 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ovní</w:t>
      </w:r>
      <w:r w:rsidRPr="00015954">
        <w:rPr>
          <w:rFonts w:ascii="Times New Roman" w:hAnsi="Times New Roman" w:hint="default"/>
          <w:sz w:val="24"/>
          <w:szCs w:val="24"/>
        </w:rPr>
        <w:t xml:space="preserve"> najmä</w:t>
      </w:r>
      <w:r w:rsidRPr="00015954">
        <w:rPr>
          <w:rFonts w:ascii="Times New Roman" w:hAnsi="Times New Roman" w:hint="default"/>
          <w:sz w:val="24"/>
          <w:szCs w:val="24"/>
        </w:rPr>
        <w:t xml:space="preserve"> z </w:t>
      </w:r>
      <w:r w:rsidRPr="00015954">
        <w:rPr>
          <w:rFonts w:ascii="Times New Roman" w:hAnsi="Times New Roman" w:hint="default"/>
          <w:sz w:val="24"/>
          <w:szCs w:val="24"/>
        </w:rPr>
        <w:t>dô</w:t>
      </w:r>
      <w:r w:rsidRPr="00015954">
        <w:rPr>
          <w:rFonts w:ascii="Times New Roman" w:hAnsi="Times New Roman" w:hint="default"/>
          <w:sz w:val="24"/>
          <w:szCs w:val="24"/>
        </w:rPr>
        <w:t>vodov rozší</w:t>
      </w:r>
      <w:r w:rsidRPr="00015954">
        <w:rPr>
          <w:rFonts w:ascii="Times New Roman" w:hAnsi="Times New Roman" w:hint="default"/>
          <w:sz w:val="24"/>
          <w:szCs w:val="24"/>
        </w:rPr>
        <w:t>renia o </w:t>
      </w:r>
      <w:r w:rsidRPr="00015954">
        <w:rPr>
          <w:rFonts w:ascii="Times New Roman" w:hAnsi="Times New Roman" w:hint="default"/>
          <w:sz w:val="24"/>
          <w:szCs w:val="24"/>
        </w:rPr>
        <w:t>povinnosť</w:t>
      </w:r>
      <w:r w:rsidRPr="00015954">
        <w:rPr>
          <w:rFonts w:ascii="Times New Roman" w:hAnsi="Times New Roman" w:hint="default"/>
          <w:sz w:val="24"/>
          <w:szCs w:val="24"/>
        </w:rPr>
        <w:t xml:space="preserve"> viesť</w:t>
      </w:r>
      <w:r w:rsidRPr="00015954">
        <w:rPr>
          <w:rFonts w:ascii="Times New Roman" w:hAnsi="Times New Roman" w:hint="default"/>
          <w:sz w:val="24"/>
          <w:szCs w:val="24"/>
        </w:rPr>
        <w:t xml:space="preserve"> ú</w:t>
      </w:r>
      <w:r w:rsidRPr="00015954">
        <w:rPr>
          <w:rFonts w:ascii="Times New Roman" w:hAnsi="Times New Roman" w:hint="default"/>
          <w:sz w:val="24"/>
          <w:szCs w:val="24"/>
        </w:rPr>
        <w:t>daje o </w:t>
      </w:r>
      <w:r w:rsidRPr="00015954">
        <w:rPr>
          <w:rFonts w:ascii="Times New Roman" w:hAnsi="Times New Roman" w:hint="default"/>
          <w:sz w:val="24"/>
          <w:szCs w:val="24"/>
        </w:rPr>
        <w:t>prekroč</w:t>
      </w:r>
      <w:r w:rsidRPr="00015954">
        <w:rPr>
          <w:rFonts w:ascii="Times New Roman" w:hAnsi="Times New Roman" w:hint="default"/>
          <w:sz w:val="24"/>
          <w:szCs w:val="24"/>
        </w:rPr>
        <w:t>ení</w:t>
      </w:r>
      <w:r w:rsidRPr="00015954">
        <w:rPr>
          <w:rFonts w:ascii="Times New Roman" w:hAnsi="Times New Roman" w:hint="default"/>
          <w:sz w:val="24"/>
          <w:szCs w:val="24"/>
        </w:rPr>
        <w:t xml:space="preserve"> limitu spoluúč</w:t>
      </w:r>
      <w:r w:rsidRPr="00015954">
        <w:rPr>
          <w:rFonts w:ascii="Times New Roman" w:hAnsi="Times New Roman" w:hint="default"/>
          <w:sz w:val="24"/>
          <w:szCs w:val="24"/>
        </w:rPr>
        <w:t>asti poberateľ</w:t>
      </w:r>
      <w:r w:rsidRPr="00015954">
        <w:rPr>
          <w:rFonts w:ascii="Times New Roman" w:hAnsi="Times New Roman" w:hint="default"/>
          <w:sz w:val="24"/>
          <w:szCs w:val="24"/>
        </w:rPr>
        <w:t>ov starobné</w:t>
      </w:r>
      <w:r w:rsidRPr="00015954">
        <w:rPr>
          <w:rFonts w:ascii="Times New Roman" w:hAnsi="Times New Roman" w:hint="default"/>
          <w:sz w:val="24"/>
          <w:szCs w:val="24"/>
        </w:rPr>
        <w:t>ho dô</w:t>
      </w:r>
      <w:r w:rsidRPr="00015954">
        <w:rPr>
          <w:rFonts w:ascii="Times New Roman" w:hAnsi="Times New Roman" w:hint="default"/>
          <w:sz w:val="24"/>
          <w:szCs w:val="24"/>
        </w:rPr>
        <w:t>chodku a </w:t>
      </w:r>
      <w:r w:rsidRPr="00015954">
        <w:rPr>
          <w:rFonts w:ascii="Times New Roman" w:hAnsi="Times New Roman" w:hint="default"/>
          <w:sz w:val="24"/>
          <w:szCs w:val="24"/>
        </w:rPr>
        <w:t>osô</w:t>
      </w:r>
      <w:r w:rsidRPr="00015954">
        <w:rPr>
          <w:rFonts w:ascii="Times New Roman" w:hAnsi="Times New Roman" w:hint="default"/>
          <w:sz w:val="24"/>
          <w:szCs w:val="24"/>
        </w:rPr>
        <w:t>b ť</w:t>
      </w:r>
      <w:r w:rsidRPr="00015954">
        <w:rPr>
          <w:rFonts w:ascii="Times New Roman" w:hAnsi="Times New Roman" w:hint="default"/>
          <w:sz w:val="24"/>
          <w:szCs w:val="24"/>
        </w:rPr>
        <w:t>až</w:t>
      </w:r>
      <w:r w:rsidRPr="00015954">
        <w:rPr>
          <w:rFonts w:ascii="Times New Roman" w:hAnsi="Times New Roman" w:hint="default"/>
          <w:sz w:val="24"/>
          <w:szCs w:val="24"/>
        </w:rPr>
        <w:t>ko zdravotne postihnutý</w:t>
      </w:r>
      <w:r w:rsidRPr="00015954">
        <w:rPr>
          <w:rFonts w:ascii="Times New Roman" w:hAnsi="Times New Roman" w:hint="default"/>
          <w:sz w:val="24"/>
          <w:szCs w:val="24"/>
        </w:rPr>
        <w:t>ch</w:t>
      </w:r>
      <w:r w:rsidR="00A46A1F">
        <w:rPr>
          <w:rFonts w:ascii="Times New Roman" w:hAnsi="Times New Roman" w:hint="default"/>
          <w:sz w:val="24"/>
          <w:szCs w:val="24"/>
        </w:rPr>
        <w:t xml:space="preserve"> ako aj ď</w:t>
      </w:r>
      <w:r w:rsidR="00A46A1F">
        <w:rPr>
          <w:rFonts w:ascii="Times New Roman" w:hAnsi="Times New Roman" w:hint="default"/>
          <w:sz w:val="24"/>
          <w:szCs w:val="24"/>
        </w:rPr>
        <w:t>alší</w:t>
      </w:r>
      <w:r w:rsidR="00A46A1F">
        <w:rPr>
          <w:rFonts w:ascii="Times New Roman" w:hAnsi="Times New Roman" w:hint="default"/>
          <w:sz w:val="24"/>
          <w:szCs w:val="24"/>
        </w:rPr>
        <w:t>ch osô</w:t>
      </w:r>
      <w:r w:rsidR="00A46A1F">
        <w:rPr>
          <w:rFonts w:ascii="Times New Roman" w:hAnsi="Times New Roman" w:hint="default"/>
          <w:sz w:val="24"/>
          <w:szCs w:val="24"/>
        </w:rPr>
        <w:t>b</w:t>
      </w:r>
      <w:r w:rsidRPr="00015954">
        <w:rPr>
          <w:rFonts w:ascii="Times New Roman" w:hAnsi="Times New Roman"/>
          <w:sz w:val="24"/>
          <w:szCs w:val="24"/>
        </w:rPr>
        <w:t>. S </w:t>
      </w:r>
      <w:r w:rsidRPr="00015954">
        <w:rPr>
          <w:rFonts w:ascii="Times New Roman" w:hAnsi="Times New Roman" w:hint="default"/>
          <w:sz w:val="24"/>
          <w:szCs w:val="24"/>
        </w:rPr>
        <w:t>uvedený</w:t>
      </w:r>
      <w:r w:rsidRPr="00015954">
        <w:rPr>
          <w:rFonts w:ascii="Times New Roman" w:hAnsi="Times New Roman" w:hint="default"/>
          <w:sz w:val="24"/>
          <w:szCs w:val="24"/>
        </w:rPr>
        <w:t>m zmenami sú</w:t>
      </w:r>
      <w:r w:rsidRPr="00015954">
        <w:rPr>
          <w:rFonts w:ascii="Times New Roman" w:hAnsi="Times New Roman" w:hint="default"/>
          <w:sz w:val="24"/>
          <w:szCs w:val="24"/>
        </w:rPr>
        <w:t>visí</w:t>
      </w:r>
      <w:r w:rsidRPr="00015954">
        <w:rPr>
          <w:rFonts w:ascii="Times New Roman" w:hAnsi="Times New Roman" w:hint="default"/>
          <w:sz w:val="24"/>
          <w:szCs w:val="24"/>
        </w:rPr>
        <w:t xml:space="preserve"> aj mierne zvýš</w:t>
      </w:r>
      <w:r w:rsidRPr="00015954">
        <w:rPr>
          <w:rFonts w:ascii="Times New Roman" w:hAnsi="Times New Roman" w:hint="default"/>
          <w:sz w:val="24"/>
          <w:szCs w:val="24"/>
        </w:rPr>
        <w:t>enie administratí</w:t>
      </w:r>
      <w:r w:rsidRPr="00015954">
        <w:rPr>
          <w:rFonts w:ascii="Times New Roman" w:hAnsi="Times New Roman" w:hint="default"/>
          <w:sz w:val="24"/>
          <w:szCs w:val="24"/>
        </w:rPr>
        <w:t>vnej záť</w:t>
      </w:r>
      <w:r w:rsidRPr="00015954">
        <w:rPr>
          <w:rFonts w:ascii="Times New Roman" w:hAnsi="Times New Roman" w:hint="default"/>
          <w:sz w:val="24"/>
          <w:szCs w:val="24"/>
        </w:rPr>
        <w:t>až</w:t>
      </w:r>
      <w:r w:rsidRPr="00015954">
        <w:rPr>
          <w:rFonts w:ascii="Times New Roman" w:hAnsi="Times New Roman" w:hint="default"/>
          <w:sz w:val="24"/>
          <w:szCs w:val="24"/>
        </w:rPr>
        <w:t>e zdravotný</w:t>
      </w:r>
      <w:r w:rsidRPr="00015954">
        <w:rPr>
          <w:rFonts w:ascii="Times New Roman" w:hAnsi="Times New Roman" w:hint="default"/>
          <w:sz w:val="24"/>
          <w:szCs w:val="24"/>
        </w:rPr>
        <w:t>ch poisť</w:t>
      </w:r>
      <w:r w:rsidRPr="00015954">
        <w:rPr>
          <w:rFonts w:ascii="Times New Roman" w:hAnsi="Times New Roman" w:hint="default"/>
          <w:sz w:val="24"/>
          <w:szCs w:val="24"/>
        </w:rPr>
        <w:t>ovní</w:t>
      </w:r>
      <w:r w:rsidRPr="00015954">
        <w:rPr>
          <w:rFonts w:ascii="Times New Roman" w:hAnsi="Times New Roman" w:hint="default"/>
          <w:sz w:val="24"/>
          <w:szCs w:val="24"/>
        </w:rPr>
        <w:t xml:space="preserve"> vyplý</w:t>
      </w:r>
      <w:r w:rsidRPr="00015954">
        <w:rPr>
          <w:rFonts w:ascii="Times New Roman" w:hAnsi="Times New Roman" w:hint="default"/>
          <w:sz w:val="24"/>
          <w:szCs w:val="24"/>
        </w:rPr>
        <w:t>vajú</w:t>
      </w:r>
      <w:r w:rsidRPr="00015954">
        <w:rPr>
          <w:rFonts w:ascii="Times New Roman" w:hAnsi="Times New Roman" w:hint="default"/>
          <w:sz w:val="24"/>
          <w:szCs w:val="24"/>
        </w:rPr>
        <w:t>ca z rozhodovania o </w:t>
      </w:r>
      <w:r w:rsidRPr="00015954">
        <w:rPr>
          <w:rFonts w:ascii="Times New Roman" w:hAnsi="Times New Roman" w:hint="default"/>
          <w:sz w:val="24"/>
          <w:szCs w:val="24"/>
        </w:rPr>
        <w:t>ú</w:t>
      </w:r>
      <w:r w:rsidRPr="00015954">
        <w:rPr>
          <w:rFonts w:ascii="Times New Roman" w:hAnsi="Times New Roman" w:hint="default"/>
          <w:sz w:val="24"/>
          <w:szCs w:val="24"/>
        </w:rPr>
        <w:t>hrade nad limit spoluúč</w:t>
      </w:r>
      <w:r w:rsidRPr="00015954">
        <w:rPr>
          <w:rFonts w:ascii="Times New Roman" w:hAnsi="Times New Roman" w:hint="default"/>
          <w:sz w:val="24"/>
          <w:szCs w:val="24"/>
        </w:rPr>
        <w:t xml:space="preserve">asti. </w:t>
      </w:r>
    </w:p>
    <w:p w:rsidR="00A46A1F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Zdravotné poisťovne (3)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 Aký je predpokladaný charakter a rozsah nákladov a prínosov?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Mierne zvýšenie administratívneho zaťaženia vo forme vyššieho množstva informácií</w:t>
            </w:r>
            <w:r w:rsidRPr="00015954" w:rsidR="000F23A1">
              <w:rPr>
                <w:rFonts w:ascii="Times New Roman" w:hAnsi="Times New Roman"/>
                <w:sz w:val="24"/>
                <w:szCs w:val="24"/>
              </w:rPr>
              <w:t>, ktoré bude musieť spracovávať zdravotná poisťovňa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276" w:rsidRPr="00A46A1F" w:rsidP="00A46A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Mierne zvýš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enie administratí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vneho zať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až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enia vo forme vyšš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i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eho množ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stva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informá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cií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reportovaný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ch Ú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DZS.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  <w:p w:rsidR="00A40276" w:rsidRPr="00015954" w:rsidP="00015954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E6077C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 w:rsidR="00A40276">
              <w:rPr>
                <w:rFonts w:ascii="Times New Roman" w:hAnsi="Times New Roman"/>
                <w:sz w:val="24"/>
                <w:szCs w:val="24"/>
              </w:rPr>
              <w:t xml:space="preserve">Zdravotným poisťovniam v zanedbateľnej miere vzrastú administratívne náklady spojené s úhradou čiastky, ktorá presahuje limit spoluúčasti cca </w:t>
            </w:r>
            <w:r w:rsidR="00A46A1F">
              <w:rPr>
                <w:rFonts w:ascii="Times New Roman" w:hAnsi="Times New Roman"/>
                <w:sz w:val="24"/>
                <w:szCs w:val="24"/>
              </w:rPr>
              <w:t>240</w:t>
            </w:r>
            <w:r w:rsidRPr="00015954" w:rsidR="00A40276">
              <w:rPr>
                <w:rFonts w:ascii="Times New Roman" w:hAnsi="Times New Roman"/>
                <w:sz w:val="24"/>
                <w:szCs w:val="24"/>
              </w:rPr>
              <w:t> 000 poistencov.</w:t>
            </w:r>
          </w:p>
          <w:p w:rsidR="00A40276" w:rsidRPr="00A46A1F" w:rsidP="00A46A1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Aké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koľ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vek administratí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vne ná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klady zdravotné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 xml:space="preserve"> poisť</w:t>
            </w:r>
            <w:r w:rsidRPr="00015954" w:rsidR="004A63DA">
              <w:rPr>
                <w:rFonts w:ascii="Times New Roman" w:hAnsi="Times New Roman" w:hint="default"/>
                <w:sz w:val="24"/>
                <w:szCs w:val="24"/>
              </w:rPr>
              <w:t>ov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ne vykryjú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 xml:space="preserve"> z 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vlastný</w:t>
            </w:r>
            <w:r w:rsidR="00A46A1F">
              <w:rPr>
                <w:rFonts w:ascii="Times New Roman" w:hAnsi="Times New Roman" w:hint="default"/>
                <w:sz w:val="24"/>
                <w:szCs w:val="24"/>
              </w:rPr>
              <w:t>ch zdrojov.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  <w:p w:rsidR="00A40276" w:rsidRPr="00015954" w:rsidP="00015954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. Aké sú predpokladané spoločensko – ekonomické dôsledky pripravovaných regulácií?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 xml:space="preserve">Ochranný limit na spoluúčasť zvýši dostupnosť zdravotnej starostlivosti pre zraniteľné skupiny osôb. </w:t>
            </w:r>
          </w:p>
          <w:p w:rsidR="004A63DA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77C" w:rsidRPr="00015954" w:rsidP="00015954">
      <w:pPr>
        <w:pStyle w:val="NormalWeb"/>
        <w:tabs>
          <w:tab w:val="num" w:pos="1080"/>
        </w:tabs>
        <w:bidi w:val="0"/>
        <w:spacing w:before="0" w:beforeAutospacing="0" w:after="0" w:afterAutospacing="0"/>
        <w:jc w:val="both"/>
      </w:pPr>
    </w:p>
    <w:p w:rsidR="00E6077C" w:rsidRPr="00015954" w:rsidP="00015954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5954">
        <w:rPr>
          <w:rFonts w:ascii="Times New Roman" w:hAnsi="Times New Roman"/>
          <w:sz w:val="24"/>
          <w:szCs w:val="24"/>
        </w:rPr>
        <w:br w:type="page"/>
      </w:r>
    </w:p>
    <w:p w:rsidR="00A40276" w:rsidRPr="00015954" w:rsidP="00015954">
      <w:pPr>
        <w:pStyle w:val="NormalWeb"/>
        <w:tabs>
          <w:tab w:val="num" w:pos="1080"/>
        </w:tabs>
        <w:bidi w:val="0"/>
        <w:spacing w:before="0" w:beforeAutospacing="0" w:after="0" w:afterAutospacing="0"/>
        <w:jc w:val="both"/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4.1.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Návrh b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ude mať pozitívny vplyv na osobu, ktorá je poberateľom vdovského dôchodku, vdoveckého dôchodku alebo sirotského dôchodku,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6a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je poberateľom rodičovského príspevku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6b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alebo rodičovského príspevku z iného členského štátu, je poberateľom peňažného príspevku za opatrovanie,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6c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osobne celodenne a riadne sa stará o dieťa vo veku do šiestich rokov, opatruje fyzickú osobu s ťažkým zdravotným postihnutím odkázaného podľa posudku vydaného podľa osobitného predpisu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6d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alebo opatruje blízku osobu,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6e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ktorá je staršia ako 80 rokov a nie je umiestnená v zariadení sociálnych služieb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6f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alebo v zdravotníckom zariadení;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6g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poberá dávku v hmotnej núdzi alebo príspevok k dávke v hmotnej núdzi, alebo ktorý sa spoločne posudzuje na účely posudzovania hmotnej núdze,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6h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je vedená v evidencii uchádzačov o zamestnanie,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6i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>) vykonáva osobnú asistenciu fyzickej osobe s ťažkým zdravotným postihnutím podľa osobitného predpisu.</w:t>
            </w:r>
            <w:r w:rsidRPr="00015954" w:rsidR="00360F1C">
              <w:rPr>
                <w:rFonts w:ascii="Times New Roman" w:hAnsi="Times New Roman"/>
                <w:sz w:val="24"/>
                <w:szCs w:val="24"/>
                <w:vertAlign w:val="superscript"/>
              </w:rPr>
              <w:t>6j</w:t>
            </w:r>
            <w:r w:rsidRPr="00015954" w:rsidR="00360F1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z dôvodu preplácania úhrad za lieky, ktoré sú nad limit spoluúčasti.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Nekvantifikovateľné</w:t>
            </w:r>
          </w:p>
          <w:p w:rsidR="00A40276" w:rsidRPr="00015954" w:rsidP="00015954">
            <w:pPr>
              <w:pStyle w:val="BodyText2"/>
              <w:bidi w:val="0"/>
              <w:spacing w:after="0" w:line="240" w:lineRule="auto"/>
              <w:ind w:firstLine="0"/>
              <w:rPr>
                <w:rFonts w:hint="default"/>
                <w:b w:val="0"/>
                <w:bCs w:val="0"/>
              </w:rPr>
            </w:pPr>
            <w:r w:rsidRPr="00015954">
              <w:rPr>
                <w:rFonts w:hint="default"/>
                <w:b w:val="0"/>
                <w:bCs w:val="0"/>
              </w:rPr>
              <w:t>Mož</w:t>
            </w:r>
            <w:r w:rsidRPr="00015954">
              <w:rPr>
                <w:rFonts w:hint="default"/>
                <w:b w:val="0"/>
                <w:bCs w:val="0"/>
              </w:rPr>
              <w:t>no predpokladať</w:t>
            </w:r>
            <w:r w:rsidRPr="00015954">
              <w:rPr>
                <w:rFonts w:hint="default"/>
                <w:b w:val="0"/>
                <w:bCs w:val="0"/>
              </w:rPr>
              <w:t>, ž</w:t>
            </w:r>
            <w:r w:rsidRPr="00015954">
              <w:rPr>
                <w:rFonts w:hint="default"/>
                <w:b w:val="0"/>
                <w:bCs w:val="0"/>
              </w:rPr>
              <w:t>e ná</w:t>
            </w:r>
            <w:r w:rsidRPr="00015954">
              <w:rPr>
                <w:rFonts w:hint="default"/>
                <w:b w:val="0"/>
                <w:bCs w:val="0"/>
              </w:rPr>
              <w:t>vrh pozití</w:t>
            </w:r>
            <w:r w:rsidRPr="00015954">
              <w:rPr>
                <w:rFonts w:hint="default"/>
                <w:b w:val="0"/>
                <w:bCs w:val="0"/>
              </w:rPr>
              <w:t>vne ovplyvní</w:t>
            </w:r>
            <w:r w:rsidRPr="00015954">
              <w:rPr>
                <w:rFonts w:hint="default"/>
                <w:b w:val="0"/>
                <w:bCs w:val="0"/>
              </w:rPr>
              <w:t xml:space="preserve"> hospodá</w:t>
            </w:r>
            <w:r w:rsidRPr="00015954">
              <w:rPr>
                <w:rFonts w:hint="default"/>
                <w:b w:val="0"/>
                <w:bCs w:val="0"/>
              </w:rPr>
              <w:t>renie domá</w:t>
            </w:r>
            <w:r w:rsidRPr="00015954">
              <w:rPr>
                <w:rFonts w:hint="default"/>
                <w:b w:val="0"/>
                <w:bCs w:val="0"/>
              </w:rPr>
              <w:t>cností</w:t>
            </w:r>
            <w:r w:rsidRPr="00015954">
              <w:rPr>
                <w:rFonts w:hint="default"/>
                <w:b w:val="0"/>
                <w:bCs w:val="0"/>
              </w:rPr>
              <w:t>, v </w:t>
            </w:r>
            <w:r w:rsidRPr="00015954">
              <w:rPr>
                <w:rFonts w:hint="default"/>
                <w:b w:val="0"/>
                <w:bCs w:val="0"/>
              </w:rPr>
              <w:t>ktorý</w:t>
            </w:r>
            <w:r w:rsidRPr="00015954">
              <w:rPr>
                <w:rFonts w:hint="default"/>
                <w:b w:val="0"/>
                <w:bCs w:val="0"/>
              </w:rPr>
              <w:t>ch sa nachá</w:t>
            </w:r>
            <w:r w:rsidRPr="00015954">
              <w:rPr>
                <w:rFonts w:hint="default"/>
                <w:b w:val="0"/>
                <w:bCs w:val="0"/>
              </w:rPr>
              <w:t>dzajú</w:t>
            </w:r>
            <w:r w:rsidRPr="00015954">
              <w:rPr>
                <w:rFonts w:hint="default"/>
                <w:b w:val="0"/>
                <w:bCs w:val="0"/>
              </w:rPr>
              <w:t xml:space="preserve"> také</w:t>
            </w:r>
            <w:r w:rsidRPr="00015954">
              <w:rPr>
                <w:rFonts w:hint="default"/>
                <w:b w:val="0"/>
                <w:bCs w:val="0"/>
              </w:rPr>
              <w:t>to osoby (zníž</w:t>
            </w:r>
            <w:r w:rsidRPr="00015954">
              <w:rPr>
                <w:rFonts w:hint="default"/>
                <w:b w:val="0"/>
                <w:bCs w:val="0"/>
              </w:rPr>
              <w:t>ia sa vý</w:t>
            </w:r>
            <w:r w:rsidRPr="00015954">
              <w:rPr>
                <w:rFonts w:hint="default"/>
                <w:b w:val="0"/>
                <w:bCs w:val="0"/>
              </w:rPr>
              <w:t>davky). Keďž</w:t>
            </w:r>
            <w:r w:rsidRPr="00015954">
              <w:rPr>
                <w:rFonts w:hint="default"/>
                <w:b w:val="0"/>
                <w:bCs w:val="0"/>
              </w:rPr>
              <w:t>e tieto ná</w:t>
            </w:r>
            <w:r w:rsidRPr="00015954">
              <w:rPr>
                <w:rFonts w:hint="default"/>
                <w:b w:val="0"/>
                <w:bCs w:val="0"/>
              </w:rPr>
              <w:t>vrhom dotknuté</w:t>
            </w:r>
            <w:r w:rsidRPr="00015954">
              <w:rPr>
                <w:rFonts w:hint="default"/>
                <w:b w:val="0"/>
                <w:bCs w:val="0"/>
              </w:rPr>
              <w:t xml:space="preserve"> skupiny patria medzi zranit</w:t>
            </w:r>
            <w:r w:rsidRPr="00015954">
              <w:rPr>
                <w:rFonts w:hint="default"/>
                <w:b w:val="0"/>
                <w:bCs w:val="0"/>
              </w:rPr>
              <w:t>eľ</w:t>
            </w:r>
            <w:r w:rsidRPr="00015954">
              <w:rPr>
                <w:rFonts w:hint="default"/>
                <w:b w:val="0"/>
                <w:bCs w:val="0"/>
              </w:rPr>
              <w:t>né</w:t>
            </w:r>
            <w:r w:rsidRPr="00015954">
              <w:rPr>
                <w:rFonts w:hint="default"/>
                <w:b w:val="0"/>
                <w:bCs w:val="0"/>
              </w:rPr>
              <w:t xml:space="preserve"> skupiny z </w:t>
            </w:r>
            <w:r w:rsidRPr="00015954">
              <w:rPr>
                <w:rFonts w:hint="default"/>
                <w:b w:val="0"/>
                <w:bCs w:val="0"/>
              </w:rPr>
              <w:t>hľ</w:t>
            </w:r>
            <w:r w:rsidRPr="00015954">
              <w:rPr>
                <w:rFonts w:hint="default"/>
                <w:b w:val="0"/>
                <w:bCs w:val="0"/>
              </w:rPr>
              <w:t>adiska chudoby a </w:t>
            </w:r>
            <w:r w:rsidRPr="00015954">
              <w:rPr>
                <w:rFonts w:hint="default"/>
                <w:b w:val="0"/>
                <w:bCs w:val="0"/>
              </w:rPr>
              <w:t>sociá</w:t>
            </w:r>
            <w:r w:rsidRPr="00015954">
              <w:rPr>
                <w:rFonts w:hint="default"/>
                <w:b w:val="0"/>
                <w:bCs w:val="0"/>
              </w:rPr>
              <w:t>lneho vylúč</w:t>
            </w:r>
            <w:r w:rsidRPr="00015954">
              <w:rPr>
                <w:rFonts w:hint="default"/>
                <w:b w:val="0"/>
                <w:bCs w:val="0"/>
              </w:rPr>
              <w:t>enia a č</w:t>
            </w:r>
            <w:r w:rsidRPr="00015954">
              <w:rPr>
                <w:rFonts w:hint="default"/>
                <w:b w:val="0"/>
                <w:bCs w:val="0"/>
              </w:rPr>
              <w:t>asto ide o skupiny s </w:t>
            </w:r>
            <w:r w:rsidRPr="00015954">
              <w:rPr>
                <w:rFonts w:hint="default"/>
                <w:b w:val="0"/>
                <w:bCs w:val="0"/>
              </w:rPr>
              <w:t>ní</w:t>
            </w:r>
            <w:r w:rsidRPr="00015954">
              <w:rPr>
                <w:rFonts w:hint="default"/>
                <w:b w:val="0"/>
                <w:bCs w:val="0"/>
              </w:rPr>
              <w:t>zkym prí</w:t>
            </w:r>
            <w:r w:rsidRPr="00015954">
              <w:rPr>
                <w:rFonts w:hint="default"/>
                <w:b w:val="0"/>
                <w:bCs w:val="0"/>
              </w:rPr>
              <w:t>jmom, pozití</w:t>
            </w:r>
            <w:r w:rsidRPr="00015954">
              <w:rPr>
                <w:rFonts w:hint="default"/>
                <w:b w:val="0"/>
                <w:bCs w:val="0"/>
              </w:rPr>
              <w:t>vny vplyv sa eš</w:t>
            </w:r>
            <w:r w:rsidRPr="00015954">
              <w:rPr>
                <w:rFonts w:hint="default"/>
                <w:b w:val="0"/>
                <w:bCs w:val="0"/>
              </w:rPr>
              <w:t>te zná</w:t>
            </w:r>
            <w:r w:rsidRPr="00015954">
              <w:rPr>
                <w:rFonts w:hint="default"/>
                <w:b w:val="0"/>
                <w:bCs w:val="0"/>
              </w:rPr>
              <w:t>sobuje.</w:t>
            </w:r>
          </w:p>
          <w:p w:rsidR="00A40276" w:rsidRPr="00015954" w:rsidP="00015954">
            <w:pPr>
              <w:pStyle w:val="NormalWeb"/>
              <w:bidi w:val="0"/>
              <w:spacing w:before="0" w:beforeAutospacing="0" w:after="0" w:afterAutospacing="0" w:line="240" w:lineRule="auto"/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- Rast alebo pokles príjmov/výdavkov                  za jednotlivé ovplyvnené  skupiny domácností</w:t>
            </w:r>
          </w:p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A40276" w:rsidRPr="00015954" w:rsidP="002A0747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4.2.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Žiadne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>4.3.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 xml:space="preserve">  Zhodnoťte vplyv na rovnosť príležitostí: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Zhodnoťte vplyv na rodovú rovnosť.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 Žiadne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4.4. </w:t>
            </w:r>
            <w:r w:rsidRPr="00015954">
              <w:rPr>
                <w:rFonts w:ascii="Times New Roman" w:hAnsi="Times New Roman"/>
                <w:sz w:val="24"/>
                <w:szCs w:val="24"/>
              </w:rPr>
              <w:t>Zhodnoťte vplyvy na zamestnanosť.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Aké sú  vplyvy na zamestnanosť 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Ktoré skupiny zamestnancov budú ohrozené schválením predkladaného materiálu ?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54">
              <w:rPr>
                <w:rFonts w:ascii="Times New Roman" w:hAnsi="Times New Roman"/>
                <w:sz w:val="24"/>
                <w:szCs w:val="24"/>
              </w:rPr>
              <w:t>Žiadne</w:t>
            </w: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276" w:rsidRPr="00015954" w:rsidP="0001595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276" w:rsidRPr="00015954" w:rsidP="0001595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169B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32B3"/>
    <w:multiLevelType w:val="hybridMultilevel"/>
    <w:tmpl w:val="7056F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20A7310"/>
    <w:multiLevelType w:val="hybridMultilevel"/>
    <w:tmpl w:val="139EE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E29576C"/>
    <w:multiLevelType w:val="hybridMultilevel"/>
    <w:tmpl w:val="44365D88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">
    <w:nsid w:val="74D56065"/>
    <w:multiLevelType w:val="hybridMultilevel"/>
    <w:tmpl w:val="E3863D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doNotTrackMoves/>
  <w:defaultTabStop w:val="708"/>
  <w:hyphenationZone w:val="425"/>
  <w:characterSpacingControl w:val="doNotCompress"/>
  <w:compat>
    <w:useFELayout/>
  </w:compat>
  <w:rsids>
    <w:rsidRoot w:val="00A40276"/>
    <w:rsid w:val="00015954"/>
    <w:rsid w:val="00032532"/>
    <w:rsid w:val="00085F56"/>
    <w:rsid w:val="000D3820"/>
    <w:rsid w:val="000F23A1"/>
    <w:rsid w:val="0010014C"/>
    <w:rsid w:val="001E30FB"/>
    <w:rsid w:val="002118C5"/>
    <w:rsid w:val="00242A03"/>
    <w:rsid w:val="00242A3A"/>
    <w:rsid w:val="002A0747"/>
    <w:rsid w:val="003041EB"/>
    <w:rsid w:val="003551E7"/>
    <w:rsid w:val="00360F1C"/>
    <w:rsid w:val="00367A0C"/>
    <w:rsid w:val="0039494A"/>
    <w:rsid w:val="003D066A"/>
    <w:rsid w:val="003D61D0"/>
    <w:rsid w:val="00410F40"/>
    <w:rsid w:val="0049299F"/>
    <w:rsid w:val="004A63DA"/>
    <w:rsid w:val="00581DB9"/>
    <w:rsid w:val="005F0014"/>
    <w:rsid w:val="00661FAC"/>
    <w:rsid w:val="007169B7"/>
    <w:rsid w:val="00753805"/>
    <w:rsid w:val="007C242A"/>
    <w:rsid w:val="00802537"/>
    <w:rsid w:val="00826286"/>
    <w:rsid w:val="0083116D"/>
    <w:rsid w:val="00840DF9"/>
    <w:rsid w:val="0086541B"/>
    <w:rsid w:val="00885B1C"/>
    <w:rsid w:val="009A0C3B"/>
    <w:rsid w:val="00A40276"/>
    <w:rsid w:val="00A46A1F"/>
    <w:rsid w:val="00AA6ADE"/>
    <w:rsid w:val="00AD4EF0"/>
    <w:rsid w:val="00B35960"/>
    <w:rsid w:val="00B37F6A"/>
    <w:rsid w:val="00B46072"/>
    <w:rsid w:val="00B76A0D"/>
    <w:rsid w:val="00B9055A"/>
    <w:rsid w:val="00BB5A42"/>
    <w:rsid w:val="00C0327A"/>
    <w:rsid w:val="00C15A0E"/>
    <w:rsid w:val="00C6204A"/>
    <w:rsid w:val="00C62BDC"/>
    <w:rsid w:val="00DB20D2"/>
    <w:rsid w:val="00DF61A4"/>
    <w:rsid w:val="00E6077C"/>
    <w:rsid w:val="00E71620"/>
    <w:rsid w:val="00E96760"/>
    <w:rsid w:val="00F1429B"/>
    <w:rsid w:val="00F74643"/>
    <w:rsid w:val="00FA0DB6"/>
    <w:rsid w:val="00FA1AE1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4027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02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rsid w:val="00A40276"/>
    <w:pPr>
      <w:spacing w:after="0" w:line="240" w:lineRule="auto"/>
      <w:ind w:firstLine="708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40276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NormalWeb">
    <w:name w:val="Normal (Web)"/>
    <w:aliases w:val="webb"/>
    <w:basedOn w:val="Normal"/>
    <w:uiPriority w:val="99"/>
    <w:qFormat/>
    <w:rsid w:val="00A4027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537"/>
    <w:pPr>
      <w:ind w:left="720"/>
      <w:contextualSpacing/>
      <w:jc w:val="left"/>
    </w:pPr>
  </w:style>
  <w:style w:type="character" w:customStyle="1" w:styleId="Textzstupnhosymbolu1">
    <w:name w:val="Text zástupného symbolu1"/>
    <w:uiPriority w:val="99"/>
    <w:semiHidden/>
    <w:rsid w:val="004A63DA"/>
    <w:rPr>
      <w:rFonts w:ascii="Times New Roman" w:hAnsi="Times New Roman"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EF0"/>
    <w:pPr>
      <w:spacing w:after="0" w:line="240" w:lineRule="auto"/>
      <w:jc w:val="left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4EF0"/>
    <w:rPr>
      <w:rFonts w:ascii="Arial" w:hAnsi="Arial" w:cs="Arial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12</Pages>
  <Words>3163</Words>
  <Characters>18031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Ivan Uhliarik</dc:creator>
  <cp:lastModifiedBy>Gašparíková, Jarmila</cp:lastModifiedBy>
  <cp:revision>2</cp:revision>
  <cp:lastPrinted>2013-04-22T14:18:00Z</cp:lastPrinted>
  <dcterms:created xsi:type="dcterms:W3CDTF">2013-04-25T14:22:00Z</dcterms:created>
  <dcterms:modified xsi:type="dcterms:W3CDTF">2013-04-25T14:22:00Z</dcterms:modified>
</cp:coreProperties>
</file>