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0F17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9E0F17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="00940AF9">
        <w:rPr>
          <w:rFonts w:ascii="Times New Roman" w:hAnsi="Times New Roman"/>
          <w:b/>
          <w:bCs/>
          <w:iCs/>
        </w:rPr>
        <w:t>VI</w:t>
      </w:r>
      <w:r>
        <w:rPr>
          <w:rFonts w:ascii="Times New Roman" w:hAnsi="Times New Roman"/>
          <w:b/>
          <w:bCs/>
          <w:iCs/>
        </w:rPr>
        <w:t>. volebné obdobie</w:t>
      </w:r>
    </w:p>
    <w:p w:rsidR="009E0F17">
      <w:pPr>
        <w:pStyle w:val="BodyText"/>
        <w:bidi w:val="0"/>
        <w:rPr>
          <w:rFonts w:ascii="Times New Roman" w:hAnsi="Times New Roman"/>
          <w:bCs/>
          <w:iCs/>
        </w:rPr>
      </w:pPr>
    </w:p>
    <w:p w:rsidR="009E0F17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(Návrh)</w:t>
      </w:r>
    </w:p>
    <w:p w:rsidR="009E0F17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E0F17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9E0F17">
      <w:pPr>
        <w:pStyle w:val="BodyText"/>
        <w:bidi w:val="0"/>
        <w:rPr>
          <w:rFonts w:ascii="Times New Roman" w:hAnsi="Times New Roman"/>
          <w:bCs/>
          <w:iCs/>
        </w:rPr>
      </w:pPr>
    </w:p>
    <w:p w:rsidR="009E0F17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36"/>
        </w:rPr>
        <w:t xml:space="preserve">     </w:t>
      </w:r>
      <w:r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9E0F17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E0F17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="00940AF9">
        <w:rPr>
          <w:rFonts w:ascii="Times New Roman" w:hAnsi="Times New Roman"/>
          <w:b/>
          <w:bCs/>
          <w:iCs/>
          <w:sz w:val="28"/>
          <w:szCs w:val="28"/>
        </w:rPr>
        <w:t>z ........... 2013</w:t>
      </w:r>
      <w:r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9E0F17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9E0F17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ktorým sa mení </w:t>
      </w:r>
      <w:r w:rsidR="00940AF9">
        <w:rPr>
          <w:rFonts w:ascii="Times New Roman" w:hAnsi="Times New Roman"/>
          <w:b/>
          <w:bCs/>
          <w:iCs/>
          <w:sz w:val="28"/>
          <w:szCs w:val="28"/>
        </w:rPr>
        <w:t>a dopĺňa zákon Národnej rady Slovenskej republiky č. 303/2001 Z</w:t>
      </w:r>
      <w:r>
        <w:rPr>
          <w:rFonts w:ascii="Times New Roman" w:hAnsi="Times New Roman"/>
          <w:b/>
          <w:bCs/>
          <w:iCs/>
          <w:sz w:val="28"/>
          <w:szCs w:val="28"/>
        </w:rPr>
        <w:t>.</w:t>
      </w:r>
      <w:r w:rsidR="00940AF9">
        <w:rPr>
          <w:rFonts w:ascii="Times New Roman" w:hAnsi="Times New Roman"/>
          <w:b/>
          <w:bCs/>
          <w:iCs/>
          <w:sz w:val="28"/>
          <w:szCs w:val="28"/>
        </w:rPr>
        <w:t>z.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o</w:t>
      </w:r>
      <w:r w:rsidR="00940AF9">
        <w:rPr>
          <w:rFonts w:ascii="Times New Roman" w:hAnsi="Times New Roman"/>
          <w:b/>
          <w:bCs/>
          <w:iCs/>
          <w:sz w:val="28"/>
          <w:szCs w:val="28"/>
        </w:rPr>
        <w:t> voľbách do orgánov samosprávnych krajov a o doplnení Občianskeho súdneho poriadku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sz w:val="28"/>
          <w:szCs w:val="28"/>
        </w:rPr>
        <w:t xml:space="preserve">v znení neskorších predpisov </w:t>
      </w:r>
    </w:p>
    <w:p w:rsidR="009E0F17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9E0F17" w:rsidP="005A083C">
      <w:pPr>
        <w:pStyle w:val="BodyText"/>
        <w:bidi w:val="0"/>
        <w:rPr>
          <w:rFonts w:ascii="Times New Roman" w:hAnsi="Times New Roman"/>
        </w:rPr>
      </w:pPr>
    </w:p>
    <w:p w:rsidR="009E0F17">
      <w:pPr>
        <w:bidi w:val="0"/>
        <w:ind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9E0F17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9E0F17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9E0F17">
      <w:pPr>
        <w:bidi w:val="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Čl. I </w:t>
      </w:r>
    </w:p>
    <w:p w:rsidR="009E0F17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9E0F17">
      <w:pPr>
        <w:bidi w:val="0"/>
        <w:ind w:firstLine="360"/>
        <w:jc w:val="both"/>
        <w:rPr>
          <w:rFonts w:ascii="Times New Roman" w:hAnsi="Times New Roman" w:cs="Arial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 xml:space="preserve">Zákon </w:t>
      </w:r>
      <w:r w:rsidR="00940AF9">
        <w:rPr>
          <w:rFonts w:ascii="Times New Roman" w:hAnsi="Times New Roman"/>
          <w:sz w:val="26"/>
          <w:szCs w:val="26"/>
        </w:rPr>
        <w:t>Národnej rady Slovenskej republiky</w:t>
      </w:r>
      <w:r>
        <w:rPr>
          <w:rFonts w:ascii="Times New Roman" w:hAnsi="Times New Roman"/>
          <w:sz w:val="26"/>
          <w:szCs w:val="26"/>
        </w:rPr>
        <w:t xml:space="preserve"> č. </w:t>
      </w:r>
      <w:r w:rsidR="00940AF9">
        <w:rPr>
          <w:rFonts w:ascii="Times New Roman" w:hAnsi="Times New Roman" w:cs="Arial"/>
          <w:sz w:val="26"/>
          <w:szCs w:val="26"/>
        </w:rPr>
        <w:t>303/2001 Z</w:t>
      </w:r>
      <w:r>
        <w:rPr>
          <w:rFonts w:ascii="Times New Roman" w:hAnsi="Times New Roman" w:cs="Arial"/>
          <w:sz w:val="26"/>
          <w:szCs w:val="26"/>
        </w:rPr>
        <w:t>.</w:t>
      </w:r>
      <w:r w:rsidR="00940AF9">
        <w:rPr>
          <w:rFonts w:ascii="Times New Roman" w:hAnsi="Times New Roman" w:cs="Arial"/>
          <w:sz w:val="26"/>
          <w:szCs w:val="26"/>
        </w:rPr>
        <w:t>z.</w:t>
      </w:r>
      <w:r>
        <w:rPr>
          <w:rFonts w:ascii="Times New Roman" w:hAnsi="Times New Roman" w:cs="Arial"/>
          <w:sz w:val="26"/>
          <w:szCs w:val="26"/>
        </w:rPr>
        <w:t xml:space="preserve"> o</w:t>
      </w:r>
      <w:r w:rsidR="00940AF9">
        <w:rPr>
          <w:rFonts w:ascii="Times New Roman" w:hAnsi="Times New Roman" w:cs="Arial"/>
          <w:sz w:val="26"/>
          <w:szCs w:val="26"/>
        </w:rPr>
        <w:t xml:space="preserve"> voľbách do orgánov samosprávnych krajov a o doplnení Občianskeho súdneho poriadku </w:t>
      </w:r>
      <w:r w:rsidR="00940AF9">
        <w:rPr>
          <w:rFonts w:ascii="Times New Roman" w:hAnsi="Times New Roman" w:cs="Arial"/>
          <w:sz w:val="26"/>
          <w:szCs w:val="26"/>
        </w:rPr>
        <w:t>v znení zákona č. 335/2007 Z</w:t>
      </w:r>
      <w:r>
        <w:rPr>
          <w:rFonts w:ascii="Times New Roman" w:hAnsi="Times New Roman" w:cs="Arial"/>
          <w:sz w:val="26"/>
          <w:szCs w:val="26"/>
        </w:rPr>
        <w:t>.</w:t>
      </w:r>
      <w:r w:rsidR="00940AF9">
        <w:rPr>
          <w:rFonts w:ascii="Times New Roman" w:hAnsi="Times New Roman" w:cs="Arial"/>
          <w:sz w:val="26"/>
          <w:szCs w:val="26"/>
        </w:rPr>
        <w:t>z. a zákona č. 204/2011 Z</w:t>
      </w:r>
      <w:r>
        <w:rPr>
          <w:rFonts w:ascii="Times New Roman" w:hAnsi="Times New Roman" w:cs="Arial"/>
          <w:sz w:val="26"/>
          <w:szCs w:val="26"/>
        </w:rPr>
        <w:t>.</w:t>
      </w:r>
      <w:r w:rsidR="00940AF9">
        <w:rPr>
          <w:rFonts w:ascii="Times New Roman" w:hAnsi="Times New Roman" w:cs="Arial"/>
          <w:sz w:val="26"/>
          <w:szCs w:val="26"/>
        </w:rPr>
        <w:t>z.</w:t>
      </w:r>
      <w:r>
        <w:rPr>
          <w:rFonts w:ascii="Times New Roman" w:hAnsi="Times New Roman" w:cs="Arial"/>
          <w:sz w:val="26"/>
          <w:szCs w:val="26"/>
        </w:rPr>
        <w:t xml:space="preserve"> sa mení </w:t>
      </w:r>
      <w:r w:rsidR="00940AF9">
        <w:rPr>
          <w:rFonts w:ascii="Times New Roman" w:hAnsi="Times New Roman" w:cs="Arial"/>
          <w:sz w:val="26"/>
          <w:szCs w:val="26"/>
        </w:rPr>
        <w:t xml:space="preserve">a dopĺňa </w:t>
      </w:r>
      <w:r>
        <w:rPr>
          <w:rFonts w:ascii="Times New Roman" w:hAnsi="Times New Roman" w:cs="Arial"/>
          <w:sz w:val="26"/>
          <w:szCs w:val="26"/>
        </w:rPr>
        <w:t>takto:</w:t>
      </w:r>
    </w:p>
    <w:p w:rsidR="009E0F17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9E0F17">
      <w:pPr>
        <w:pStyle w:val="BodyTextIndent2"/>
        <w:bidi w:val="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</w:rPr>
        <w:t xml:space="preserve">  </w:t>
      </w:r>
    </w:p>
    <w:p w:rsidR="005F6A81" w:rsidP="005F6A81">
      <w:pPr>
        <w:numPr>
          <w:numId w:val="11"/>
        </w:numPr>
        <w:tabs>
          <w:tab w:val="left" w:pos="-1800"/>
        </w:tabs>
        <w:bidi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V § 14 ods. 2 sa slová „najneskôr 40 dní“ </w:t>
      </w:r>
      <w:r w:rsidR="00B57629">
        <w:rPr>
          <w:rFonts w:ascii="Times New Roman" w:hAnsi="Times New Roman"/>
          <w:sz w:val="26"/>
        </w:rPr>
        <w:t xml:space="preserve">nahrádzajú slovami </w:t>
      </w:r>
      <w:r>
        <w:rPr>
          <w:rFonts w:ascii="Times New Roman" w:hAnsi="Times New Roman"/>
          <w:sz w:val="26"/>
        </w:rPr>
        <w:t>„najneskôr 60 dní“.</w:t>
      </w:r>
    </w:p>
    <w:p w:rsidR="005F6A81" w:rsidRPr="006737E7" w:rsidP="006737E7">
      <w:pPr>
        <w:numPr>
          <w:numId w:val="11"/>
        </w:numPr>
        <w:tabs>
          <w:tab w:val="left" w:pos="-1800"/>
        </w:tabs>
        <w:bidi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V § 15 ods. 2 sa slová „najneskôr 30 dní“ </w:t>
      </w:r>
      <w:r w:rsidR="00B57629">
        <w:rPr>
          <w:rFonts w:ascii="Times New Roman" w:hAnsi="Times New Roman"/>
          <w:sz w:val="26"/>
        </w:rPr>
        <w:t xml:space="preserve">nahrádzajú slovami </w:t>
      </w:r>
      <w:r>
        <w:rPr>
          <w:rFonts w:ascii="Times New Roman" w:hAnsi="Times New Roman"/>
          <w:sz w:val="26"/>
        </w:rPr>
        <w:t xml:space="preserve">„najneskôr </w:t>
      </w:r>
      <w:r w:rsidR="005A083C">
        <w:rPr>
          <w:rFonts w:ascii="Times New Roman" w:hAnsi="Times New Roman"/>
          <w:sz w:val="26"/>
        </w:rPr>
        <w:t xml:space="preserve">45 </w:t>
      </w:r>
      <w:r>
        <w:rPr>
          <w:rFonts w:ascii="Times New Roman" w:hAnsi="Times New Roman"/>
          <w:sz w:val="26"/>
        </w:rPr>
        <w:t>dní“.</w:t>
      </w:r>
    </w:p>
    <w:p w:rsidR="009E0F17" w:rsidP="003704EB">
      <w:pPr>
        <w:numPr>
          <w:numId w:val="11"/>
        </w:numPr>
        <w:tabs>
          <w:tab w:val="left" w:pos="-1800"/>
        </w:tabs>
        <w:bidi w:val="0"/>
        <w:jc w:val="both"/>
        <w:rPr>
          <w:rFonts w:ascii="Times New Roman" w:hAnsi="Times New Roman"/>
          <w:sz w:val="26"/>
        </w:rPr>
      </w:pPr>
      <w:r w:rsidR="003704EB">
        <w:rPr>
          <w:rFonts w:ascii="Times New Roman" w:hAnsi="Times New Roman"/>
          <w:sz w:val="26"/>
        </w:rPr>
        <w:t xml:space="preserve">V § 16 ods. 1 sa slová „najneskôr 20 dní“ </w:t>
      </w:r>
      <w:r w:rsidR="00B57629">
        <w:rPr>
          <w:rFonts w:ascii="Times New Roman" w:hAnsi="Times New Roman"/>
          <w:sz w:val="26"/>
        </w:rPr>
        <w:t xml:space="preserve">nahrádzajú slovami </w:t>
      </w:r>
      <w:r w:rsidR="003704EB">
        <w:rPr>
          <w:rFonts w:ascii="Times New Roman" w:hAnsi="Times New Roman"/>
          <w:sz w:val="26"/>
        </w:rPr>
        <w:t xml:space="preserve">„najneskôr </w:t>
      </w:r>
      <w:r w:rsidR="005A083C">
        <w:rPr>
          <w:rFonts w:ascii="Times New Roman" w:hAnsi="Times New Roman"/>
          <w:sz w:val="26"/>
        </w:rPr>
        <w:t>30</w:t>
      </w:r>
      <w:r w:rsidR="003704EB">
        <w:rPr>
          <w:rFonts w:ascii="Times New Roman" w:hAnsi="Times New Roman"/>
          <w:sz w:val="26"/>
        </w:rPr>
        <w:t xml:space="preserve"> dní</w:t>
      </w:r>
      <w:r>
        <w:rPr>
          <w:rFonts w:ascii="Times New Roman" w:hAnsi="Times New Roman"/>
          <w:sz w:val="26"/>
        </w:rPr>
        <w:t>“.</w:t>
      </w:r>
    </w:p>
    <w:p w:rsidR="003704EB" w:rsidP="003704EB">
      <w:pPr>
        <w:numPr>
          <w:numId w:val="11"/>
        </w:numPr>
        <w:tabs>
          <w:tab w:val="left" w:pos="-1800"/>
        </w:tabs>
        <w:bidi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V § 16 ods. 2 znie: </w:t>
      </w:r>
    </w:p>
    <w:p w:rsidR="004F5FD3" w:rsidP="004F5FD3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  <w:sz w:val="26"/>
        </w:rPr>
      </w:pPr>
    </w:p>
    <w:p w:rsidR="003704EB" w:rsidP="003704EB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„(2) </w:t>
      </w:r>
      <w:r w:rsidR="006737E7">
        <w:rPr>
          <w:rFonts w:ascii="Times New Roman" w:hAnsi="Times New Roman"/>
          <w:sz w:val="26"/>
        </w:rPr>
        <w:t>V</w:t>
      </w:r>
      <w:r w:rsidR="004F5FD3">
        <w:rPr>
          <w:rFonts w:ascii="Times New Roman" w:hAnsi="Times New Roman"/>
          <w:sz w:val="26"/>
        </w:rPr>
        <w:t xml:space="preserve">olebná komisia </w:t>
      </w:r>
      <w:r w:rsidR="006737E7">
        <w:rPr>
          <w:rFonts w:ascii="Times New Roman" w:hAnsi="Times New Roman"/>
          <w:sz w:val="26"/>
        </w:rPr>
        <w:t xml:space="preserve">samosprávneho kraja </w:t>
      </w:r>
      <w:r w:rsidR="004F5FD3">
        <w:rPr>
          <w:rFonts w:ascii="Times New Roman" w:hAnsi="Times New Roman"/>
          <w:sz w:val="26"/>
        </w:rPr>
        <w:t xml:space="preserve">po zaregistrovaní kandidátnych listín doručuje zoznam kandidátov ministerstvu, ktoré ho prostredníctvom obvodných úradov doručí obciam najneskôr </w:t>
      </w:r>
      <w:r w:rsidRPr="005A083C" w:rsidR="005A083C">
        <w:rPr>
          <w:rFonts w:ascii="Times New Roman" w:hAnsi="Times New Roman"/>
          <w:sz w:val="26"/>
        </w:rPr>
        <w:t>30</w:t>
      </w:r>
      <w:r w:rsidR="006737E7">
        <w:rPr>
          <w:rFonts w:ascii="Times New Roman" w:hAnsi="Times New Roman"/>
          <w:sz w:val="26"/>
        </w:rPr>
        <w:t xml:space="preserve"> </w:t>
      </w:r>
      <w:r w:rsidR="004F5FD3">
        <w:rPr>
          <w:rFonts w:ascii="Times New Roman" w:hAnsi="Times New Roman"/>
          <w:sz w:val="26"/>
        </w:rPr>
        <w:t xml:space="preserve">dní predo dňom volieb. </w:t>
      </w:r>
      <w:r>
        <w:rPr>
          <w:rFonts w:ascii="Times New Roman" w:hAnsi="Times New Roman"/>
          <w:sz w:val="26"/>
        </w:rPr>
        <w:t>Obce zabezpečia</w:t>
      </w:r>
      <w:r w:rsidR="00286EEB">
        <w:rPr>
          <w:rFonts w:ascii="Times New Roman" w:hAnsi="Times New Roman"/>
          <w:sz w:val="26"/>
        </w:rPr>
        <w:t xml:space="preserve">, aby najneskôr </w:t>
      </w:r>
      <w:r w:rsidRPr="005A083C" w:rsidR="005A083C">
        <w:rPr>
          <w:rFonts w:ascii="Times New Roman" w:hAnsi="Times New Roman"/>
          <w:sz w:val="26"/>
        </w:rPr>
        <w:t>15</w:t>
      </w:r>
      <w:r w:rsidRPr="005A083C" w:rsidR="006737E7">
        <w:rPr>
          <w:rFonts w:ascii="Times New Roman" w:hAnsi="Times New Roman"/>
          <w:sz w:val="26"/>
        </w:rPr>
        <w:t xml:space="preserve"> </w:t>
      </w:r>
      <w:r w:rsidR="00286EEB">
        <w:rPr>
          <w:rFonts w:ascii="Times New Roman" w:hAnsi="Times New Roman"/>
          <w:sz w:val="26"/>
        </w:rPr>
        <w:t>dní predo dňom volieb zoznam kandidátov dostal každý volič</w:t>
      </w:r>
      <w:r w:rsidR="006737E7">
        <w:rPr>
          <w:rFonts w:ascii="Times New Roman" w:hAnsi="Times New Roman"/>
          <w:sz w:val="26"/>
        </w:rPr>
        <w:t xml:space="preserve"> </w:t>
      </w:r>
      <w:r w:rsidRPr="007A375B" w:rsidR="006737E7">
        <w:rPr>
          <w:rFonts w:ascii="Times New Roman" w:hAnsi="Times New Roman"/>
          <w:sz w:val="26"/>
        </w:rPr>
        <w:t>samosprávneho kraja</w:t>
      </w:r>
      <w:r w:rsidR="00286EEB">
        <w:rPr>
          <w:rFonts w:ascii="Times New Roman" w:hAnsi="Times New Roman"/>
          <w:sz w:val="26"/>
        </w:rPr>
        <w:t>“.“.</w:t>
      </w:r>
    </w:p>
    <w:p w:rsidR="009E0F17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  <w:sz w:val="26"/>
        </w:rPr>
      </w:pPr>
    </w:p>
    <w:p w:rsidR="009E0F17">
      <w:pPr>
        <w:bidi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</w:t>
      </w:r>
    </w:p>
    <w:p w:rsidR="009E0F17">
      <w:pPr>
        <w:pStyle w:val="Heading8"/>
        <w:bidi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Čl. II</w:t>
      </w:r>
    </w:p>
    <w:p w:rsidR="009E0F17">
      <w:pPr>
        <w:bidi w:val="0"/>
        <w:rPr>
          <w:rFonts w:ascii="Times New Roman" w:hAnsi="Times New Roman"/>
        </w:rPr>
      </w:pPr>
    </w:p>
    <w:p w:rsidR="009E0F17" w:rsidRPr="005A083C" w:rsidP="005A083C">
      <w:pPr>
        <w:pStyle w:val="Heading8"/>
        <w:bidi w:val="0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Účinnosť</w:t>
      </w:r>
    </w:p>
    <w:p w:rsidR="005A083C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  <w:sz w:val="26"/>
        </w:rPr>
      </w:pPr>
    </w:p>
    <w:p w:rsidR="00924B76" w:rsidP="005A083C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  <w:sz w:val="26"/>
        </w:rPr>
      </w:pPr>
      <w:r w:rsidR="009E0F17">
        <w:rPr>
          <w:rFonts w:ascii="Times New Roman" w:hAnsi="Times New Roman"/>
          <w:sz w:val="26"/>
        </w:rPr>
        <w:t>Tento záko</w:t>
      </w:r>
      <w:r w:rsidR="003704EB">
        <w:rPr>
          <w:rFonts w:ascii="Times New Roman" w:hAnsi="Times New Roman"/>
          <w:sz w:val="26"/>
        </w:rPr>
        <w:t xml:space="preserve">n nadobúda účinnosť 1. </w:t>
      </w:r>
      <w:r w:rsidR="005A083C">
        <w:rPr>
          <w:rFonts w:ascii="Times New Roman" w:hAnsi="Times New Roman"/>
          <w:sz w:val="26"/>
        </w:rPr>
        <w:t>augusta</w:t>
      </w:r>
      <w:r w:rsidR="003704EB">
        <w:rPr>
          <w:rFonts w:ascii="Times New Roman" w:hAnsi="Times New Roman"/>
          <w:sz w:val="26"/>
        </w:rPr>
        <w:t xml:space="preserve"> 2013</w:t>
      </w:r>
      <w:r w:rsidR="005A083C">
        <w:rPr>
          <w:rFonts w:ascii="Times New Roman" w:hAnsi="Times New Roman"/>
          <w:sz w:val="26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46"/>
    <w:multiLevelType w:val="hybridMultilevel"/>
    <w:tmpl w:val="8D22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8073D37"/>
    <w:multiLevelType w:val="hybridMultilevel"/>
    <w:tmpl w:val="917E283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416"/>
        </w:tabs>
        <w:ind w:left="1416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8">
    <w:nsid w:val="6977365B"/>
    <w:multiLevelType w:val="hybridMultilevel"/>
    <w:tmpl w:val="F7FA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D2673"/>
    <w:multiLevelType w:val="hybridMultilevel"/>
    <w:tmpl w:val="73A03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8F01FA"/>
    <w:multiLevelType w:val="hybridMultilevel"/>
    <w:tmpl w:val="E0A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0778C"/>
    <w:rsid w:val="00286EEB"/>
    <w:rsid w:val="002934A8"/>
    <w:rsid w:val="002B35AB"/>
    <w:rsid w:val="003704EB"/>
    <w:rsid w:val="004F5FD3"/>
    <w:rsid w:val="005A083C"/>
    <w:rsid w:val="005F6A81"/>
    <w:rsid w:val="006737E7"/>
    <w:rsid w:val="007A375B"/>
    <w:rsid w:val="00924B76"/>
    <w:rsid w:val="00940AF9"/>
    <w:rsid w:val="009E0F17"/>
    <w:rsid w:val="00AF7502"/>
    <w:rsid w:val="00B06EB5"/>
    <w:rsid w:val="00B0778C"/>
    <w:rsid w:val="00B57629"/>
    <w:rsid w:val="00BA1AAF"/>
    <w:rsid w:val="00EA4797"/>
    <w:rsid w:val="00F11D7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color w:val="30303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b/>
      <w:bCs/>
      <w:sz w:val="26"/>
      <w:szCs w:val="26"/>
    </w:rPr>
  </w:style>
  <w:style w:type="paragraph" w:styleId="Heading9">
    <w:name w:val="heading 9"/>
    <w:basedOn w:val="Normal"/>
    <w:next w:val="Normal"/>
    <w:qFormat/>
    <w:pPr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spacing w:after="120" w:line="480" w:lineRule="auto"/>
      <w:jc w:val="left"/>
    </w:pPr>
  </w:style>
  <w:style w:type="character" w:styleId="Hyperlink">
    <w:name w:val="Hyperlink"/>
    <w:basedOn w:val="DefaultParagraphFont"/>
    <w:semiHidden/>
    <w:rPr>
      <w:rFonts w:cs="Times New Roman"/>
      <w:b/>
      <w:bCs/>
      <w:strike w:val="0"/>
      <w:dstrike w:val="0"/>
      <w:color w:val="00204E"/>
      <w:u w:val="none"/>
      <w:effect w:val="none"/>
      <w:rtl w:val="0"/>
      <w:cs w:val="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Indent2">
    <w:name w:val="Body Text Indent 2"/>
    <w:basedOn w:val="Normal"/>
    <w:semiHidden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pPr>
      <w:ind w:firstLine="348"/>
      <w:jc w:val="both"/>
    </w:pPr>
    <w:rPr>
      <w:sz w:val="26"/>
    </w:rPr>
  </w:style>
  <w:style w:type="character" w:customStyle="1" w:styleId="ZkladntextChar">
    <w:name w:val="Základný text Char"/>
    <w:basedOn w:val="DefaultParagraphFont"/>
    <w:semiHidden/>
    <w:rPr>
      <w:rFonts w:cs="Times New Roman"/>
      <w:sz w:val="24"/>
      <w:szCs w:val="24"/>
      <w:rtl w:val="0"/>
      <w:cs w:val="0"/>
    </w:rPr>
  </w:style>
  <w:style w:type="character" w:customStyle="1" w:styleId="Zarkazkladnhotextu2Char">
    <w:name w:val="Zarážka základného textu 2 Char"/>
    <w:basedOn w:val="DefaultParagraphFont"/>
    <w:semiHidden/>
    <w:rPr>
      <w:rFonts w:cs="Times New Roman"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semiHidden/>
    <w:rPr>
      <w:rFonts w:ascii="Cambria" w:hAnsi="Cambria" w:cs="Times New Roman"/>
      <w:sz w:val="22"/>
      <w:szCs w:val="22"/>
      <w:rtl w:val="0"/>
      <w:cs w:val="0"/>
    </w:rPr>
  </w:style>
  <w:style w:type="paragraph" w:styleId="BodyText3">
    <w:name w:val="Body Text 3"/>
    <w:basedOn w:val="Normal"/>
    <w:semiHidden/>
    <w:unhideWhenUsed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semiHidden/>
    <w:rPr>
      <w:rFonts w:cs="Times New Roman"/>
      <w:sz w:val="16"/>
      <w:szCs w:val="16"/>
      <w:rtl w:val="0"/>
      <w:cs w:val="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semiHidden/>
    <w:rPr>
      <w:rFonts w:cs="Times New Roman"/>
      <w:color w:val="800080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189</Words>
  <Characters>1082</Characters>
  <Application>Microsoft Office Word</Application>
  <DocSecurity>0</DocSecurity>
  <Lines>0</Lines>
  <Paragraphs>0</Paragraphs>
  <ScaleCrop>false</ScaleCrop>
  <Company>MPSVR SR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novely zákona č. 461/2003</dc:title>
  <dc:creator>Kancelária poslankyne NR SR Moniky Gibalovej</dc:creator>
  <cp:lastModifiedBy>Gašparíková, Jarmila</cp:lastModifiedBy>
  <cp:revision>2</cp:revision>
  <cp:lastPrinted>2013-04-09T09:53:00Z</cp:lastPrinted>
  <dcterms:created xsi:type="dcterms:W3CDTF">2013-04-25T10:39:00Z</dcterms:created>
  <dcterms:modified xsi:type="dcterms:W3CDTF">2013-04-25T10:39:00Z</dcterms:modified>
</cp:coreProperties>
</file>